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6"/>
          <w:szCs w:val="26"/>
        </w:rPr>
        <w:t xml:space="preserve">ĐẠI HỌC QUỐC GIA THÀNH PHỐ HỒ CHÍ MINH</w:t>
      </w:r>
    </w:p>
    <w:p>
      <w:pPr>
        <w:spacing w:after="40"/>
        <w:jc w:val="center"/>
      </w:pPr>
      <w:r>
        <w:rPr>
          <w:rFonts w:ascii="Times New Roman" w:cs="Times New Roman" w:eastAsia="Times New Roman" w:hAnsi="Times New Roman"/>
          <w:b/>
          <w:bCs/>
          <w:i w:val="false"/>
          <w:iCs w:val="false"/>
          <w:sz w:val="26"/>
          <w:szCs w:val="26"/>
        </w:rPr>
        <w:t xml:space="preserve">TRƯỜNG ĐẠI HỌC AN GIANG</w:t>
      </w:r>
    </w:p>
    <w:p>
      <w:pPr>
        <w:spacing w:after="600"/>
        <w:jc w:val="center"/>
      </w:pPr>
      <w:r>
        <w:rPr>
          <w:rFonts w:ascii="Times New Roman" w:cs="Times New Roman" w:eastAsia="Times New Roman" w:hAnsi="Times New Roman"/>
          <w:b/>
          <w:bCs/>
          <w:i w:val="false"/>
          <w:iCs w:val="false"/>
          <w:sz w:val="26"/>
          <w:szCs w:val="26"/>
        </w:rPr>
        <w:t xml:space="preserve">KHOA CÔNG NGHỆ THÔNG TIN</w:t>
      </w:r>
    </w:p>
    <w:p>
      <w:pPr>
        <w:spacing w:after="100" w:before="800"/>
        <w:jc w:val="center"/>
      </w:pPr>
      <w:r>
        <w:rPr>
          <w:rFonts w:ascii="Times New Roman" w:cs="Times New Roman" w:eastAsia="Times New Roman" w:hAnsi="Times New Roman"/>
          <w:b/>
          <w:bCs/>
          <w:i w:val="false"/>
          <w:iCs w:val="false"/>
          <w:color w:val="1F3864"/>
          <w:sz w:val="40"/>
          <w:szCs w:val="40"/>
        </w:rPr>
        <w:t xml:space="preserve">PHÂN TÍCH CÁC RÀNG BUỘC HỆ THỐNG</w:t>
      </w:r>
    </w:p>
    <w:p>
      <w:pPr>
        <w:spacing w:after="300"/>
        <w:jc w:val="center"/>
      </w:pPr>
      <w:r>
        <w:rPr>
          <w:rFonts w:ascii="Times New Roman" w:cs="Times New Roman" w:eastAsia="Times New Roman" w:hAnsi="Times New Roman"/>
          <w:b w:val="false"/>
          <w:bCs w:val="false"/>
          <w:i/>
          <w:iCs/>
          <w:sz w:val="24"/>
          <w:szCs w:val="24"/>
        </w:rPr>
        <w:t xml:space="preserve">(System Constraints Analysis)</w:t>
      </w:r>
    </w:p>
    <w:p>
      <w:pPr>
        <w:spacing w:after="60"/>
        <w:jc w:val="center"/>
      </w:pPr>
      <w:r>
        <w:rPr>
          <w:rFonts w:ascii="Times New Roman" w:cs="Times New Roman" w:eastAsia="Times New Roman" w:hAnsi="Times New Roman"/>
          <w:b/>
          <w:bCs/>
          <w:i w:val="false"/>
          <w:iCs w:val="false"/>
          <w:sz w:val="28"/>
          <w:szCs w:val="28"/>
        </w:rPr>
        <w:t xml:space="preserve">HỆ THỐNG QUẢN LÝ TUYỂN SINH SAU ĐẠI HỌC</w:t>
      </w:r>
    </w:p>
    <w:p>
      <w:pPr>
        <w:spacing w:after="600"/>
        <w:jc w:val="center"/>
      </w:pPr>
      <w:r>
        <w:rPr>
          <w:rFonts w:ascii="Times New Roman" w:cs="Times New Roman" w:eastAsia="Times New Roman" w:hAnsi="Times New Roman"/>
          <w:b w:val="false"/>
          <w:bCs w:val="false"/>
          <w:i w:val="false"/>
          <w:iCs w:val="false"/>
          <w:sz w:val="24"/>
          <w:szCs w:val="24"/>
        </w:rPr>
        <w:t xml:space="preserve">(Thạc sĩ &amp; Tiến sĩ)</w:t>
      </w:r>
    </w:p>
    <w:tbl>
      <w:tblPr>
        <w:tblW w:type="dxa" w:w="80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5400"/>
      </w:tblGrid>
      <w:tr>
        <w:tc>
          <w:tcPr>
            <w:tcW w:type="dxa" w:w="2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bCs/>
                <w:i w:val="false"/>
                <w:iCs w:val="false"/>
                <w:sz w:val="22"/>
                <w:szCs w:val="22"/>
              </w:rPr>
              <w:t xml:space="preserve">Phiên bản</w:t>
            </w:r>
          </w:p>
        </w:tc>
        <w:tc>
          <w:tcPr>
            <w:tcW w:type="dxa" w:w="5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1.0 — Bản phân tích ràng buộc hệ thống</w:t>
            </w:r>
          </w:p>
        </w:tc>
      </w:tr>
      <w:tr>
        <w:tc>
          <w:tcPr>
            <w:tcW w:type="dxa" w:w="2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bCs/>
                <w:i w:val="false"/>
                <w:iCs w:val="false"/>
                <w:sz w:val="22"/>
                <w:szCs w:val="22"/>
              </w:rPr>
              <w:t xml:space="preserve">Ngày ban hành</w:t>
            </w:r>
          </w:p>
        </w:tc>
        <w:tc>
          <w:tcPr>
            <w:tcW w:type="dxa" w:w="5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18/09/2026</w:t>
            </w:r>
          </w:p>
        </w:tc>
      </w:tr>
      <w:tr>
        <w:tc>
          <w:tcPr>
            <w:tcW w:type="dxa" w:w="2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bCs/>
                <w:i w:val="false"/>
                <w:iCs w:val="false"/>
                <w:sz w:val="22"/>
                <w:szCs w:val="22"/>
              </w:rPr>
              <w:t xml:space="preserve">Trạng thái</w:t>
            </w:r>
          </w:p>
        </w:tc>
        <w:tc>
          <w:tcPr>
            <w:tcW w:type="dxa" w:w="5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Hoàn chỉnh — tổng hợp và phân tích chi tiết từ Giai đoạn 1 (thu thập yêu cầu, SRS)</w:t>
            </w:r>
          </w:p>
        </w:tc>
      </w:tr>
      <w:tr>
        <w:tc>
          <w:tcPr>
            <w:tcW w:type="dxa" w:w="2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bCs/>
                <w:i w:val="false"/>
                <w:iCs w:val="false"/>
                <w:sz w:val="22"/>
                <w:szCs w:val="22"/>
              </w:rPr>
              <w:t xml:space="preserve">Phạm vi</w:t>
            </w:r>
          </w:p>
        </w:tc>
        <w:tc>
          <w:tcPr>
            <w:tcW w:type="dxa" w:w="5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Web Admin &amp; Lecturer Portal — Phân hệ Quản lý Tuyển sinh Sau đại học</w:t>
            </w:r>
          </w:p>
        </w:tc>
      </w:tr>
      <w:tr>
        <w:tc>
          <w:tcPr>
            <w:tcW w:type="dxa" w:w="2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bCs/>
                <w:i w:val="false"/>
                <w:iCs w:val="false"/>
                <w:sz w:val="22"/>
                <w:szCs w:val="22"/>
              </w:rPr>
              <w:t xml:space="preserve">Căn cứ pháp lý</w:t>
            </w:r>
          </w:p>
        </w:tc>
        <w:tc>
          <w:tcPr>
            <w:tcW w:type="dxa" w:w="5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Thông tư 53/2026/TT-BGDĐT; Nghị định 13/2023/NĐ-CP về bảo vệ dữ liệu cá nhân; Luật Giáo dục đại học</w:t>
            </w:r>
          </w:p>
        </w:tc>
      </w:tr>
    </w:tbl>
    <w:p>
      <w:pPr>
        <w:spacing w:before="1200"/>
      </w:pPr>
    </w:p>
    <w:p>
      <w:pPr>
        <w:jc w:val="center"/>
      </w:pPr>
      <w:r>
        <w:rPr>
          <w:rFonts w:ascii="Times New Roman" w:cs="Times New Roman" w:eastAsia="Times New Roman" w:hAnsi="Times New Roman"/>
          <w:b/>
          <w:bCs/>
          <w:i w:val="false"/>
          <w:iCs w:val="false"/>
          <w:sz w:val="24"/>
          <w:szCs w:val="24"/>
        </w:rPr>
        <w:t xml:space="preserve">AN GIANG, THÁNG 9 — NĂM 2026</w:t>
      </w:r>
    </w:p>
    <w:p>
      <w:r>
        <w:br w:type="page"/>
      </w:r>
    </w:p>
    <w:p>
      <w:pPr>
        <w:sectPr>
          <w:pgSz w:w="11906" w:h="16838" w:orient="portrait"/>
          <w:pgMar w:top="1134" w:right="1134" w:bottom="1134" w:left="1701" w:header="708" w:footer="708" w:gutter="0"/>
          <w:pgNumType/>
          <w:docGrid w:linePitch="360"/>
        </w:sectPr>
      </w:pPr>
    </w:p>
    <w:p>
      <w:pPr>
        <w:pStyle w:val="Heading1"/>
        <w:spacing w:after="300"/>
        <w:jc w:val="center"/>
      </w:pPr>
      <w:r>
        <w:rPr>
          <w:rFonts w:ascii="Times New Roman" w:cs="Times New Roman" w:eastAsia="Times New Roman" w:hAnsi="Times New Roman"/>
          <w:b/>
          <w:bCs/>
          <w:i w:val="false"/>
          <w:iCs w:val="false"/>
          <w:color w:val="1F3864"/>
          <w:sz w:val="32"/>
          <w:szCs w:val="32"/>
        </w:rPr>
        <w:t xml:space="preserve">MỤC LỤC</w:t>
      </w:r>
    </w:p>
    <w:p>
      <w:pPr>
        <w:spacing w:after="100"/>
        <w:ind w:left="0"/>
      </w:pPr>
      <w:r>
        <w:rPr>
          <w:rFonts w:ascii="Times New Roman" w:cs="Times New Roman" w:eastAsia="Times New Roman" w:hAnsi="Times New Roman"/>
          <w:b/>
          <w:bCs/>
          <w:i w:val="false"/>
          <w:iCs w:val="false"/>
          <w:sz w:val="24"/>
          <w:szCs w:val="24"/>
        </w:rPr>
        <w:t xml:space="preserve">1. GIỚI THIỆU</w:t>
      </w:r>
    </w:p>
    <w:p>
      <w:pPr>
        <w:spacing w:after="100"/>
        <w:ind w:left="500"/>
      </w:pPr>
      <w:r>
        <w:rPr>
          <w:rFonts w:ascii="Times New Roman" w:cs="Times New Roman" w:eastAsia="Times New Roman" w:hAnsi="Times New Roman"/>
          <w:b w:val="false"/>
          <w:bCs w:val="false"/>
          <w:i w:val="false"/>
          <w:iCs w:val="false"/>
          <w:sz w:val="22"/>
          <w:szCs w:val="22"/>
        </w:rPr>
        <w:t xml:space="preserve">1.1. Mục đích tài liệu</w:t>
      </w:r>
    </w:p>
    <w:p>
      <w:pPr>
        <w:spacing w:after="100"/>
        <w:ind w:left="500"/>
      </w:pPr>
      <w:r>
        <w:rPr>
          <w:rFonts w:ascii="Times New Roman" w:cs="Times New Roman" w:eastAsia="Times New Roman" w:hAnsi="Times New Roman"/>
          <w:b w:val="false"/>
          <w:bCs w:val="false"/>
          <w:i w:val="false"/>
          <w:iCs w:val="false"/>
          <w:sz w:val="22"/>
          <w:szCs w:val="22"/>
        </w:rPr>
        <w:t xml:space="preserve">1.2. Phạm vi phân tích</w:t>
      </w:r>
    </w:p>
    <w:p>
      <w:pPr>
        <w:spacing w:after="100"/>
        <w:ind w:left="500"/>
      </w:pPr>
      <w:r>
        <w:rPr>
          <w:rFonts w:ascii="Times New Roman" w:cs="Times New Roman" w:eastAsia="Times New Roman" w:hAnsi="Times New Roman"/>
          <w:b w:val="false"/>
          <w:bCs w:val="false"/>
          <w:i w:val="false"/>
          <w:iCs w:val="false"/>
          <w:sz w:val="22"/>
          <w:szCs w:val="22"/>
        </w:rPr>
        <w:t xml:space="preserve">1.3. Đối tượng đọc tài liệu</w:t>
      </w:r>
    </w:p>
    <w:p>
      <w:pPr>
        <w:spacing w:after="100"/>
        <w:ind w:left="500"/>
      </w:pPr>
      <w:r>
        <w:rPr>
          <w:rFonts w:ascii="Times New Roman" w:cs="Times New Roman" w:eastAsia="Times New Roman" w:hAnsi="Times New Roman"/>
          <w:b w:val="false"/>
          <w:bCs w:val="false"/>
          <w:i w:val="false"/>
          <w:iCs w:val="false"/>
          <w:sz w:val="22"/>
          <w:szCs w:val="22"/>
        </w:rPr>
        <w:t xml:space="preserve">1.4. Từ viết tắt &amp; định nghĩa</w:t>
      </w:r>
    </w:p>
    <w:p>
      <w:pPr>
        <w:spacing w:after="100"/>
        <w:ind w:left="500"/>
      </w:pPr>
      <w:r>
        <w:rPr>
          <w:rFonts w:ascii="Times New Roman" w:cs="Times New Roman" w:eastAsia="Times New Roman" w:hAnsi="Times New Roman"/>
          <w:b w:val="false"/>
          <w:bCs w:val="false"/>
          <w:i w:val="false"/>
          <w:iCs w:val="false"/>
          <w:sz w:val="22"/>
          <w:szCs w:val="22"/>
        </w:rPr>
        <w:t xml:space="preserve">1.5. Tài liệu tham khảo</w:t>
      </w:r>
    </w:p>
    <w:p>
      <w:pPr>
        <w:spacing w:after="100"/>
        <w:ind w:left="0"/>
      </w:pPr>
      <w:r>
        <w:rPr>
          <w:rFonts w:ascii="Times New Roman" w:cs="Times New Roman" w:eastAsia="Times New Roman" w:hAnsi="Times New Roman"/>
          <w:b/>
          <w:bCs/>
          <w:i w:val="false"/>
          <w:iCs w:val="false"/>
          <w:sz w:val="24"/>
          <w:szCs w:val="24"/>
        </w:rPr>
        <w:t xml:space="preserve">2. TỔNG QUAN PHÂN LOẠI RÀNG BUỘC</w:t>
      </w:r>
    </w:p>
    <w:p>
      <w:pPr>
        <w:spacing w:after="100"/>
        <w:ind w:left="0"/>
      </w:pPr>
      <w:r>
        <w:rPr>
          <w:rFonts w:ascii="Times New Roman" w:cs="Times New Roman" w:eastAsia="Times New Roman" w:hAnsi="Times New Roman"/>
          <w:b/>
          <w:bCs/>
          <w:i w:val="false"/>
          <w:iCs w:val="false"/>
          <w:sz w:val="24"/>
          <w:szCs w:val="24"/>
        </w:rPr>
        <w:t xml:space="preserve">3. RÀNG BUỘC NGHIỆP VỤ (BUSINESS CONSTRAINTS – BC)</w:t>
      </w:r>
    </w:p>
    <w:p>
      <w:pPr>
        <w:spacing w:after="100"/>
        <w:ind w:left="0"/>
      </w:pPr>
      <w:r>
        <w:rPr>
          <w:rFonts w:ascii="Times New Roman" w:cs="Times New Roman" w:eastAsia="Times New Roman" w:hAnsi="Times New Roman"/>
          <w:b/>
          <w:bCs/>
          <w:i w:val="false"/>
          <w:iCs w:val="false"/>
          <w:sz w:val="24"/>
          <w:szCs w:val="24"/>
        </w:rPr>
        <w:t xml:space="preserve">4. RÀNG BUỘC DỮ LIỆU (DATA CONSTRAINTS – DC)</w:t>
      </w:r>
    </w:p>
    <w:p>
      <w:pPr>
        <w:spacing w:after="100"/>
        <w:ind w:left="0"/>
      </w:pPr>
      <w:r>
        <w:rPr>
          <w:rFonts w:ascii="Times New Roman" w:cs="Times New Roman" w:eastAsia="Times New Roman" w:hAnsi="Times New Roman"/>
          <w:b/>
          <w:bCs/>
          <w:i w:val="false"/>
          <w:iCs w:val="false"/>
          <w:sz w:val="24"/>
          <w:szCs w:val="24"/>
        </w:rPr>
        <w:t xml:space="preserve">5. RÀNG BUỘC BẢO MẬT, XÁC THỰC &amp; PHÁP LÝ (SECURITY &amp; LEGAL CONSTRAINTS – SC)</w:t>
      </w:r>
    </w:p>
    <w:p>
      <w:pPr>
        <w:spacing w:after="100"/>
        <w:ind w:left="0"/>
      </w:pPr>
      <w:r>
        <w:rPr>
          <w:rFonts w:ascii="Times New Roman" w:cs="Times New Roman" w:eastAsia="Times New Roman" w:hAnsi="Times New Roman"/>
          <w:b/>
          <w:bCs/>
          <w:i w:val="false"/>
          <w:iCs w:val="false"/>
          <w:sz w:val="24"/>
          <w:szCs w:val="24"/>
        </w:rPr>
        <w:t xml:space="preserve">6. RÀNG BUỘC KỸ THUẬT (TECHNICAL CONSTRAINTS – TC)</w:t>
      </w:r>
    </w:p>
    <w:p>
      <w:pPr>
        <w:spacing w:after="100"/>
        <w:ind w:left="0"/>
      </w:pPr>
      <w:r>
        <w:rPr>
          <w:rFonts w:ascii="Times New Roman" w:cs="Times New Roman" w:eastAsia="Times New Roman" w:hAnsi="Times New Roman"/>
          <w:b/>
          <w:bCs/>
          <w:i w:val="false"/>
          <w:iCs w:val="false"/>
          <w:sz w:val="24"/>
          <w:szCs w:val="24"/>
        </w:rPr>
        <w:t xml:space="preserve">7. RÀNG BUỘC NGƯỜI DÙNG &amp; GIAO DIỆN (USER CONSTRAINTS – UC)</w:t>
      </w:r>
    </w:p>
    <w:p>
      <w:pPr>
        <w:spacing w:after="100"/>
        <w:ind w:left="0"/>
      </w:pPr>
      <w:r>
        <w:rPr>
          <w:rFonts w:ascii="Times New Roman" w:cs="Times New Roman" w:eastAsia="Times New Roman" w:hAnsi="Times New Roman"/>
          <w:b/>
          <w:bCs/>
          <w:i w:val="false"/>
          <w:iCs w:val="false"/>
          <w:sz w:val="24"/>
          <w:szCs w:val="24"/>
        </w:rPr>
        <w:t xml:space="preserve">8. MA TRẬN LIÊN KẾT RÀNG BUỘC VỚI YÊU CẦU HỆ THỐNG</w:t>
      </w:r>
    </w:p>
    <w:p>
      <w:pPr>
        <w:spacing w:after="100"/>
        <w:ind w:left="0"/>
      </w:pPr>
      <w:r>
        <w:rPr>
          <w:rFonts w:ascii="Times New Roman" w:cs="Times New Roman" w:eastAsia="Times New Roman" w:hAnsi="Times New Roman"/>
          <w:b/>
          <w:bCs/>
          <w:i w:val="false"/>
          <w:iCs w:val="false"/>
          <w:sz w:val="24"/>
          <w:szCs w:val="24"/>
        </w:rPr>
        <w:t xml:space="preserve">9. RỦI RO VÀ KHUYẾN NGHỊ LIÊN QUAN ĐẾN RÀNG BUỘC</w:t>
      </w:r>
    </w:p>
    <w:p>
      <w:pPr>
        <w:spacing w:after="100"/>
        <w:ind w:left="0"/>
      </w:pPr>
      <w:r>
        <w:rPr>
          <w:rFonts w:ascii="Times New Roman" w:cs="Times New Roman" w:eastAsia="Times New Roman" w:hAnsi="Times New Roman"/>
          <w:b/>
          <w:bCs/>
          <w:i w:val="false"/>
          <w:iCs w:val="false"/>
          <w:sz w:val="24"/>
          <w:szCs w:val="24"/>
        </w:rPr>
        <w:t xml:space="preserve">10. KẾT LUẬN</w:t>
      </w:r>
    </w:p>
    <w:p>
      <w:r>
        <w:br w:type="page"/>
      </w:r>
    </w:p>
    <w:p>
      <w:pPr>
        <w:sectPr>
          <w:pgSz w:w="11906" w:h="16838" w:orient="portrait"/>
          <w:pgMar w:top="1134" w:right="1134" w:bottom="1134" w:left="1701" w:header="708" w:footer="708" w:gutter="0"/>
          <w:pgNumType/>
          <w:docGrid w:linePitch="360"/>
        </w:sectPr>
      </w:pPr>
    </w:p>
    <w:p>
      <w:pPr>
        <w:pStyle w:val="Heading1"/>
        <w:spacing w:after="200" w:before="360"/>
      </w:pPr>
      <w:r>
        <w:rPr>
          <w:rFonts w:ascii="Times New Roman" w:cs="Times New Roman" w:eastAsia="Times New Roman" w:hAnsi="Times New Roman"/>
          <w:b/>
          <w:bCs/>
          <w:color w:val="1F3864"/>
          <w:sz w:val="30"/>
          <w:szCs w:val="30"/>
        </w:rPr>
        <w:t xml:space="preserve">1. GIỚI THIỆU</w:t>
      </w:r>
    </w:p>
    <w:p>
      <w:pPr>
        <w:pStyle w:val="Heading2"/>
        <w:spacing w:after="160" w:before="260"/>
      </w:pPr>
      <w:r>
        <w:rPr>
          <w:rFonts w:ascii="Times New Roman" w:cs="Times New Roman" w:eastAsia="Times New Roman" w:hAnsi="Times New Roman"/>
          <w:b/>
          <w:bCs/>
          <w:color w:val="2E5395"/>
          <w:sz w:val="26"/>
          <w:szCs w:val="26"/>
        </w:rPr>
        <w:t xml:space="preserve">1.1. Mục đích tài liệu</w:t>
      </w:r>
    </w:p>
    <w:p>
      <w:pPr>
        <w:spacing w:after="160" w:line="300"/>
        <w:jc w:val="both"/>
      </w:pPr>
      <w:r>
        <w:rPr>
          <w:rFonts w:ascii="Times New Roman" w:cs="Times New Roman" w:eastAsia="Times New Roman" w:hAnsi="Times New Roman"/>
          <w:b w:val="false"/>
          <w:bCs w:val="false"/>
          <w:i w:val="false"/>
          <w:iCs w:val="false"/>
          <w:sz w:val="24"/>
          <w:szCs w:val="24"/>
        </w:rPr>
        <w:t xml:space="preserve">Tài liệu này trình bày kết quả phân tích các ràng buộc (constraints) của Hệ thống Quản lý Tuyển sinh Sau đại học (Thạc sĩ &amp; Tiến sĩ), được tổng hợp và chọn lọc từ kết quả thu thập, phỏng vấn stakeholders và tài liệu Đặc tả yêu cầu phần mềm (SRS) trong Giai đoạn 1 của dự án. Ràng buộc hệ thống là những điều kiện, giới hạn hoặc quy tắc bắt buộc mà hệ thống phải tuân thủ trong quá trình thiết kế, xây dựng và vận hành — khác với yêu cầu chức năng (mô tả hệ thống làm gì) ở chỗ ràng buộc mô tả những giới hạn hệ thống không được vi phạm.</w:t>
      </w:r>
    </w:p>
    <w:p>
      <w:pPr>
        <w:spacing w:after="160" w:line="300"/>
        <w:jc w:val="both"/>
      </w:pPr>
      <w:r>
        <w:rPr>
          <w:rFonts w:ascii="Times New Roman" w:cs="Times New Roman" w:eastAsia="Times New Roman" w:hAnsi="Times New Roman"/>
          <w:b w:val="false"/>
          <w:bCs w:val="false"/>
          <w:i w:val="false"/>
          <w:iCs w:val="false"/>
          <w:sz w:val="24"/>
          <w:szCs w:val="24"/>
        </w:rPr>
        <w:t xml:space="preserve">Tài liệu là cơ sở để đội ngũ phân tích nghiệp vụ (BA), thiết kế hệ thống, phát triển phần mềm (Dev) và kiểm thử (QA) hiểu rõ các "luật chơi" bắt buộc, từ đó thiết kế kiến trúc, cơ sở dữ liệu và quy trình xử lý phù hợp ngay từ đầu, tránh phải sửa đổi lớn ở giai đoạn sau.</w:t>
      </w:r>
    </w:p>
    <w:p>
      <w:pPr>
        <w:pStyle w:val="Heading2"/>
        <w:spacing w:after="160" w:before="260"/>
      </w:pPr>
      <w:r>
        <w:rPr>
          <w:rFonts w:ascii="Times New Roman" w:cs="Times New Roman" w:eastAsia="Times New Roman" w:hAnsi="Times New Roman"/>
          <w:b/>
          <w:bCs/>
          <w:color w:val="2E5395"/>
          <w:sz w:val="26"/>
          <w:szCs w:val="26"/>
        </w:rPr>
        <w:t xml:space="preserve">1.2. Phạm vi phân tích</w:t>
      </w:r>
    </w:p>
    <w:p>
      <w:pPr>
        <w:spacing w:after="160" w:line="300"/>
        <w:jc w:val="both"/>
      </w:pPr>
      <w:r>
        <w:rPr>
          <w:rFonts w:ascii="Times New Roman" w:cs="Times New Roman" w:eastAsia="Times New Roman" w:hAnsi="Times New Roman"/>
          <w:b w:val="false"/>
          <w:bCs w:val="false"/>
          <w:i w:val="false"/>
          <w:iCs w:val="false"/>
          <w:sz w:val="24"/>
          <w:szCs w:val="24"/>
        </w:rPr>
        <w:t xml:space="preserve">Tài liệu tập trung phân tích 5 nhóm ràng buộc của phân hệ Quản lý Tuyển sinh Sau đại học:</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Ràng buộc nghiệp vụ (Business Constraints – BC): các quy tắc về luồng xử lý, trạng thái hồ sơ, thời hạn theo quy chế tuyển sinh.</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Ràng buộc dữ liệu (Data Constraints – DC): các quy tắc về cấu trúc, tính toàn vẹn và vòng đời dữ liệu.</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Ràng buộc bảo mật, xác thực &amp; pháp lý (Security &amp; Legal Constraints – SC): các quy tắc về xác thực, phân quyền, bảo vệ dữ liệu cá nhân.</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Ràng buộc kỹ thuật (Technical Constraints – TC): các quy tắc về hạ tầng, hiệu năng, khả năng mở rộng, sao lưu — phục hồi.</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Ràng buộc người dùng &amp; giao diện (User Constraints – UC): các quy tắc về trải nghiệm người dùng và giao diện theo vai trò.</w:t>
      </w:r>
    </w:p>
    <w:p>
      <w:pPr>
        <w:spacing w:after="160" w:line="300"/>
        <w:jc w:val="both"/>
      </w:pPr>
      <w:r>
        <w:rPr>
          <w:rFonts w:ascii="Times New Roman" w:cs="Times New Roman" w:eastAsia="Times New Roman" w:hAnsi="Times New Roman"/>
          <w:b w:val="false"/>
          <w:bCs w:val="false"/>
          <w:i w:val="false"/>
          <w:iCs w:val="false"/>
          <w:sz w:val="24"/>
          <w:szCs w:val="24"/>
        </w:rPr>
        <w:t xml:space="preserve">Mỗi ràng buộc được trình bày kèm phần phân tích ảnh hưởng đến thiết kế hệ thống, giúp nhóm phát triển hình dung rõ cách hiện thực hóa ràng buộc đó trong kiến trúc thực tế.</w:t>
      </w:r>
    </w:p>
    <w:p>
      <w:pPr>
        <w:pStyle w:val="Heading2"/>
        <w:spacing w:after="160" w:before="260"/>
      </w:pPr>
      <w:r>
        <w:rPr>
          <w:rFonts w:ascii="Times New Roman" w:cs="Times New Roman" w:eastAsia="Times New Roman" w:hAnsi="Times New Roman"/>
          <w:b/>
          <w:bCs/>
          <w:color w:val="2E5395"/>
          <w:sz w:val="26"/>
          <w:szCs w:val="26"/>
        </w:rPr>
        <w:t xml:space="preserve">1.3. Đối tượng đọc tài liệu</w:t>
      </w:r>
    </w:p>
    <w:p>
      <w:pPr>
        <w:spacing w:after="160" w:line="300"/>
        <w:jc w:val="both"/>
      </w:pPr>
      <w:r>
        <w:rPr>
          <w:rFonts w:ascii="Times New Roman" w:cs="Times New Roman" w:eastAsia="Times New Roman" w:hAnsi="Times New Roman"/>
          <w:b w:val="false"/>
          <w:bCs w:val="false"/>
          <w:i w:val="false"/>
          <w:iCs w:val="false"/>
          <w:sz w:val="24"/>
          <w:szCs w:val="24"/>
        </w:rPr>
        <w:t xml:space="preserve">Ban quản lý dự án, Phòng Đào tạo Sau đại học, Phòng/Trung tâm Công nghệ thông tin, đội ngũ phân tích nghiệp vụ (BA), kiến trúc sư hệ thống, lập trình viên (Dev), kiểm thử viên (QA) và các stakeholder liên quan khác của dự án.</w:t>
      </w:r>
    </w:p>
    <w:p>
      <w:pPr>
        <w:pStyle w:val="Heading2"/>
        <w:spacing w:after="160" w:before="260"/>
      </w:pPr>
      <w:r>
        <w:rPr>
          <w:rFonts w:ascii="Times New Roman" w:cs="Times New Roman" w:eastAsia="Times New Roman" w:hAnsi="Times New Roman"/>
          <w:b/>
          <w:bCs/>
          <w:color w:val="2E5395"/>
          <w:sz w:val="26"/>
          <w:szCs w:val="26"/>
        </w:rPr>
        <w:t xml:space="preserve">1.4. Từ viết tắt &amp; định nghĩa</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600"/>
        <w:gridCol w:w="7471"/>
      </w:tblGrid>
      <w:tr>
        <w:trPr>
          <w:tblHeader/>
        </w:trPr>
        <w:tc>
          <w:tcPr>
            <w:tcW w:type="dxa" w:w="1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Thuật ngữ</w:t>
            </w:r>
          </w:p>
        </w:tc>
        <w:tc>
          <w:tcPr>
            <w:tcW w:type="dxa" w:w="74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Diễn giải</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Business Constraint — Ràng buộc nghiệp vụ.</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Data Constraint — Ràng buộc dữ liệu.</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Security &amp; Legal Constraint — Ràng buộc bảo mật, xác thực &amp; pháp lý.</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Technical Constraint — Ràng buộc kỹ thuật.</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User Constraint — Ràng buộc người dùng &amp; giao diện.</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NCS</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Nghiên cứu sinh — thí sinh/ứng viên bậc Tiến sĩ.</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GVHD</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Giảng viên hướng dẫn khoa học.</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RBAC</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Role-Based Access Control — Kiểm soát truy cập theo vai trò.</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OTP</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One-Time Password — Mật khẩu dùng một lần.</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CCU</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Concurrent Users — Số người dùng truy cập đồng thời.</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RPO / RTO</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Recovery Point Objective / Recovery Time Objective — Mục tiêu điểm khôi phục / thời gian khôi phục.</w:t>
            </w:r>
          </w:p>
        </w:tc>
      </w:tr>
      <w:tr>
        <w:tc>
          <w:tcPr>
            <w:tcW w:type="dxa" w:w="1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DPIA</w:t>
            </w:r>
          </w:p>
        </w:tc>
        <w:tc>
          <w:tcPr>
            <w:tcW w:type="dxa" w:w="74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Data Protection Impact Assessment — Đánh giá tác động xử lý dữ liệu cá nhân.</w:t>
            </w:r>
          </w:p>
        </w:tc>
      </w:tr>
      <w:tr>
        <w:tc>
          <w:tcPr>
            <w:tcW w:type="dxa" w:w="1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SLA</w:t>
            </w:r>
          </w:p>
        </w:tc>
        <w:tc>
          <w:tcPr>
            <w:tcW w:type="dxa" w:w="74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Service Level Agreement — Cam kết mức độ dịch vụ.</w:t>
            </w:r>
          </w:p>
        </w:tc>
      </w:tr>
    </w:tbl>
    <w:p>
      <w:pPr>
        <w:pStyle w:val="Heading2"/>
        <w:spacing w:after="160" w:before="260"/>
      </w:pPr>
      <w:r>
        <w:rPr>
          <w:rFonts w:ascii="Times New Roman" w:cs="Times New Roman" w:eastAsia="Times New Roman" w:hAnsi="Times New Roman"/>
          <w:b/>
          <w:bCs/>
          <w:color w:val="2E5395"/>
          <w:sz w:val="26"/>
          <w:szCs w:val="26"/>
        </w:rPr>
        <w:t xml:space="preserve">1.5. Tài liệu tham khảo</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Tài liệu Đặc tả yêu cầu phần mềm (SRS) — Hệ thống Quản lý Tuyển sinh Sau đại học, phiên bản 1.0 (nội bộ dự án).</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Tài liệu Thu thập và phỏng vấn Stakeholders — Giai đoạn 1 (nội bộ dự án).</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Tài liệu Xác định phạm vi dự án (Project Scope Statement) v1.0 (nội bộ dự án).</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Thông tư 53/2026/TT-BGDĐT — Quy chế tuyển sinh và đào tạo sau đại học.</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Nghị định 13/2023/NĐ-CP — Bảo vệ dữ liệu cá nhân.</w:t>
      </w:r>
    </w:p>
    <w:p>
      <w:pPr>
        <w:pStyle w:val="Heading1"/>
        <w:spacing w:after="200" w:before="360"/>
      </w:pPr>
      <w:r>
        <w:rPr>
          <w:rFonts w:ascii="Times New Roman" w:cs="Times New Roman" w:eastAsia="Times New Roman" w:hAnsi="Times New Roman"/>
          <w:b/>
          <w:bCs/>
          <w:color w:val="1F3864"/>
          <w:sz w:val="30"/>
          <w:szCs w:val="30"/>
        </w:rPr>
        <w:t xml:space="preserve">2. TỔNG QUAN PHÂN LOẠI RÀNG BUỘC</w:t>
      </w:r>
    </w:p>
    <w:p>
      <w:pPr>
        <w:spacing w:after="160" w:line="300"/>
        <w:jc w:val="both"/>
      </w:pPr>
      <w:r>
        <w:rPr>
          <w:rFonts w:ascii="Times New Roman" w:cs="Times New Roman" w:eastAsia="Times New Roman" w:hAnsi="Times New Roman"/>
          <w:b w:val="false"/>
          <w:bCs w:val="false"/>
          <w:i w:val="false"/>
          <w:iCs w:val="false"/>
          <w:sz w:val="24"/>
          <w:szCs w:val="24"/>
        </w:rPr>
        <w:t xml:space="preserve">Các ràng buộc thu thập được từ quá trình phỏng vấn stakeholder và phân tích SRS được nhóm thành 5 loại theo bản chất, nhằm thuận tiện cho việc tra cứu, phân công thiết kế và kiểm thử. Tổng cộng có 41 ràng buộc được xác định.</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1300"/>
        <w:gridCol w:w="1100"/>
        <w:gridCol w:w="4271"/>
      </w:tblGrid>
      <w:tr>
        <w:trPr>
          <w:tblHeader/>
        </w:trPr>
        <w:tc>
          <w:tcPr>
            <w:tcW w:type="dxa" w:w="24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Loại ràng buộc</w:t>
            </w:r>
          </w:p>
        </w:tc>
        <w:tc>
          <w:tcPr>
            <w:tcW w:type="dxa" w:w="1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Số lượng</w:t>
            </w:r>
          </w:p>
        </w:tc>
        <w:tc>
          <w:tcPr>
            <w:tcW w:type="dxa" w:w="42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2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Ràng buộc nghiệp vụ (Business Constraints)</w:t>
            </w:r>
          </w:p>
        </w:tc>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w:t>
            </w:r>
          </w:p>
        </w:tc>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12</w:t>
            </w:r>
          </w:p>
        </w:tc>
        <w:tc>
          <w:tcPr>
            <w:tcW w:type="dxa" w:w="4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Quy định về luồng xử lý nghiệp vụ, trạng thái hồ sơ, thời hạn, quy chế tuyển sinh mà hệ thống bắt buộc phải tuân theo.</w:t>
            </w:r>
          </w:p>
        </w:tc>
      </w:tr>
      <w:tr>
        <w:tc>
          <w:tcPr>
            <w:tcW w:type="dxa" w:w="24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Ràng buộc dữ liệu (Data Constraints)</w:t>
            </w:r>
          </w:p>
        </w:tc>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w:t>
            </w:r>
          </w:p>
        </w:tc>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10</w:t>
            </w:r>
          </w:p>
        </w:tc>
        <w:tc>
          <w:tcPr>
            <w:tcW w:type="dxa" w:w="4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Quy định về cấu trúc, tính toàn vẹn, định dạng và vòng đời của dữ liệu trong hệ thống.</w:t>
            </w:r>
          </w:p>
        </w:tc>
      </w:tr>
      <w:tr>
        <w:tc>
          <w:tcPr>
            <w:tcW w:type="dxa" w:w="2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Ràng buộc bảo mật, xác thực &amp; pháp lý (Security &amp; Legal Constraints)</w:t>
            </w:r>
          </w:p>
        </w:tc>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w:t>
            </w:r>
          </w:p>
        </w:tc>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8</w:t>
            </w:r>
          </w:p>
        </w:tc>
        <w:tc>
          <w:tcPr>
            <w:tcW w:type="dxa" w:w="4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Quy định về xác thực người dùng, phân quyền, mã hóa, tuân thủ pháp luật bảo vệ dữ liệu cá nhân.</w:t>
            </w:r>
          </w:p>
        </w:tc>
      </w:tr>
      <w:tr>
        <w:tc>
          <w:tcPr>
            <w:tcW w:type="dxa" w:w="24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Ràng buộc kỹ thuật (Technical Constraints)</w:t>
            </w:r>
          </w:p>
        </w:tc>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w:t>
            </w:r>
          </w:p>
        </w:tc>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8</w:t>
            </w:r>
          </w:p>
        </w:tc>
        <w:tc>
          <w:tcPr>
            <w:tcW w:type="dxa" w:w="4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Quy định về hạ tầng, hiệu năng, khả năng mở rộng, sao lưu – phục hồi và nhật ký hệ thống.</w:t>
            </w:r>
          </w:p>
        </w:tc>
      </w:tr>
      <w:tr>
        <w:tc>
          <w:tcPr>
            <w:tcW w:type="dxa" w:w="24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Ràng buộc người dùng &amp; giao diện (User Constraints)</w:t>
            </w:r>
          </w:p>
        </w:tc>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w:t>
            </w:r>
          </w:p>
        </w:tc>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3</w:t>
            </w:r>
          </w:p>
        </w:tc>
        <w:tc>
          <w:tcPr>
            <w:tcW w:type="dxa" w:w="4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Quy định về trải nghiệm người dùng, phân vai trò giao diện và thời gian phản hồi thông báo.</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
      </w:r>
    </w:p>
    <w:p>
      <w:pPr>
        <w:spacing w:after="160" w:line="300"/>
        <w:jc w:val="both"/>
      </w:pPr>
      <w:r>
        <w:rPr>
          <w:rFonts w:ascii="Times New Roman" w:cs="Times New Roman" w:eastAsia="Times New Roman" w:hAnsi="Times New Roman"/>
          <w:b w:val="false"/>
          <w:bCs w:val="false"/>
          <w:i w:val="false"/>
          <w:iCs w:val="false"/>
          <w:sz w:val="24"/>
          <w:szCs w:val="24"/>
        </w:rPr>
        <w:t xml:space="preserve">Ghi chú: các mã ràng buộc (BC/DC/SC/TC/UC) được sử dụng xuyên suốt trong tài liệu SRS và Ma trận truy vết yêu cầu (Requirement Traceability Matrix) để liên kết với các yêu cầu chức năng (FR) và phi chức năng (NFR) tương ứng.</w:t>
      </w:r>
    </w:p>
    <w:p>
      <w:pPr>
        <w:pStyle w:val="Heading1"/>
        <w:spacing w:after="200" w:before="360"/>
      </w:pPr>
      <w:r>
        <w:rPr>
          <w:rFonts w:ascii="Times New Roman" w:cs="Times New Roman" w:eastAsia="Times New Roman" w:hAnsi="Times New Roman"/>
          <w:b/>
          <w:bCs/>
          <w:color w:val="1F3864"/>
          <w:sz w:val="30"/>
          <w:szCs w:val="30"/>
        </w:rPr>
        <w:t xml:space="preserve">3. RÀNG BUỘC NGHIỆP VỤ (BUSINESS CONSTRAINTS – BC)</w:t>
      </w:r>
    </w:p>
    <w:p>
      <w:pPr>
        <w:spacing w:after="160" w:line="300"/>
        <w:jc w:val="both"/>
      </w:pPr>
      <w:r>
        <w:rPr>
          <w:rFonts w:ascii="Times New Roman" w:cs="Times New Roman" w:eastAsia="Times New Roman" w:hAnsi="Times New Roman"/>
          <w:b w:val="false"/>
          <w:bCs w:val="false"/>
          <w:i w:val="false"/>
          <w:iCs w:val="false"/>
          <w:sz w:val="24"/>
          <w:szCs w:val="24"/>
        </w:rPr>
        <w:t xml:space="preserve">Nhóm ràng buộc nghiệp vụ quy định các quy tắc bắt buộc trong vận hành nghiệp vụ tuyển sinh — bao gồm luồng trạng thái hồ sơ, thời hạn theo quy chế, giới hạn thao tác và các quy tắc xét tuyển. Đây là nhóm ràng buộc có ảnh hưởng lớn nhất đến thiết kế luồng xử lý (workflow) của hệ thống.</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100"/>
        <w:gridCol w:w="3600"/>
        <w:gridCol w:w="4371"/>
      </w:tblGrid>
      <w:tr>
        <w:trPr>
          <w:tblHeader/>
        </w:trPr>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 ràng buộc</w:t>
            </w:r>
          </w:p>
        </w:tc>
        <w:tc>
          <w:tcPr>
            <w:tcW w:type="dxa" w:w="43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Ảnh hưởng đến thiết kế hệ thống / Ghi chú</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quản lý tuyển sinh cho 2 bậc đào tạo Thạc sĩ và Tiến sĩ; mỗi bậc có bộ hồ sơ, điều kiện xét tuyển và quy trình xét duyệt riêng.</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CSDL và luồng nghiệp vụ phải tách biệt theo bậc đào tạo ngay từ đầu (ví dụ: bảng hồ sơ có trường "bậc đào tạo" chi phối toàn bộ luồng xử lý phía sau); tránh gộp chung một quy trình cứng cho cả hai bậc.</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Hồ sơ phải tuân thủ đúng luồng trạng thái tuyến tính: Nộp → Xử lý → Trúng tuyển/Rớt → Chờ bổ sung → Chờ thanh toán. Không được phép nhảy cóc trạng thái (ví dụ không thể từ "Nộp" chuyển thẳng sang "Trúng tuyển").</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cài đặt máy trạng thái hữu hạn (state machine) ở tầng nghiệp vụ/CSDL, kiểm soát chặt các transition hợp lệ; mọi API đổi trạng thái phải kiểm tra trạng thái nguồn trước khi cho phép chuyển.</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BC-03</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trúng tuyển được chuyển sang biểu mẫu nhập học riêng (khác biểu mẫu đăng ký dự tuyển ban đầu) để hoàn tất thủ tục nhập học.</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2 tập dữ liệu/form độc lập nhưng liên kết qua khóa ngoại (mã hồ sơ), tránh chỉnh sửa trực tiếp hồ sơ dự tuyển gốc khi làm thủ tục nhập học.</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BC-04</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Ở trạng thái Trúng tuyển/Rớt, thí sinh không được tự sửa lại thông tin đăng ký ban đầu; chỉ được "mở lại có kiểm soát" khi có khiếu nại được hội đồng chấp thuận.</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cơ chế phân quyền theo trạng thái hồ sơ (không chỉ theo vai trò người dùng) và quy trình phê duyệt "mở khóa tạm thời" có ghi log đầy đủ người yêu cầu/người duyệt.</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BC-05</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Thông báo tuyển sinh phải được công khai trên cổng thông tin ít nhất 30 ngày làm việc trước khi hết hạn nhận hồ sơ.</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Module quản lý đợt tuyển sinh cần có trường "ngày công bố thông báo" và cảnh báo tự động nếu khoảng cách giữa ngày công bố và ngày đóng hồ sơ nhỏ hơn 30 ngày làm việc.</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BC-06</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chỉ mở nhận hồ sơ trong khung thời gian quy định của từng đợt tuyển sinh; tự động khóa chức năng nộp hồ sơ khi hết hạn (tính theo giờ hệ thống, múi giờ GMT+7).</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job lập lịch (scheduler) chạy theo múi giờ GMT+7 để tự động đóng cổng nộp hồ sơ đúng thời điểm, độc lập với việc người quản trị có đăng nhập hay không.</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BC-07</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Mỗi thí sinh được đăng ký tối đa N nguyện vọng/ngành trong một đợt tuyển sinh (N do trường quy định, cấu hình được); không cho phép đổi ngành sau khi hồ sơ đã chuyển sang trạng thái "Xử lý".</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Tham số N phải được cấu hình qua màn hình quản trị theo từng đợt, không hard-code; validate số nguyện vọng ngay tại tầng ứng dụng và khóa chức năng đổi ngành khi trạng thái không còn là "Nộp".</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BC-08</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Chứng chỉ ngoại ngữ (IELTS/TOEFL...) chỉ hợp lệ nếu còn hiệu lực tại thời điểm nộp (thường ≤ 2 năm kể từ ngày cấp); hệ thống phải kiểm tra ngày hết hạn, không chỉ kiểm tra sự tồn tại của file.</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Form nộp minh chứng cần trường bắt buộc "ngày cấp"/"ngày hết hạn" (không chỉ upload file); logic kiểm tra điều kiện đầu vào (FR-TS-07) phải tự động so sánh với ngày nộp hồ sơ.</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BC-09</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Khi xét theo điểm: xếp hạng ứng viên từ cao xuống thấp theo điểm tổng; nếu bằng điểm, áp dụng tiêu chí phụ theo thứ tự ưu tiên đã cấu hình (ví dụ: điểm ngoại ngữ → điểm chuyên ngành → thâm niên công tác).</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Thuật toán xếp hạng cần nhận danh sách tiêu chí phụ dạng cấu hình (danh sách có thứ tự) thay vì viết cứng trong code, để có thể thay đổi thứ tự ưu tiên theo từng đợt/ngành.</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BC-10</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đạt điều kiện nhưng vượt chỉ tiêu được đưa vào danh sách dự bị (waitlist) theo thứ tự điểm; hệ thống tự động xét bổ sung nếu có thí sinh trúng tuyển chính thức từ chối nhập học trong thời hạn quy định.</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bảng "danh sách dự bị" độc lập có thứ tự ưu tiên và cơ chế trigger tự động (khi một hồ sơ chuyển sang "Từ chối nhập học", hệ thống tự đề xuất hồ sơ kế tiếp trong waitlist).</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BC-11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được quyền khiếu nại kết quả trong vòng X ngày kể từ ngày công bố (X cấu hình được, ví dụ 7 ngày); hồ sơ khiếu nại phải được hội đồng phản hồi trong thời hạn quy định.</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module quản lý khiếu nại có đếm ngược thời hạn (SLA), cảnh báo cán bộ/hội đồng khi sắp/đã quá hạn phản hồi, liên kết trực tiếp với module Phúc khảo (FR-TS-14).</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BC-12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Hồ sơ chỉ chuyển sang trạng thái "Xử lý" khi đã xác nhận thanh toán lệ phí xét tuyển thành công; hồ sơ chưa thanh toán sẽ bị tự động hủy sau thời hạn quy định (ví dụ 3 ngày).</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Trạng thái thanh toán phải được đồng bộ (callback/webhook) từ cổng thanh toán về hệ thống theo thời gian thực; cần job định kỳ quét và tự động hủy các hồ sơ quá hạn chưa thanh toán.</w:t>
            </w:r>
          </w:p>
        </w:tc>
      </w:tr>
    </w:tbl>
    <w:p>
      <w:pPr>
        <w:pStyle w:val="Heading1"/>
        <w:spacing w:after="200" w:before="360"/>
      </w:pPr>
      <w:r>
        <w:rPr>
          <w:rFonts w:ascii="Times New Roman" w:cs="Times New Roman" w:eastAsia="Times New Roman" w:hAnsi="Times New Roman"/>
          <w:b/>
          <w:bCs/>
          <w:color w:val="1F3864"/>
          <w:sz w:val="30"/>
          <w:szCs w:val="30"/>
        </w:rPr>
        <w:t xml:space="preserve">4. RÀNG BUỘC DỮ LIỆU (DATA CONSTRAINTS – DC)</w:t>
      </w:r>
    </w:p>
    <w:p>
      <w:pPr>
        <w:spacing w:after="160" w:line="300"/>
        <w:jc w:val="both"/>
      </w:pPr>
      <w:r>
        <w:rPr>
          <w:rFonts w:ascii="Times New Roman" w:cs="Times New Roman" w:eastAsia="Times New Roman" w:hAnsi="Times New Roman"/>
          <w:b w:val="false"/>
          <w:bCs w:val="false"/>
          <w:i w:val="false"/>
          <w:iCs w:val="false"/>
          <w:sz w:val="24"/>
          <w:szCs w:val="24"/>
        </w:rPr>
        <w:t xml:space="preserve">Nhóm ràng buộc dữ liệu quy định các quy tắc về cấu trúc, định dạng, tính duy nhất, tính toàn vẹn tham chiếu và vòng đời lưu trữ của dữ liệu trong hệ thống. Việc tuân thủ nhóm ràng buộc này ngay từ giai đoạn thiết kế cơ sở dữ liệu giúp tránh các lỗi trùng lặp, mất mát hoặc dữ liệu mồ côi (orphan record) về sau.</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100"/>
        <w:gridCol w:w="3600"/>
        <w:gridCol w:w="4371"/>
      </w:tblGrid>
      <w:tr>
        <w:trPr>
          <w:tblHeader/>
        </w:trPr>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 ràng buộc</w:t>
            </w:r>
          </w:p>
        </w:tc>
        <w:tc>
          <w:tcPr>
            <w:tcW w:type="dxa" w:w="43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Ảnh hưởng đến thiết kế hệ thống / Ghi chú</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Nếu form thu thập thêm thông tin diện ưu tiên (dân tộc thiểu số, khuyết tật, hộ nghèo...) để xét ưu tiên tuyển sinh, đây là dữ liệu cá nhân nhạy cảm (dân tộc, tình trạng sức khỏe) theo quy định bảo vệ dữ liệu cá nhân hiện hành. Trường hợp này bắt buộc phải lập Hồ sơ đánh giá tác động xử lý dữ liệu cá nhân (DPIA) trước khi thu thập.</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rà soát lại toàn bộ trường dữ liệu nhạy cảm trong form đăng ký; nếu có, phải bổ sung quy trình DPIA trước khi go-live và lưu ý cơ chế lưu trữ/ mã hóa riêng cho nhóm trường này.</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File upload được hệ thống tự động đổi tên theo quy tắc chuẩn: MãHS_LoạiGiấyTờ_TênThíSinh, bảo đảm truy vết được người nộp.</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module xử lý file trung gian (chuẩn hóa tên) trước khi lưu vào storage; quy tắc đặt tên phải được thống nhất và áp dụng nhất quán cho mọi loại minh chứng.</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DC-03</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Mỗi hồ sơ chỉ có một trạng thái duy nhất tại một thời điểm; mọi thay đổi trạng thái phải được ghi lịch sử đầy đủ (người thực hiện, thời gian, trạng thái cũ/mới).</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bảng lịch sử trạng thái (audit trail) riêng biệt, không ghi đè trực tiếp lên trạng thái hiện tại; mọi thao tác đổi trạng thái phải đi qua một service/API duy nhất để đảm bảo tính nhất quán.</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DC-04</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Thông tin nhập học là tập dữ liệu riêng, liên kết với hồ sơ tuyển sinh gốc qua mã hồ sơ/mã thí sinh (khóa ngoại bắt buộc).</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lược đồ CSDL tách bảng "hồ sơ dự tuyển" và "hồ sơ nhập học", ràng buộc khóa ngoại chặt để tránh dữ liệu trôi nổi (orphan) khi một trong hai bên bị thay đổi.</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DC-05</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Mã hồ sơ, số CCCD và email thí sinh không được trùng lặp trong toàn hệ thống (ràng buộc UNIQUE ở tầng cơ sở dữ liệu).</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Khai báo ràng buộc UNIQUE INDEX ở tầng CSDL (không chỉ kiểm tra ở tầng ứng dụng) để đảm bảo toàn vẹn dữ liệu ngay cả khi có ghi đồng thời (concurrent write).</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DC-06</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Định dạng file cho phép: PDF/JPG/PNG; dung lượng tối đa 5MB/file, tổng tối đa 30MB/hồ sơ.</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Kiểm tra định dạng và dung lượng ở cả phía client (trải nghiệm nhanh) và phía server (bảo mật, chống giả mạo MIME-type); cấu hình giới hạn nên đặt ở biến hệ thống để dễ điều chỉnh.</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DC-07</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Dữ liệu các đợt tuyển sinh trước không bị xóa vật lý, chỉ chuyển sang trạng thái lưu trữ (soft-archive).</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cờ trạng thái "archived" thay vì DELETE; các truy vấn nghiệp vụ mặc định lọc bỏ dữ liệu đã lưu trữ nhưng báo cáo/tra cứu lịch sử vẫn truy cập được khi cần.</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DC-08</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Hồ sơ đã nộp không được xóa cứng khỏi hệ thống; thí sinh chỉ có thể "rút hồ sơ" (soft-delete, có lưu vết và lý do rút).</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Không cung cấp API/DELETE vật lý cho hồ sơ; chức năng "rút hồ sơ" chỉ đổi trạng thái và ghi lý do, dữ liệu gốc vẫn được giữ nguyên phục vụ tra soát, kiểm toán.</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DC-09</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Nếu một ngành/chuyên ngành bị đóng giữa đợt tuyển sinh, các hồ sơ đã nộp vào ngành đó vẫn giữ nguyên liên kết dữ liệu, không bị mất hoặc trở thành dữ liệu mồ côi (orphan record).</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Không xóa cứng danh mục ngành đã có hồ sơ tham chiếu; chỉ cho phép "đóng" (vô hiệu hóa nhận hồ sơ mới) chứ không xóa bản ghi danh mục, đảm bảo toàn vẹn tham chiếu (referential integrity).</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DC-10</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CCCD/CMND (đúng 12 số), email (đúng chuẩn RFC), số điện thoại Việt Nam (đúng đầu số hợp lệ) phải được kiểm tra định dạng trước khi lưu.</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Xây dựng bộ quy tắc validate dữ liệu đầu vào tập trung (shared validators) dùng chung cho cả frontend và backend, tránh trùng lặp logic và sai lệch giữa hai tầng.</w:t>
            </w:r>
          </w:p>
        </w:tc>
      </w:tr>
    </w:tbl>
    <w:p>
      <w:pPr>
        <w:pStyle w:val="Heading1"/>
        <w:spacing w:after="200" w:before="360"/>
      </w:pPr>
      <w:r>
        <w:rPr>
          <w:rFonts w:ascii="Times New Roman" w:cs="Times New Roman" w:eastAsia="Times New Roman" w:hAnsi="Times New Roman"/>
          <w:b/>
          <w:bCs/>
          <w:color w:val="1F3864"/>
          <w:sz w:val="30"/>
          <w:szCs w:val="30"/>
        </w:rPr>
        <w:t xml:space="preserve">5. RÀNG BUỘC BẢO MẬT, XÁC THỰC &amp; PHÁP LÝ (SECURITY &amp; LEGAL CONSTRAINTS – SC)</w:t>
      </w:r>
    </w:p>
    <w:p>
      <w:pPr>
        <w:spacing w:after="160" w:line="300"/>
        <w:jc w:val="both"/>
      </w:pPr>
      <w:r>
        <w:rPr>
          <w:rFonts w:ascii="Times New Roman" w:cs="Times New Roman" w:eastAsia="Times New Roman" w:hAnsi="Times New Roman"/>
          <w:b w:val="false"/>
          <w:bCs w:val="false"/>
          <w:i w:val="false"/>
          <w:iCs w:val="false"/>
          <w:sz w:val="24"/>
          <w:szCs w:val="24"/>
        </w:rPr>
        <w:t xml:space="preserve">Nhóm ràng buộc này quy định các yêu cầu bắt buộc về xác thực người dùng, phân quyền truy cập, mã hóa dữ liệu và tuân thủ quy định pháp luật hiện hành về bảo vệ dữ liệu cá nhân. Đây là nhóm ràng buộc quan trọng nhất về mặt tuân thủ pháp lý (compliance) của hệ thống.</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100"/>
        <w:gridCol w:w="3600"/>
        <w:gridCol w:w="4371"/>
      </w:tblGrid>
      <w:tr>
        <w:trPr>
          <w:tblHeader/>
        </w:trPr>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 ràng buộc</w:t>
            </w:r>
          </w:p>
        </w:tc>
        <w:tc>
          <w:tcPr>
            <w:tcW w:type="dxa" w:w="43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Ảnh hưởng đến thiết kế hệ thống / Ghi chú</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bắt buộc xác thực số điện thoại và email bằng OTP (hiệu lực mã ≤ 5 phút) trước khi được phép nộp hồ sơ chính thức.</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Tích hợp dịch vụ gửi OTP qua SMS/Email; cần cơ chế giới hạn số lần gửi lại và số lần nhập sai để chống spam/brute-force.</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phải ghi nhận danh tính (tài khoản đăng nhập) của người upload từng file, phục vụ chống nộp hộ/giả mạo.</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Mỗi bản ghi file đính kèm cần lưu kèm user_id, thời điểm upload, địa chỉ IP (nếu cần) để phục vụ truy vết khi có tranh chấp.</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SC-03</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Chỉ cán bộ tuyển sinh/hội đồng mới có quyền chuyển trạng thái hồ sơ; thí sinh chỉ có quyền xem, không được tự đổi trạng thái.</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Phân quyền API theo vai trò (RBAC) ở tầng backend, không chỉ ẩn nút bấm ở giao diện; mọi API đổi trạng thái phải kiểm tra vai trò gọi API trước khi xử lý.</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SC-04</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phải tuân thủ quy định pháp luật về bảo vệ dữ liệu cá nhân trong toàn bộ vòng đời dữ liệu (thu thập, lưu trữ, sử dụng, chia sẻ, xóa/hủy).</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Xây dựng chính sách quản lý vòng đời dữ liệu (data lifecycle policy) kèm quy trình xử lý yêu cầu của chủ thể dữ liệu (xem, sửa, yêu cầu xóa) theo đúng quy định.</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SC-05</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Mật khẩu phải được băm bằng thuật toán an toàn (bcrypt/argon2); dữ liệu truyền tải phải qua HTTPS/TLS bắt buộc.</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Không lưu mật khẩu dạng plaintext hoặc mã hóa hai chiều; ép buộc HTTPS ở tầng hạ tầng (redirect HTTP → HTTPS, HSTS), cấu hình TLS phiên bản an toàn.</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SC-06</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Hồ sơ của thí sinh không trúng tuyển được lưu tối thiểu 2 năm phục vụ tra soát, sau đó ẩn danh hóa hoặc xóa theo quy định của trường.</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job định kỳ rà soát hồ sơ quá 2 năm để thực hiện ẩn danh hóa (xóa trường định danh cá nhân, giữ lại số liệu thống kê) hoặc xóa theo chính sách đã phê duyệt.</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SC-07</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phải xác nhận đồng ý điều khoản xử lý dữ liệu cá nhân (checkbox bắt buộc – Consent) trước khi nộp hồ sơ.</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Lưu vết thời điểm và nội dung điều khoản mà thí sinh đã đồng ý (versioning điều khoản) để đối chiếu pháp lý khi cần, không chỉ lưu cờ true/false.</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SC-08</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Mọi truy cập/xem hồ sơ thí sinh bởi cán bộ/hội đồng đều phải được ghi log để phục vụ kiểm tra khi có khiếu nại.</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Không chỉ log thao tác ghi (create/update/delete) mà cả thao tác đọc (read) đối với dữ liệu nhạy cảm; log cần đủ thông tin người xem, thời gian, hồ sơ được xem.</w:t>
            </w:r>
          </w:p>
        </w:tc>
      </w:tr>
    </w:tbl>
    <w:p>
      <w:pPr>
        <w:pStyle w:val="Heading1"/>
        <w:spacing w:after="200" w:before="360"/>
      </w:pPr>
      <w:r>
        <w:rPr>
          <w:rFonts w:ascii="Times New Roman" w:cs="Times New Roman" w:eastAsia="Times New Roman" w:hAnsi="Times New Roman"/>
          <w:b/>
          <w:bCs/>
          <w:color w:val="1F3864"/>
          <w:sz w:val="30"/>
          <w:szCs w:val="30"/>
        </w:rPr>
        <w:t xml:space="preserve">6. RÀNG BUỘC KỸ THUẬT (TECHNICAL CONSTRAINTS – TC)</w:t>
      </w:r>
    </w:p>
    <w:p>
      <w:pPr>
        <w:spacing w:after="160" w:line="300"/>
        <w:jc w:val="both"/>
      </w:pPr>
      <w:r>
        <w:rPr>
          <w:rFonts w:ascii="Times New Roman" w:cs="Times New Roman" w:eastAsia="Times New Roman" w:hAnsi="Times New Roman"/>
          <w:b w:val="false"/>
          <w:bCs w:val="false"/>
          <w:i w:val="false"/>
          <w:iCs w:val="false"/>
          <w:sz w:val="24"/>
          <w:szCs w:val="24"/>
        </w:rPr>
        <w:t xml:space="preserve">Nhóm ràng buộc kỹ thuật quy định các yêu cầu bắt buộc về hạ tầng, hiệu năng, khả năng tương thích, khả năng mở rộng và cơ chế sao lưu — phục hồi. Nhóm ràng buộc này chi phối trực tiếp việc lựa chọn kiến trúc, công nghệ và hạ tầng triển khai hệ thống.</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100"/>
        <w:gridCol w:w="3600"/>
        <w:gridCol w:w="4371"/>
      </w:tblGrid>
      <w:tr>
        <w:trPr>
          <w:tblHeader/>
        </w:trPr>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 ràng buộc</w:t>
            </w:r>
          </w:p>
        </w:tc>
        <w:tc>
          <w:tcPr>
            <w:tcW w:type="dxa" w:w="43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Ảnh hưởng đến thiết kế hệ thống / Ghi chú</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Tích hợp SMS gateway để gửi OTP và dịch vụ xác thực email (SMTP/verification link); thời gian gửi mã không quá 30 giây.</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Chọn nhà cung cấp SMS/Email có SLA rõ ràng; thiết kế cơ chế retry và gateway dự phòng (fallback) nếu nhà cung cấp chính gặp sự cố.</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Cơ chế lưu trữ file phải tự động đổi tên, chống trùng lặp, truy vết nguồn upload (kèm timestamp và user ID).</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Sử dụng storage có khả năng mở rộng (object storage) thay vì lưu file trực tiếp trên máy chủ ứng dụng; áp dụng quy tắc đặt tên duy nhất (UUID/mã hồ sơ) tránh ghi đè.</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TC-03</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Ứng dụng web phải responsive; hỗ trợ tối thiểu Chrome ≥ 90, Edge ≥ 90, Safari ≥ 14, Firefox ≥ 88 và trình duyệt di động Android/iOS phổ biến.</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Áp dụng thiết kế responsive (CSS Grid/Flexbox), kiểm thử đa trình duyệt/đa thiết bị (cross-browser testing) trước khi phát hành; tránh dùng API trình duyệt không được các phiên bản tối thiểu hỗ trợ.</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TC-04</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phải đáp ứng tối thiểu 500 người dùng truy cập đồng thời (CCU) ở giờ cao điểm (mở cổng nộp hồ sơ, công bố kết quả); thời gian phản hồi trung bình dưới 3 giây/request.</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Cần kiểm thử hiệu năng (load test/stress test) trước các mốc cao điểm; cân nhắc kiến trúc có khả năng scale-out (load balancer, cache, hàng đợi xử lý bất đồng bộ cho tác vụ nặng như upload/xuất báo cáo).</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TC-05</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Cho phép cấu hình thêm ngành mới, đợt tuyển sinh mới qua giao diện quản trị, không cần chỉnh sửa mã nguồn.</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các bảng danh mục (ngành, đợt, chỉ tiêu, tiêu chí xét tuyển...) là dữ liệu cấu hình động, không hard-code trong code; cung cấp giao diện quản trị (Admin UI) tương ứng.</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TC-06</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Sao lưu dữ liệu tự động hằng ngày; mục tiêu RPO ≤ 24 giờ, RTO ≤ 4 giờ khi xảy ra sự cố (kế hoạch khôi phục thảm họa – DR).</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lập lịch backup tự động (đầy đủ + incremental), lưu bản sao ở vị trí tách biệt vật lý/logic; xây dựng và diễn tập quy trình khôi phục (DR runbook) định kỳ.</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TC-07</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Mọi thao tác thêm/sửa/xóa/đổi trạng thái hồ sơ đều phải được ghi log chi tiết (người thực hiện, thời gian, giá trị trước/sau), lưu trữ tối thiểu 2 năm.</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Xây dựng module Audit log tập trung (centralized logging), tách biệt với log ứng dụng thông thường; đảm bảo log không thể bị chỉnh sửa/xóa bởi người dùng thường (immutable log).</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TC-08</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phải có cơ chế thông báo lỗi rõ ràng cho người dùng khi upload thất bại/timeout, không làm mất dữ liệu đã nhập.</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Áp dụng lưu tạm (draft/autosave) dữ liệu form phía client hoặc theo phiên làm việc; xử lý lỗi upload theo cơ chế resumable/chunked upload nếu cần cho file lớn.</w:t>
            </w:r>
          </w:p>
        </w:tc>
      </w:tr>
    </w:tbl>
    <w:p>
      <w:pPr>
        <w:pStyle w:val="Heading1"/>
        <w:spacing w:after="200" w:before="360"/>
      </w:pPr>
      <w:r>
        <w:rPr>
          <w:rFonts w:ascii="Times New Roman" w:cs="Times New Roman" w:eastAsia="Times New Roman" w:hAnsi="Times New Roman"/>
          <w:b/>
          <w:bCs/>
          <w:color w:val="1F3864"/>
          <w:sz w:val="30"/>
          <w:szCs w:val="30"/>
        </w:rPr>
        <w:t xml:space="preserve">7. RÀNG BUỘC NGƯỜI DÙNG &amp; GIAO DIỆN (USER CONSTRAINTS – UC)</w:t>
      </w:r>
    </w:p>
    <w:p>
      <w:pPr>
        <w:spacing w:after="160" w:line="300"/>
        <w:jc w:val="both"/>
      </w:pPr>
      <w:r>
        <w:rPr>
          <w:rFonts w:ascii="Times New Roman" w:cs="Times New Roman" w:eastAsia="Times New Roman" w:hAnsi="Times New Roman"/>
          <w:b w:val="false"/>
          <w:bCs w:val="false"/>
          <w:i w:val="false"/>
          <w:iCs w:val="false"/>
          <w:sz w:val="24"/>
          <w:szCs w:val="24"/>
        </w:rPr>
        <w:t xml:space="preserve">Nhóm ràng buộc người dùng &amp; giao diện quy định các yêu cầu bắt buộc nhằm đảm bảo trải nghiệm người dùng phù hợp với đối tượng sử dụng đa dạng (đặc biệt là thí sinh không rành công nghệ), cũng như phân biệt giao diện và thời gian phản hồi theo từng vai trò.</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100"/>
        <w:gridCol w:w="3600"/>
        <w:gridCol w:w="4371"/>
      </w:tblGrid>
      <w:tr>
        <w:trPr>
          <w:tblHeader/>
        </w:trPr>
        <w:tc>
          <w:tcPr>
            <w:tcW w:type="dxa" w:w="11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6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Mô tả ràng buộc</w:t>
            </w:r>
          </w:p>
        </w:tc>
        <w:tc>
          <w:tcPr>
            <w:tcW w:type="dxa" w:w="43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Ảnh hưởng đến thiết kế hệ thống / Ghi chú</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UC-01</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Đối tượng người dùng (đặc biệt là thí sinh) đa dạng về trình độ công nghệ thông tin; giao diện phải đơn giản, có hướng dẫn từng bước (dạng Wizard), giúp thí sinh hoàn tất nộp hồ sơ trong ≤ 15 phút mà không cần hỗ trợ.</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luồng đăng ký/nộp hồ sơ theo dạng wizard nhiều bước, có thanh tiến trình (progress bar), gợi ý/tooltip tại từng trường nhập liệu; hạn chế thuật ngữ chuyên môn khó hiểu.</w:t>
            </w:r>
          </w:p>
        </w:tc>
      </w:tr>
      <w:tr>
        <w:tc>
          <w:tcPr>
            <w:tcW w:type="dxa" w:w="11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UC-02</w:t>
            </w:r>
          </w:p>
        </w:tc>
        <w:tc>
          <w:tcPr>
            <w:tcW w:type="dxa" w:w="36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Hệ thống có 4 vai trò chính: Thí sinh, Cán bộ tuyển sinh, Hội đồng xét tuyển, Quản trị viên — mỗi vai trò có chức năng và quyền hạn riêng biệt.</w:t>
            </w:r>
          </w:p>
        </w:tc>
        <w:tc>
          <w:tcPr>
            <w:tcW w:type="dxa" w:w="43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giao diện (menu, dashboard) khác nhau theo từng vai trò ngay sau khi đăng nhập; kết hợp chặt với cơ chế RBAC ở tầng backend (liên quan SC-03).</w:t>
            </w:r>
          </w:p>
        </w:tc>
      </w:tr>
      <w:tr>
        <w:tc>
          <w:tcPr>
            <w:tcW w:type="dxa" w:w="11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UC-03</w:t>
            </w:r>
          </w:p>
        </w:tc>
        <w:tc>
          <w:tcPr>
            <w:tcW w:type="dxa" w:w="36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Thí sinh phải nhận được thông báo (email/SMS/thông báo trong hệ thống) mỗi khi hồ sơ chuyển trạng thái, trong vòng ≤ 5 phút kể từ khi cán bộ cập nhật.</w:t>
            </w:r>
          </w:p>
        </w:tc>
        <w:tc>
          <w:tcPr>
            <w:tcW w:type="dxa" w:w="43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Thiết kế cơ chế thông báo bất đồng bộ (message queue/event-driven) để không làm chậm thao tác của cán bộ; đảm bảo thông báo được gửi đa kênh và có cơ chế retry nếu gửi thất bại.</w:t>
            </w:r>
          </w:p>
        </w:tc>
      </w:tr>
    </w:tbl>
    <w:p>
      <w:pPr>
        <w:pStyle w:val="Heading1"/>
        <w:spacing w:after="200" w:before="360"/>
      </w:pPr>
      <w:r>
        <w:rPr>
          <w:rFonts w:ascii="Times New Roman" w:cs="Times New Roman" w:eastAsia="Times New Roman" w:hAnsi="Times New Roman"/>
          <w:b/>
          <w:bCs/>
          <w:color w:val="1F3864"/>
          <w:sz w:val="30"/>
          <w:szCs w:val="30"/>
        </w:rPr>
        <w:t xml:space="preserve">8. MA TRẬN LIÊN KẾT RÀNG BUỘC VỚI YÊU CẦU HỆ THỐNG</w:t>
      </w:r>
    </w:p>
    <w:p>
      <w:pPr>
        <w:spacing w:after="160" w:line="300"/>
        <w:jc w:val="both"/>
      </w:pPr>
      <w:r>
        <w:rPr>
          <w:rFonts w:ascii="Times New Roman" w:cs="Times New Roman" w:eastAsia="Times New Roman" w:hAnsi="Times New Roman"/>
          <w:b w:val="false"/>
          <w:bCs w:val="false"/>
          <w:i w:val="false"/>
          <w:iCs w:val="false"/>
          <w:sz w:val="24"/>
          <w:szCs w:val="24"/>
        </w:rPr>
        <w:t xml:space="preserve">Bảng dưới đây tổng hợp một số nhóm liên kết tiêu biểu giữa các ràng buộc đã phân tích với các yêu cầu chức năng (FR) / yêu cầu phi chức năng (NFR) tương ứng trong tài liệu SRS, phục vụ việc kiểm soát phạm vi, thiết kế chi tiết và xây dựng test case sau này.</w:t>
      </w:r>
    </w:p>
    <w:tbl>
      <w:tblPr>
        <w:tblW w:type="dxa" w:w="9071"/>
        <w:tblBorders>
          <w:top w:val="single" w:color="999999" w:sz="4"/>
          <w:left w:val="single" w:color="999999" w:sz="4"/>
          <w:bottom w:val="single" w:color="999999" w:sz="4"/>
          <w:right w:val="single" w:color="999999" w:sz="4"/>
          <w:insideH w:val="single" w:color="CCCCCC" w:sz="4"/>
          <w:insideV w:val="single" w:color="CCCCCC" w:sz="4"/>
        </w:tblBorders>
      </w:tblPr>
      <w:tblGrid>
        <w:gridCol w:w="1300"/>
        <w:gridCol w:w="3300"/>
        <w:gridCol w:w="2200"/>
        <w:gridCol w:w="2271"/>
      </w:tblGrid>
      <w:tr>
        <w:trPr>
          <w:tblHeader/>
        </w:trPr>
        <w:tc>
          <w:tcPr>
            <w:tcW w:type="dxa" w:w="1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Mã ràng buộc liên quan</w:t>
            </w:r>
          </w:p>
        </w:tc>
        <w:tc>
          <w:tcPr>
            <w:tcW w:type="dxa" w:w="33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Nội dung liên kết</w:t>
            </w:r>
          </w:p>
        </w:tc>
        <w:tc>
          <w:tcPr>
            <w:tcW w:type="dxa" w:w="2200"/>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FR / NFR tương ứng</w:t>
            </w:r>
          </w:p>
        </w:tc>
        <w:tc>
          <w:tcPr>
            <w:tcW w:type="dxa" w:w="2271"/>
            <w:shd w:fill="1F3864" w:val="clear"/>
            <w:tcMar>
              <w:top w:type="dxa" w:w="100"/>
              <w:left w:type="dxa" w:w="100"/>
              <w:bottom w:type="dxa" w:w="100"/>
              <w:right w:type="dxa" w:w="100"/>
            </w:tcMar>
            <w:vAlign w:val="center"/>
          </w:tcPr>
          <w:p>
            <w:pPr>
              <w:jc w:val="center"/>
            </w:pPr>
            <w:r>
              <w:rPr>
                <w:rFonts w:ascii="Times New Roman" w:cs="Times New Roman" w:eastAsia="Times New Roman" w:hAnsi="Times New Roman"/>
                <w:b/>
                <w:bCs/>
                <w:color w:val="FFFFFF"/>
                <w:sz w:val="22"/>
                <w:szCs w:val="22"/>
              </w:rPr>
              <w:t xml:space="preserve">Ưu tiên</w:t>
            </w:r>
          </w:p>
        </w:tc>
      </w:tr>
      <w:tr>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BC-01, BC-02</w:t>
            </w:r>
          </w:p>
        </w:tc>
        <w:tc>
          <w:tcPr>
            <w:tcW w:type="dxa" w:w="3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Phân hệ tuyển sinh xử lý riêng theo bậc đào tạo; luồng trạng thái hồ sơ</w:t>
            </w:r>
          </w:p>
        </w:tc>
        <w:tc>
          <w:tcPr>
            <w:tcW w:type="dxa" w:w="22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FR-TS-05 → FR-TS-08</w:t>
            </w:r>
          </w:p>
        </w:tc>
        <w:tc>
          <w:tcPr>
            <w:tcW w:type="dxa" w:w="2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BC-06, BC-12</w:t>
            </w:r>
          </w:p>
        </w:tc>
        <w:tc>
          <w:tcPr>
            <w:tcW w:type="dxa" w:w="3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Đóng/mở cổng nộp hồ sơ theo thời gian; hủy hồ sơ chưa thanh toán</w:t>
            </w:r>
          </w:p>
        </w:tc>
        <w:tc>
          <w:tcPr>
            <w:tcW w:type="dxa" w:w="22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FR-TS-01, FR-TS-09</w:t>
            </w:r>
          </w:p>
        </w:tc>
        <w:tc>
          <w:tcPr>
            <w:tcW w:type="dxa" w:w="2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BC-09, BC-10, BC-11</w:t>
            </w:r>
          </w:p>
        </w:tc>
        <w:tc>
          <w:tcPr>
            <w:tcW w:type="dxa" w:w="3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Xếp hạng, danh sách dự bị, khiếu nại/phúc khảo</w:t>
            </w:r>
          </w:p>
        </w:tc>
        <w:tc>
          <w:tcPr>
            <w:tcW w:type="dxa" w:w="22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FR-TS-14 → FR-TS-16</w:t>
            </w:r>
          </w:p>
        </w:tc>
        <w:tc>
          <w:tcPr>
            <w:tcW w:type="dxa" w:w="2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DC-02, DC-06, TC-02</w:t>
            </w:r>
          </w:p>
        </w:tc>
        <w:tc>
          <w:tcPr>
            <w:tcW w:type="dxa" w:w="3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Chuẩn hóa, kiểm tra định dạng và lưu trữ file minh chứng</w:t>
            </w:r>
          </w:p>
        </w:tc>
        <w:tc>
          <w:tcPr>
            <w:tcW w:type="dxa" w:w="22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FR-TS-06</w:t>
            </w:r>
          </w:p>
        </w:tc>
        <w:tc>
          <w:tcPr>
            <w:tcW w:type="dxa" w:w="2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DC-05, DC-10</w:t>
            </w:r>
          </w:p>
        </w:tc>
        <w:tc>
          <w:tcPr>
            <w:tcW w:type="dxa" w:w="3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Kiểm tra tính duy nhất và định dạng dữ liệu cá nhân</w:t>
            </w:r>
          </w:p>
        </w:tc>
        <w:tc>
          <w:tcPr>
            <w:tcW w:type="dxa" w:w="22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FR-TS-05, FR-TS-24</w:t>
            </w:r>
          </w:p>
        </w:tc>
        <w:tc>
          <w:tcPr>
            <w:tcW w:type="dxa" w:w="2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SC-01, TC-01</w:t>
            </w:r>
          </w:p>
        </w:tc>
        <w:tc>
          <w:tcPr>
            <w:tcW w:type="dxa" w:w="3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Xác thực OTP khi đăng ký tài khoản</w:t>
            </w:r>
          </w:p>
        </w:tc>
        <w:tc>
          <w:tcPr>
            <w:tcW w:type="dxa" w:w="22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FR-TS-05</w:t>
            </w:r>
          </w:p>
        </w:tc>
        <w:tc>
          <w:tcPr>
            <w:tcW w:type="dxa" w:w="2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SC-03, UC-02</w:t>
            </w:r>
          </w:p>
        </w:tc>
        <w:tc>
          <w:tcPr>
            <w:tcW w:type="dxa" w:w="3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Phân quyền theo vai trò cho thao tác đổi trạng thái hồ sơ</w:t>
            </w:r>
          </w:p>
        </w:tc>
        <w:tc>
          <w:tcPr>
            <w:tcW w:type="dxa" w:w="22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FR-TS-08, FR-TS-24</w:t>
            </w:r>
          </w:p>
        </w:tc>
        <w:tc>
          <w:tcPr>
            <w:tcW w:type="dxa" w:w="2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SC-08, TC-07</w:t>
            </w:r>
          </w:p>
        </w:tc>
        <w:tc>
          <w:tcPr>
            <w:tcW w:type="dxa" w:w="3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Ghi nhật ký truy cập và thao tác trên hồ sơ</w:t>
            </w:r>
          </w:p>
        </w:tc>
        <w:tc>
          <w:tcPr>
            <w:tcW w:type="dxa" w:w="22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FR-TS-26 (NFR-02)</w:t>
            </w:r>
          </w:p>
        </w:tc>
        <w:tc>
          <w:tcPr>
            <w:tcW w:type="dxa" w:w="2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Trung bình</w:t>
            </w:r>
          </w:p>
        </w:tc>
      </w:tr>
      <w:tr>
        <w:tc>
          <w:tcPr>
            <w:tcW w:type="dxa" w:w="1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TC-04, TC-06</w:t>
            </w:r>
          </w:p>
        </w:tc>
        <w:tc>
          <w:tcPr>
            <w:tcW w:type="dxa" w:w="33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Hiệu năng, khả năng chịu tải và sao lưu – phục hồi</w:t>
            </w:r>
          </w:p>
        </w:tc>
        <w:tc>
          <w:tcPr>
            <w:tcW w:type="dxa" w:w="2200"/>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NFR-01, NFR-04, NFR-10</w:t>
            </w:r>
          </w:p>
        </w:tc>
        <w:tc>
          <w:tcPr>
            <w:tcW w:type="dxa" w:w="2271"/>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Cao</w:t>
            </w:r>
          </w:p>
        </w:tc>
      </w:tr>
      <w:tr>
        <w:tc>
          <w:tcPr>
            <w:tcW w:type="dxa" w:w="1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UC-01, UC-03</w:t>
            </w:r>
          </w:p>
        </w:tc>
        <w:tc>
          <w:tcPr>
            <w:tcW w:type="dxa" w:w="33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Wizard nộp hồ sơ và thông báo đa kênh theo thời gian thực</w:t>
            </w:r>
          </w:p>
        </w:tc>
        <w:tc>
          <w:tcPr>
            <w:tcW w:type="dxa" w:w="2200"/>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FR-TS-05, FR-TS-06</w:t>
            </w:r>
          </w:p>
        </w:tc>
        <w:tc>
          <w:tcPr>
            <w:tcW w:type="dxa" w:w="2271"/>
            <w:shd w:fill="F2F2F2" w:val="clear"/>
            <w:tcMar>
              <w:top w:type="dxa" w:w="90"/>
              <w:left w:type="dxa" w:w="100"/>
              <w:bottom w:type="dxa" w:w="90"/>
              <w:right w:type="dxa" w:w="100"/>
            </w:tcMar>
            <w:vAlign w:val="top"/>
          </w:tcPr>
          <w:p>
            <w:pPr>
              <w:spacing w:after="0" w:line="276"/>
              <w:jc w:val="both"/>
            </w:pPr>
            <w:r>
              <w:rPr>
                <w:rFonts w:ascii="Times New Roman" w:cs="Times New Roman" w:eastAsia="Times New Roman" w:hAnsi="Times New Roman"/>
                <w:b w:val="false"/>
                <w:bCs w:val="false"/>
                <w:i w:val="false"/>
                <w:iCs w:val="false"/>
                <w:sz w:val="22"/>
                <w:szCs w:val="22"/>
              </w:rPr>
              <w:t xml:space="preserve">Trung bình</w:t>
            </w:r>
          </w:p>
        </w:tc>
      </w:tr>
    </w:tbl>
    <w:p>
      <w:pPr>
        <w:pStyle w:val="Heading1"/>
        <w:spacing w:after="200" w:before="360"/>
      </w:pPr>
      <w:r>
        <w:rPr>
          <w:rFonts w:ascii="Times New Roman" w:cs="Times New Roman" w:eastAsia="Times New Roman" w:hAnsi="Times New Roman"/>
          <w:b/>
          <w:bCs/>
          <w:color w:val="1F3864"/>
          <w:sz w:val="30"/>
          <w:szCs w:val="30"/>
        </w:rPr>
        <w:t xml:space="preserve">9. RỦI RO VÀ KHUYẾN NGHỊ LIÊN QUAN ĐẾN RÀNG BUỘC</w:t>
      </w:r>
    </w:p>
    <w:p>
      <w:pPr>
        <w:spacing w:after="160" w:line="300"/>
        <w:jc w:val="both"/>
      </w:pPr>
      <w:r>
        <w:rPr>
          <w:rFonts w:ascii="Times New Roman" w:cs="Times New Roman" w:eastAsia="Times New Roman" w:hAnsi="Times New Roman"/>
          <w:b w:val="false"/>
          <w:bCs w:val="false"/>
          <w:i w:val="false"/>
          <w:iCs w:val="false"/>
          <w:sz w:val="24"/>
          <w:szCs w:val="24"/>
        </w:rPr>
        <w:t xml:space="preserve">Trong quá trình phân tích, nhóm dự án ghi nhận một số rủi ro tiềm ẩn nếu các ràng buộc trên không được tuân thủ chặt chẽ ngay từ giai đoạn thiết kế:</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Rủi ro nghiệp vụ: nếu không cài đặt máy trạng thái (state machine) chặt chẽ cho luồng hồ sơ (BC-02), hệ thống có thể cho phép chuyển trạng thái sai quy trình, dẫn đến sai lệch kết quả tuyển sinh.</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Rủi ro dữ liệu: nếu không thiết kế ràng buộc UNIQUE và khóa ngoại ở tầng CSDL (DC-04, DC-05), có thể phát sinh dữ liệu trùng lặp hoặc mồ côi khi có nhiều người dùng thao tác đồng thời.</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Rủi ro bảo mật &amp; pháp lý: nếu bỏ sót việc lập DPIA cho dữ liệu diện ưu tiên nhạy cảm (DC-01) hoặc không ghi log truy cập hồ sơ (SC-08), hệ thống có thể vi phạm quy định bảo vệ dữ liệu cá nhân và khó xử lý khi phát sinh khiếu nại.</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Rủi ro kỹ thuật: nếu không kiểm thử hiệu năng (TC-04) trước các mốc cao điểm (mở/đóng cổng nộp hồ sơ, công bố kết quả), hệ thống có thể quá tải, ảnh hưởng trực tiếp đến quyền lợi thí sinh.</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Rủi ro trải nghiệm người dùng: nếu giao diện không được thiết kế đơn giản theo dạng wizard (UC-01), tỷ lệ thí sinh bỏ dở quá trình nộp hồ sơ có thể tăng cao, đặc biệt với nhóm thí sinh lớn tuổi hoặc ở xa.</w:t>
      </w:r>
    </w:p>
    <w:p>
      <w:pPr>
        <w:spacing w:after="160" w:line="300"/>
        <w:jc w:val="both"/>
      </w:pPr>
      <w:r>
        <w:rPr>
          <w:rFonts w:ascii="Times New Roman" w:cs="Times New Roman" w:eastAsia="Times New Roman" w:hAnsi="Times New Roman"/>
          <w:b w:val="false"/>
          <w:bCs w:val="false"/>
          <w:i w:val="false"/>
          <w:iCs w:val="false"/>
          <w:sz w:val="24"/>
          <w:szCs w:val="24"/>
        </w:rPr>
        <w:t xml:space="preserve">Khuyến nghị: các ràng buộc có tham số cấu hình được (N nguyện vọng — BC-07, số ngày khiếu nại — BC-11, v.v.) cần được thiết kế dưới dạng dữ liệu cấu hình quản trị được (Admin-configurable), không hard-code trong mã nguồn, nhằm đảm bảo khả năng thích ứng khi quy chế tuyển sinh thay đổi theo từng năm.</w:t>
      </w:r>
    </w:p>
    <w:p>
      <w:pPr>
        <w:pStyle w:val="Heading1"/>
        <w:spacing w:after="200" w:before="360"/>
      </w:pPr>
      <w:r>
        <w:rPr>
          <w:rFonts w:ascii="Times New Roman" w:cs="Times New Roman" w:eastAsia="Times New Roman" w:hAnsi="Times New Roman"/>
          <w:b/>
          <w:bCs/>
          <w:color w:val="1F3864"/>
          <w:sz w:val="30"/>
          <w:szCs w:val="30"/>
        </w:rPr>
        <w:t xml:space="preserve">10. KẾT LUẬN</w:t>
      </w:r>
    </w:p>
    <w:p>
      <w:pPr>
        <w:spacing w:after="160" w:line="300"/>
        <w:jc w:val="both"/>
      </w:pPr>
      <w:r>
        <w:rPr>
          <w:rFonts w:ascii="Times New Roman" w:cs="Times New Roman" w:eastAsia="Times New Roman" w:hAnsi="Times New Roman"/>
          <w:b w:val="false"/>
          <w:bCs w:val="false"/>
          <w:i w:val="false"/>
          <w:iCs w:val="false"/>
          <w:sz w:val="24"/>
          <w:szCs w:val="24"/>
        </w:rPr>
        <w:t xml:space="preserve">Tài liệu đã tổng hợp và phân tích chi tiết 41 ràng buộc hệ thống thuộc 5 nhóm (Nghiệp vụ, Dữ liệu, Bảo mật – Pháp lý, Kỹ thuật, Người dùng &amp; Giao diện) của Hệ thống Quản lý Tuyển sinh Sau đại học. Mỗi ràng buộc đã được phân tích kèm ảnh hưởng cụ thể đến thiết kế hệ thống, làm cơ sở cho đội ngũ thiết kế kiến trúc, cơ sở dữ liệu và quy trình xử lý ở giai đoạn tiếp theo.</w:t>
      </w:r>
    </w:p>
    <w:p>
      <w:pPr>
        <w:spacing w:after="160" w:line="300"/>
        <w:jc w:val="both"/>
      </w:pPr>
      <w:r>
        <w:rPr>
          <w:rFonts w:ascii="Times New Roman" w:cs="Times New Roman" w:eastAsia="Times New Roman" w:hAnsi="Times New Roman"/>
          <w:b w:val="false"/>
          <w:bCs w:val="false"/>
          <w:i w:val="false"/>
          <w:iCs w:val="false"/>
          <w:sz w:val="24"/>
          <w:szCs w:val="24"/>
        </w:rPr>
        <w:t xml:space="preserve">Các bước tiếp theo cần thực hiện:</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Xác nhận (validate) lại toàn bộ danh sách ràng buộc với đại diện Phòng Đào tạo Sau đại học và Phòng/Trung tâm CNTT trước khi chốt baseline chính thức.</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Chuyển hóa các ràng buộc thành các quy tắc kiểm thử (test case) cụ thể, đặc biệt với nhóm ràng buộc nghiệp vụ (BC) và dữ liệu (DC).</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Rà soát định kỳ các ràng buộc pháp lý (SC) khi quy chế tuyển sinh hoặc quy định về bảo vệ dữ liệu cá nhân có thay đổi.</w:t>
      </w:r>
    </w:p>
    <w:p>
      <w:pPr>
        <w:pStyle w:val="ListParagraph"/>
        <w:numPr>
          <w:ilvl w:val="0"/>
          <w:numId w:val="1"/>
        </w:numPr>
        <w:spacing w:after="100" w:line="300"/>
        <w:ind w:left="420"/>
      </w:pPr>
      <w:r>
        <w:rPr>
          <w:rFonts w:ascii="Times New Roman" w:cs="Times New Roman" w:eastAsia="Times New Roman" w:hAnsi="Times New Roman"/>
          <w:b w:val="false"/>
          <w:bCs w:val="false"/>
          <w:i w:val="false"/>
          <w:iCs w:val="false"/>
          <w:sz w:val="24"/>
          <w:szCs w:val="24"/>
        </w:rPr>
        <w:t xml:space="preserve">Đưa các ràng buộc có tham số cấu hình được vào thiết kế module Quản trị danh mục &amp; cấu hình ngay từ giai đoạn thiết kế chi tiết.</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2026-09-18T04:37:43.601Z</dcterms:created>
  <dcterms:modified xsi:type="dcterms:W3CDTF">2026-09-18T04:37:43.602Z</dcterms:modified>
</cp:coreProperties>
</file>

<file path=docProps/custom.xml><?xml version="1.0" encoding="utf-8"?>
<Properties xmlns="http://schemas.openxmlformats.org/officeDocument/2006/custom-properties" xmlns:vt="http://schemas.openxmlformats.org/officeDocument/2006/docPropsVTypes"/>
</file>