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08C95"/>
          <w:sz w:val="18"/>
        </w:rPr>
        <w:t>DOCUMENT 10  ·  ARCHITECTURE DECISION RECORD v1.0</w:t>
      </w:r>
    </w:p>
    <w:p>
      <w:pPr>
        <w:pStyle w:val="Title"/>
      </w:pPr>
      <w:r>
        <w:t>SALESTORM</w:t>
      </w:r>
    </w:p>
    <w:p>
      <w:pPr>
        <w:spacing w:after="60"/>
      </w:pPr>
      <w:r>
        <w:rPr>
          <w:b/>
          <w:color w:val="102A43"/>
          <w:sz w:val="44"/>
        </w:rPr>
        <w:t>Architecture Decision Record (ADR)</w:t>
      </w:r>
    </w:p>
    <w:p>
      <w:pPr>
        <w:spacing w:after="240"/>
      </w:pPr>
      <w:r>
        <w:rPr>
          <w:color w:val="5B6573"/>
          <w:sz w:val="22"/>
        </w:rPr>
        <w:t>Defensible architecture decisions for a high-scale flash-sale e-commerce platform</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92"/>
            <w:shd w:fill="EAF7F7"/>
            <w:tcBorders>
              <w:top w:val="single" w:sz="6" w:color="B4DCDD"/>
              <w:left w:val="single" w:sz="6" w:color="B4DCDD"/>
              <w:bottom w:val="single" w:sz="6" w:color="B4DCDD"/>
              <w:right w:val="single" w:sz="6" w:color="B4DCDD"/>
              <w:insideH w:val="single" w:sz="6" w:color="B4DCDD"/>
              <w:insideV w:val="single" w:sz="6" w:color="B4DCDD"/>
            </w:tcBorders>
            <w:vAlign w:val="center"/>
          </w:tcPr>
          <w:p>
            <w:pPr>
              <w:jc w:val="center"/>
            </w:pPr>
            <w:r>
              <w:rPr>
                <w:b/>
                <w:color w:val="008C95"/>
                <w:sz w:val="32"/>
              </w:rPr>
              <w:t>10,000</w:t>
              <w:br/>
            </w:r>
            <w:r>
              <w:rPr>
                <w:b/>
                <w:color w:val="102A43"/>
                <w:sz w:val="14"/>
              </w:rPr>
              <w:t>CONCURRENT BUY ATTEMPTS</w:t>
            </w:r>
          </w:p>
        </w:tc>
        <w:tc>
          <w:tcPr>
            <w:tcW w:type="dxa" w:w="2592"/>
            <w:shd w:fill="EAF7F7"/>
            <w:tcBorders>
              <w:top w:val="single" w:sz="6" w:color="B4DCDD"/>
              <w:left w:val="single" w:sz="6" w:color="B4DCDD"/>
              <w:bottom w:val="single" w:sz="6" w:color="B4DCDD"/>
              <w:right w:val="single" w:sz="6" w:color="B4DCDD"/>
              <w:insideH w:val="single" w:sz="6" w:color="B4DCDD"/>
              <w:insideV w:val="single" w:sz="6" w:color="B4DCDD"/>
            </w:tcBorders>
            <w:vAlign w:val="center"/>
          </w:tcPr>
          <w:p>
            <w:pPr>
              <w:jc w:val="center"/>
            </w:pPr>
            <w:r>
              <w:rPr>
                <w:b/>
                <w:color w:val="008C95"/>
                <w:sz w:val="32"/>
              </w:rPr>
              <w:t>100</w:t>
              <w:br/>
            </w:r>
            <w:r>
              <w:rPr>
                <w:b/>
                <w:color w:val="102A43"/>
                <w:sz w:val="14"/>
              </w:rPr>
              <w:t>UNITS OF STOCK</w:t>
            </w:r>
          </w:p>
        </w:tc>
        <w:tc>
          <w:tcPr>
            <w:tcW w:type="dxa" w:w="2592"/>
            <w:shd w:fill="EAF7F7"/>
            <w:tcBorders>
              <w:top w:val="single" w:sz="6" w:color="B4DCDD"/>
              <w:left w:val="single" w:sz="6" w:color="B4DCDD"/>
              <w:bottom w:val="single" w:sz="6" w:color="B4DCDD"/>
              <w:right w:val="single" w:sz="6" w:color="B4DCDD"/>
              <w:insideH w:val="single" w:sz="6" w:color="B4DCDD"/>
              <w:insideV w:val="single" w:sz="6" w:color="B4DCDD"/>
            </w:tcBorders>
            <w:vAlign w:val="center"/>
          </w:tcPr>
          <w:p>
            <w:pPr>
              <w:jc w:val="center"/>
            </w:pPr>
            <w:r>
              <w:rPr>
                <w:b/>
                <w:color w:val="008C95"/>
                <w:sz w:val="32"/>
              </w:rPr>
              <w:t>500K</w:t>
              <w:br/>
            </w:r>
            <w:r>
              <w:rPr>
                <w:b/>
                <w:color w:val="102A43"/>
                <w:sz w:val="14"/>
              </w:rPr>
              <w:t>PEAK EDGE REQ/S</w:t>
            </w:r>
          </w:p>
        </w:tc>
        <w:tc>
          <w:tcPr>
            <w:tcW w:type="dxa" w:w="2592"/>
            <w:shd w:fill="E9F6EE"/>
            <w:tcBorders>
              <w:top w:val="single" w:sz="6" w:color="B4DCDD"/>
              <w:left w:val="single" w:sz="6" w:color="B4DCDD"/>
              <w:bottom w:val="single" w:sz="6" w:color="B4DCDD"/>
              <w:right w:val="single" w:sz="6" w:color="B4DCDD"/>
              <w:insideH w:val="single" w:sz="6" w:color="B4DCDD"/>
              <w:insideV w:val="single" w:sz="6" w:color="B4DCDD"/>
            </w:tcBorders>
            <w:vAlign w:val="center"/>
          </w:tcPr>
          <w:p>
            <w:pPr>
              <w:jc w:val="center"/>
            </w:pPr>
            <w:r>
              <w:rPr>
                <w:b/>
                <w:color w:val="008C95"/>
                <w:sz w:val="32"/>
              </w:rPr>
              <w:t>0</w:t>
              <w:br/>
            </w:r>
            <w:r>
              <w:rPr>
                <w:b/>
                <w:color w:val="102A43"/>
                <w:sz w:val="14"/>
              </w:rPr>
              <w:t>OVERSELLS / DUPLICATE CHARGES</w:t>
            </w:r>
          </w:p>
        </w:tc>
      </w:tr>
    </w:tbl>
    <w:p>
      <w:pPr>
        <w:spacing w:before="240" w:after="80"/>
      </w:pPr>
      <w:r>
        <w:rPr>
          <w:b/>
          <w:color w:val="102A43"/>
          <w:sz w:val="26"/>
        </w:rPr>
        <w:t>Purpose</w:t>
      </w:r>
    </w:p>
    <w:p>
      <w:pPr>
        <w:spacing w:after="120"/>
      </w:pPr>
      <w:r>
        <w:t>This record captures the major architectural choices that implement the finalized SALESTORM Requirements &amp; Assumptions v2.0 baseline. Each decision states the context, alternatives considered, selected option, rationale, trade-offs and linked requirement IDs. Requirements remain the contract; these ADRs explain how the architecture satisfies them.</w:t>
      </w:r>
    </w:p>
    <w:p>
      <w:pPr>
        <w:spacing w:after="40"/>
      </w:pPr>
      <w:r>
        <w:rPr>
          <w:b/>
          <w:color w:val="1B6E3C"/>
          <w:sz w:val="16"/>
        </w:rPr>
        <w:t xml:space="preserve">  ACCEPTED  </w:t>
      </w:r>
      <w:r>
        <w:rPr>
          <w:b/>
          <w:color w:val="F29D38"/>
          <w:sz w:val="16"/>
        </w:rPr>
        <w:t xml:space="preserve">  SUPERSEDES  </w:t>
      </w:r>
      <w:r>
        <w:rPr>
          <w:b/>
          <w:color w:val="D94B4B"/>
          <w:sz w:val="16"/>
        </w:rPr>
        <w:t xml:space="preserve">  REVIEW IF ASSUMPTIONS CHANGE  </w:t>
      </w:r>
    </w:p>
    <w:p>
      <w:pPr>
        <w:pStyle w:val="Small"/>
      </w:pPr>
      <w:r>
        <w:t>Source basis: SALESTORM Requirements &amp; Assumptions v2.0. Architecture choices below are team decisions derived from that baseline; the baseline itself intentionally defers SQL/NoSQL, concurrency control, cache/queue technology and service decomposition to HLD/ADR.</w:t>
      </w:r>
    </w:p>
    <w:p>
      <w:r>
        <w:br w:type="page"/>
      </w:r>
    </w:p>
    <w:p>
      <w:pPr>
        <w:pStyle w:val="Heading1"/>
        <w:keepNext/>
      </w:pPr>
      <w:r>
        <w:t>1. Decision Register</w:t>
      </w:r>
    </w:p>
    <w:p>
      <w:r>
        <w:t>The following decisions are accepted for the hackathon architecture unless a later test, simulation or jury challenge disproves an assumption.</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1008"/>
            <w:shd w:fill="102A43"/>
            <w:tcBorders>
              <w:top w:val="single" w:sz="6" w:color="102A43"/>
              <w:left w:val="single" w:sz="6" w:color="102A43"/>
              <w:bottom w:val="single" w:sz="6" w:color="102A43"/>
              <w:right w:val="single" w:sz="6" w:color="102A43"/>
              <w:insideH w:val="single" w:sz="6" w:color="102A43"/>
              <w:insideV w:val="single" w:sz="6" w:color="102A43"/>
            </w:tcBorders>
          </w:tcPr>
          <w:p>
            <w:r>
              <w:rPr>
                <w:b/>
                <w:color w:val="FFFFFF"/>
                <w:sz w:val="16"/>
              </w:rPr>
              <w:t>ID</w:t>
            </w:r>
          </w:p>
        </w:tc>
        <w:tc>
          <w:tcPr>
            <w:tcW w:type="dxa" w:w="1872"/>
            <w:shd w:fill="102A43"/>
            <w:tcBorders>
              <w:top w:val="single" w:sz="6" w:color="102A43"/>
              <w:left w:val="single" w:sz="6" w:color="102A43"/>
              <w:bottom w:val="single" w:sz="6" w:color="102A43"/>
              <w:right w:val="single" w:sz="6" w:color="102A43"/>
              <w:insideH w:val="single" w:sz="6" w:color="102A43"/>
              <w:insideV w:val="single" w:sz="6" w:color="102A43"/>
            </w:tcBorders>
          </w:tcPr>
          <w:p>
            <w:r>
              <w:rPr>
                <w:b/>
                <w:color w:val="FFFFFF"/>
                <w:sz w:val="16"/>
              </w:rPr>
              <w:t>Decision area</w:t>
            </w:r>
          </w:p>
        </w:tc>
        <w:tc>
          <w:tcPr>
            <w:tcW w:type="dxa" w:w="4320"/>
            <w:shd w:fill="102A43"/>
            <w:tcBorders>
              <w:top w:val="single" w:sz="6" w:color="102A43"/>
              <w:left w:val="single" w:sz="6" w:color="102A43"/>
              <w:bottom w:val="single" w:sz="6" w:color="102A43"/>
              <w:right w:val="single" w:sz="6" w:color="102A43"/>
              <w:insideH w:val="single" w:sz="6" w:color="102A43"/>
              <w:insideV w:val="single" w:sz="6" w:color="102A43"/>
            </w:tcBorders>
          </w:tcPr>
          <w:p>
            <w:r>
              <w:rPr>
                <w:b/>
                <w:color w:val="FFFFFF"/>
                <w:sz w:val="16"/>
              </w:rPr>
              <w:t>Selected option</w:t>
            </w:r>
          </w:p>
        </w:tc>
        <w:tc>
          <w:tcPr>
            <w:tcW w:type="dxa" w:w="1152"/>
            <w:shd w:fill="102A43"/>
            <w:tcBorders>
              <w:top w:val="single" w:sz="6" w:color="102A43"/>
              <w:left w:val="single" w:sz="6" w:color="102A43"/>
              <w:bottom w:val="single" w:sz="6" w:color="102A43"/>
              <w:right w:val="single" w:sz="6" w:color="102A43"/>
              <w:insideH w:val="single" w:sz="6" w:color="102A43"/>
              <w:insideV w:val="single" w:sz="6" w:color="102A43"/>
            </w:tcBorders>
          </w:tcPr>
          <w:p>
            <w:r>
              <w:rPr>
                <w:b/>
                <w:color w:val="FFFFFF"/>
                <w:sz w:val="16"/>
              </w:rPr>
              <w:t>Status</w:t>
            </w:r>
          </w:p>
        </w:tc>
        <w:tc>
          <w:tcPr>
            <w:tcW w:type="dxa" w:w="1944"/>
            <w:shd w:fill="102A43"/>
            <w:tcBorders>
              <w:top w:val="single" w:sz="6" w:color="102A43"/>
              <w:left w:val="single" w:sz="6" w:color="102A43"/>
              <w:bottom w:val="single" w:sz="6" w:color="102A43"/>
              <w:right w:val="single" w:sz="6" w:color="102A43"/>
              <w:insideH w:val="single" w:sz="6" w:color="102A43"/>
              <w:insideV w:val="single" w:sz="6" w:color="102A43"/>
            </w:tcBorders>
          </w:tcPr>
          <w:p>
            <w:r>
              <w:rPr>
                <w:b/>
                <w:color w:val="FFFFFF"/>
                <w:sz w:val="16"/>
              </w:rPr>
              <w:t>Drivers</w:t>
            </w:r>
          </w:p>
        </w:tc>
      </w:tr>
      <w:tr>
        <w:tc>
          <w:tcPr>
            <w:tcW w:type="dxa" w:w="1008"/>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7202A"/>
                <w:sz w:val="15"/>
              </w:rPr>
              <w:t>ADR-01</w:t>
            </w:r>
          </w:p>
        </w:tc>
        <w:tc>
          <w:tcPr>
            <w:tcW w:type="dxa" w:w="1872"/>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Service decomposition</w:t>
            </w:r>
          </w:p>
        </w:tc>
        <w:tc>
          <w:tcPr>
            <w:tcW w:type="dxa" w:w="432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Domain-aligned services / microservice-style boundaries</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2F4E9"/>
          </w:tcPr>
          <w:p>
            <w:pPr>
              <w:spacing w:after="0"/>
            </w:pPr>
            <w:r>
              <w:rPr>
                <w:b/>
                <w:color w:val="1B6E3C"/>
                <w:sz w:val="15"/>
              </w:rPr>
              <w:t>Accepted</w:t>
            </w:r>
          </w:p>
        </w:tc>
        <w:tc>
          <w:tcPr>
            <w:tcW w:type="dxa" w:w="1944"/>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NFR-03, NFR-14, A-05</w:t>
            </w:r>
          </w:p>
        </w:tc>
      </w:tr>
      <w:tr>
        <w:tc>
          <w:tcPr>
            <w:tcW w:type="dxa" w:w="1008"/>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7202A"/>
                <w:sz w:val="15"/>
              </w:rPr>
              <w:t>ADR-02</w:t>
            </w:r>
          </w:p>
        </w:tc>
        <w:tc>
          <w:tcPr>
            <w:tcW w:type="dxa" w:w="1872"/>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Edge traffic &amp; fairness</w:t>
            </w:r>
          </w:p>
        </w:tc>
        <w:tc>
          <w:tcPr>
            <w:tcW w:type="dxa" w:w="432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CDN/WAF + rate limiting + virtual waiting room</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2F4E9"/>
          </w:tcPr>
          <w:p>
            <w:pPr>
              <w:spacing w:after="0"/>
            </w:pPr>
            <w:r>
              <w:rPr>
                <w:b/>
                <w:color w:val="1B6E3C"/>
                <w:sz w:val="15"/>
              </w:rPr>
              <w:t>Accepted</w:t>
            </w:r>
          </w:p>
        </w:tc>
        <w:tc>
          <w:tcPr>
            <w:tcW w:type="dxa" w:w="1944"/>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TRF-01…09, NFR-15</w:t>
            </w:r>
          </w:p>
        </w:tc>
      </w:tr>
      <w:tr>
        <w:tc>
          <w:tcPr>
            <w:tcW w:type="dxa" w:w="1008"/>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7202A"/>
                <w:sz w:val="15"/>
              </w:rPr>
              <w:t>ADR-03</w:t>
            </w:r>
          </w:p>
        </w:tc>
        <w:tc>
          <w:tcPr>
            <w:tcW w:type="dxa" w:w="1872"/>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Inventory concurrency</w:t>
            </w:r>
          </w:p>
        </w:tc>
        <w:tc>
          <w:tcPr>
            <w:tcW w:type="dxa" w:w="432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Atomic conditional update + optimistic versioning in durable DB</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2F4E9"/>
          </w:tcPr>
          <w:p>
            <w:pPr>
              <w:spacing w:after="0"/>
            </w:pPr>
            <w:r>
              <w:rPr>
                <w:b/>
                <w:color w:val="1B6E3C"/>
                <w:sz w:val="15"/>
              </w:rPr>
              <w:t>Accepted</w:t>
            </w:r>
          </w:p>
        </w:tc>
        <w:tc>
          <w:tcPr>
            <w:tcW w:type="dxa" w:w="1944"/>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INV-01…11, G-01…03</w:t>
            </w:r>
          </w:p>
        </w:tc>
      </w:tr>
      <w:tr>
        <w:tc>
          <w:tcPr>
            <w:tcW w:type="dxa" w:w="1008"/>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7202A"/>
                <w:sz w:val="15"/>
              </w:rPr>
              <w:t>ADR-04</w:t>
            </w:r>
          </w:p>
        </w:tc>
        <w:tc>
          <w:tcPr>
            <w:tcW w:type="dxa" w:w="1872"/>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Primary data store</w:t>
            </w:r>
          </w:p>
        </w:tc>
        <w:tc>
          <w:tcPr>
            <w:tcW w:type="dxa" w:w="432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PostgreSQL transactional store; read replicas where useful</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2F4E9"/>
          </w:tcPr>
          <w:p>
            <w:pPr>
              <w:spacing w:after="0"/>
            </w:pPr>
            <w:r>
              <w:rPr>
                <w:b/>
                <w:color w:val="1B6E3C"/>
                <w:sz w:val="15"/>
              </w:rPr>
              <w:t>Accepted</w:t>
            </w:r>
          </w:p>
        </w:tc>
        <w:tc>
          <w:tcPr>
            <w:tcW w:type="dxa" w:w="1944"/>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INV-03, NFR-20, DAT</w:t>
            </w:r>
          </w:p>
        </w:tc>
      </w:tr>
      <w:tr>
        <w:tc>
          <w:tcPr>
            <w:tcW w:type="dxa" w:w="1008"/>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7202A"/>
                <w:sz w:val="15"/>
              </w:rPr>
              <w:t>ADR-05</w:t>
            </w:r>
          </w:p>
        </w:tc>
        <w:tc>
          <w:tcPr>
            <w:tcW w:type="dxa" w:w="1872"/>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Caching &amp; sold-out signal</w:t>
            </w:r>
          </w:p>
        </w:tc>
        <w:tc>
          <w:tcPr>
            <w:tcW w:type="dxa" w:w="432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CDN + Redis; cache advisory only</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2F4E9"/>
          </w:tcPr>
          <w:p>
            <w:pPr>
              <w:spacing w:after="0"/>
            </w:pPr>
            <w:r>
              <w:rPr>
                <w:b/>
                <w:color w:val="1B6E3C"/>
                <w:sz w:val="15"/>
              </w:rPr>
              <w:t>Accepted</w:t>
            </w:r>
          </w:p>
        </w:tc>
        <w:tc>
          <w:tcPr>
            <w:tcW w:type="dxa" w:w="1944"/>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INV-03, INV-07, INV-09</w:t>
            </w:r>
          </w:p>
        </w:tc>
      </w:tr>
      <w:tr>
        <w:tc>
          <w:tcPr>
            <w:tcW w:type="dxa" w:w="1008"/>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7202A"/>
                <w:sz w:val="15"/>
              </w:rPr>
              <w:t>ADR-06</w:t>
            </w:r>
          </w:p>
        </w:tc>
        <w:tc>
          <w:tcPr>
            <w:tcW w:type="dxa" w:w="1872"/>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Messaging platform</w:t>
            </w:r>
          </w:p>
        </w:tc>
        <w:tc>
          <w:tcPr>
            <w:tcW w:type="dxa" w:w="432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Kafka event bus with DLQ/replay and per-key ordering</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2F4E9"/>
          </w:tcPr>
          <w:p>
            <w:pPr>
              <w:spacing w:after="0"/>
            </w:pPr>
            <w:r>
              <w:rPr>
                <w:b/>
                <w:color w:val="1B6E3C"/>
                <w:sz w:val="15"/>
              </w:rPr>
              <w:t>Accepted</w:t>
            </w:r>
          </w:p>
        </w:tc>
        <w:tc>
          <w:tcPr>
            <w:tcW w:type="dxa" w:w="1944"/>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MSG-01…07, G-08</w:t>
            </w:r>
          </w:p>
        </w:tc>
      </w:tr>
      <w:tr>
        <w:tc>
          <w:tcPr>
            <w:tcW w:type="dxa" w:w="1008"/>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7202A"/>
                <w:sz w:val="15"/>
              </w:rPr>
              <w:t>ADR-07</w:t>
            </w:r>
          </w:p>
        </w:tc>
        <w:tc>
          <w:tcPr>
            <w:tcW w:type="dxa" w:w="1872"/>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Event publication</w:t>
            </w:r>
          </w:p>
        </w:tc>
        <w:tc>
          <w:tcPr>
            <w:tcW w:type="dxa" w:w="432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Transactional outbox + idempotent consumers</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2F4E9"/>
          </w:tcPr>
          <w:p>
            <w:pPr>
              <w:spacing w:after="0"/>
            </w:pPr>
            <w:r>
              <w:rPr>
                <w:b/>
                <w:color w:val="1B6E3C"/>
                <w:sz w:val="15"/>
              </w:rPr>
              <w:t>Accepted</w:t>
            </w:r>
          </w:p>
        </w:tc>
        <w:tc>
          <w:tcPr>
            <w:tcW w:type="dxa" w:w="1944"/>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ORD-03, MSG-01, DR-07</w:t>
            </w:r>
          </w:p>
        </w:tc>
      </w:tr>
      <w:tr>
        <w:tc>
          <w:tcPr>
            <w:tcW w:type="dxa" w:w="1008"/>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7202A"/>
                <w:sz w:val="15"/>
              </w:rPr>
              <w:t>ADR-08</w:t>
            </w:r>
          </w:p>
        </w:tc>
        <w:tc>
          <w:tcPr>
            <w:tcW w:type="dxa" w:w="1872"/>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Sync vs async communication</w:t>
            </w:r>
          </w:p>
        </w:tc>
        <w:tc>
          <w:tcPr>
            <w:tcW w:type="dxa" w:w="432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REST for immediate decisions; events for downstream workflows</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2F4E9"/>
          </w:tcPr>
          <w:p>
            <w:pPr>
              <w:spacing w:after="0"/>
            </w:pPr>
            <w:r>
              <w:rPr>
                <w:b/>
                <w:color w:val="1B6E3C"/>
                <w:sz w:val="15"/>
              </w:rPr>
              <w:t>Accepted</w:t>
            </w:r>
          </w:p>
        </w:tc>
        <w:tc>
          <w:tcPr>
            <w:tcW w:type="dxa" w:w="1944"/>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A-05, MSG-01, FR-15</w:t>
            </w:r>
          </w:p>
        </w:tc>
      </w:tr>
      <w:tr>
        <w:tc>
          <w:tcPr>
            <w:tcW w:type="dxa" w:w="1008"/>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7202A"/>
                <w:sz w:val="15"/>
              </w:rPr>
              <w:t>ADR-09</w:t>
            </w:r>
          </w:p>
        </w:tc>
        <w:tc>
          <w:tcPr>
            <w:tcW w:type="dxa" w:w="1872"/>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Payment integration</w:t>
            </w:r>
          </w:p>
        </w:tc>
        <w:tc>
          <w:tcPr>
            <w:tcW w:type="dxa" w:w="432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Gateway adapter + idempotency + webhook verification + circuit breaker</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2F4E9"/>
          </w:tcPr>
          <w:p>
            <w:pPr>
              <w:spacing w:after="0"/>
            </w:pPr>
            <w:r>
              <w:rPr>
                <w:b/>
                <w:color w:val="1B6E3C"/>
                <w:sz w:val="15"/>
              </w:rPr>
              <w:t>Accepted</w:t>
            </w:r>
          </w:p>
        </w:tc>
        <w:tc>
          <w:tcPr>
            <w:tcW w:type="dxa" w:w="1944"/>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PAY-01…11, G-04</w:t>
            </w:r>
          </w:p>
        </w:tc>
      </w:tr>
      <w:tr>
        <w:tc>
          <w:tcPr>
            <w:tcW w:type="dxa" w:w="1008"/>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7202A"/>
                <w:sz w:val="15"/>
              </w:rPr>
              <w:t>ADR-10</w:t>
            </w:r>
          </w:p>
        </w:tc>
        <w:tc>
          <w:tcPr>
            <w:tcW w:type="dxa" w:w="1872"/>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Identity &amp; service security</w:t>
            </w:r>
          </w:p>
        </w:tc>
        <w:tc>
          <w:tcPr>
            <w:tcW w:type="dxa" w:w="432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OIDC/OAuth2 JWT + RBAC; mTLS/signed service tokens</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2F4E9"/>
          </w:tcPr>
          <w:p>
            <w:pPr>
              <w:spacing w:after="0"/>
            </w:pPr>
            <w:r>
              <w:rPr>
                <w:b/>
                <w:color w:val="1B6E3C"/>
                <w:sz w:val="15"/>
              </w:rPr>
              <w:t>Accepted</w:t>
            </w:r>
          </w:p>
        </w:tc>
        <w:tc>
          <w:tcPr>
            <w:tcW w:type="dxa" w:w="1944"/>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SEC-01…10</w:t>
            </w:r>
          </w:p>
        </w:tc>
      </w:tr>
      <w:tr>
        <w:tc>
          <w:tcPr>
            <w:tcW w:type="dxa" w:w="1008"/>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7202A"/>
                <w:sz w:val="15"/>
              </w:rPr>
              <w:t>ADR-11</w:t>
            </w:r>
          </w:p>
        </w:tc>
        <w:tc>
          <w:tcPr>
            <w:tcW w:type="dxa" w:w="1872"/>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Deployment &amp; DR</w:t>
            </w:r>
          </w:p>
        </w:tc>
        <w:tc>
          <w:tcPr>
            <w:tcW w:type="dxa" w:w="432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Containerized multi-AZ deployment with managed stateful services</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2F4E9"/>
          </w:tcPr>
          <w:p>
            <w:pPr>
              <w:spacing w:after="0"/>
            </w:pPr>
            <w:r>
              <w:rPr>
                <w:b/>
                <w:color w:val="1B6E3C"/>
                <w:sz w:val="15"/>
              </w:rPr>
              <w:t>Accepted</w:t>
            </w:r>
          </w:p>
        </w:tc>
        <w:tc>
          <w:tcPr>
            <w:tcW w:type="dxa" w:w="1944"/>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NFR-20, DR-01…09, A-13</w:t>
            </w:r>
          </w:p>
        </w:tc>
      </w:tr>
      <w:tr>
        <w:tc>
          <w:tcPr>
            <w:tcW w:type="dxa" w:w="1008"/>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7202A"/>
                <w:sz w:val="15"/>
              </w:rPr>
              <w:t>ADR-12</w:t>
            </w:r>
          </w:p>
        </w:tc>
        <w:tc>
          <w:tcPr>
            <w:tcW w:type="dxa" w:w="1872"/>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Observability stack</w:t>
            </w:r>
          </w:p>
        </w:tc>
        <w:tc>
          <w:tcPr>
            <w:tcW w:type="dxa" w:w="432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OpenTelemetry + metrics/logs/traces + alerting dashboards</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2F4E9"/>
          </w:tcPr>
          <w:p>
            <w:pPr>
              <w:spacing w:after="0"/>
            </w:pPr>
            <w:r>
              <w:rPr>
                <w:b/>
                <w:color w:val="1B6E3C"/>
                <w:sz w:val="15"/>
              </w:rPr>
              <w:t>Accepted</w:t>
            </w:r>
          </w:p>
        </w:tc>
        <w:tc>
          <w:tcPr>
            <w:tcW w:type="dxa" w:w="1944"/>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5"/>
              </w:rPr>
              <w:t>OBS-01…08, OPS-01…05</w:t>
            </w:r>
          </w:p>
        </w:tc>
      </w:tr>
    </w:tbl>
    <w:p>
      <w:pPr>
        <w:pStyle w:val="Small"/>
      </w:pPr>
      <w:r>
        <w:t>Decision rule: strict guarantees (G-01…G-08) override performance targets. A design is rejected if it can violate inventory conservation, idempotency, payment safety, valid order state, defined recovery or event durability.</w:t>
      </w:r>
    </w:p>
    <w:p>
      <w:r>
        <w:br w:type="page"/>
      </w:r>
    </w:p>
    <w:p>
      <w:pPr>
        <w:pStyle w:val="Heading1"/>
        <w:keepNext/>
      </w:pPr>
      <w:r>
        <w:t>ADR-01  Service Decomposition</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Status</w:t>
            </w:r>
          </w:p>
        </w:tc>
        <w:tc>
          <w:tcPr>
            <w:tcW w:type="dxa" w:w="3240"/>
            <w:tcBorders>
              <w:top w:val="single" w:sz="6" w:color="C9D6E2"/>
              <w:left w:val="single" w:sz="6" w:color="C9D6E2"/>
              <w:bottom w:val="single" w:sz="6" w:color="C9D6E2"/>
              <w:right w:val="single" w:sz="6" w:color="C9D6E2"/>
              <w:insideH w:val="single" w:sz="6" w:color="C9D6E2"/>
              <w:insideV w:val="single" w:sz="6" w:color="C9D6E2"/>
            </w:tcBorders>
            <w:shd w:fill="E2F4E9"/>
          </w:tcPr>
          <w:p>
            <w:pPr>
              <w:spacing w:after="0"/>
            </w:pPr>
            <w:r>
              <w:rPr>
                <w:b/>
                <w:color w:val="1B6E3C"/>
                <w:sz w:val="16"/>
              </w:rPr>
              <w:t>Accepted</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Requirement drivers</w:t>
            </w:r>
          </w:p>
        </w:tc>
        <w:tc>
          <w:tcPr>
            <w:tcW w:type="dxa" w:w="50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NFR-03, NFR-14, A-05; functional domains FR-01…24</w:t>
            </w:r>
          </w:p>
        </w:tc>
      </w:tr>
      <w:tr>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Owner</w:t>
            </w:r>
          </w:p>
        </w:tc>
        <w:tc>
          <w:tcPr>
            <w:tcW w:type="dxa" w:w="32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System Architecture Team</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Decision date</w:t>
            </w:r>
          </w:p>
        </w:tc>
        <w:tc>
          <w:tcPr>
            <w:tcW w:type="dxa" w:w="50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Hackathon baseline</w:t>
            </w:r>
          </w:p>
        </w:tc>
      </w:tr>
    </w:tbl>
    <w:p>
      <w:pPr>
        <w:pStyle w:val="Heading2"/>
        <w:keepNext/>
      </w:pPr>
      <w:r>
        <w:t>Context</w:t>
      </w:r>
    </w:p>
    <w:p>
      <w:pPr>
        <w:spacing w:after="100"/>
      </w:pPr>
      <w:r>
        <w:t>SALESTORM has independently scaling workloads: catalogue reads, cart, sale admission, checkout, inventory reservation, payment, order, fulfilment and notification. The architecture must stay understandable while allowing the hot purchase path to scale and fail independently.</w:t>
      </w:r>
    </w:p>
    <w:p>
      <w:pPr>
        <w:pStyle w:val="Heading2"/>
        <w:keepNext/>
      </w:pPr>
      <w:r>
        <w:t>Alternatives considered</w:t>
      </w:r>
    </w:p>
    <w:p>
      <w:pPr>
        <w:spacing w:after="40"/>
        <w:ind w:left="230" w:hanging="173"/>
      </w:pPr>
      <w:r>
        <w:rPr>
          <w:b/>
        </w:rPr>
        <w:t xml:space="preserve">• Modular monolith: </w:t>
      </w:r>
      <w:r>
        <w:t>Simplest deployment and local transactions, but coarse scaling and larger failure blast radius.</w:t>
      </w:r>
    </w:p>
    <w:p>
      <w:pPr>
        <w:spacing w:after="40"/>
        <w:ind w:left="230" w:hanging="173"/>
      </w:pPr>
      <w:r>
        <w:rPr>
          <w:b/>
        </w:rPr>
        <w:t xml:space="preserve">• Fine-grained microservices: </w:t>
      </w:r>
      <w:r>
        <w:t>Maximum isolation, but high operational and distributed-systems cost.</w:t>
      </w:r>
    </w:p>
    <w:p>
      <w:pPr>
        <w:spacing w:after="40"/>
        <w:ind w:left="230" w:hanging="173"/>
      </w:pPr>
      <w:r>
        <w:rPr>
          <w:b/>
        </w:rPr>
        <w:t xml:space="preserve">• Domain-aligned services: </w:t>
      </w:r>
      <w:r>
        <w:t>Separate critical business capabilities while avoiding unnecessary service fragmentation.</w:t>
      </w:r>
    </w:p>
    <w:p>
      <w:pPr>
        <w:pStyle w:val="Heading2"/>
        <w:keepNext/>
      </w:pPr>
      <w:r>
        <w:t>Decision</w:t>
      </w:r>
    </w:p>
    <w:tbl>
      <w:tblPr>
        <w:tblW w:type="auto" w:w="0"/>
        <w:jc w:val="center"/>
        <w:tblLook w:firstColumn="1" w:firstRow="1" w:lastColumn="0" w:lastRow="0" w:noHBand="0" w:noVBand="1" w:val="04A0"/>
      </w:tblPr>
      <w:tblGrid>
        <w:gridCol w:w="10368"/>
      </w:tblGrid>
      <w:tr>
        <w:tc>
          <w:tcPr>
            <w:tcW w:type="dxa" w:w="10368"/>
            <w:shd w:fill="FFF7E8"/>
            <w:tcBorders>
              <w:top w:val="single" w:sz="6" w:color="F2C57C"/>
              <w:left w:val="single" w:sz="6" w:color="F2C57C"/>
              <w:bottom w:val="single" w:sz="6" w:color="F2C57C"/>
              <w:right w:val="single" w:sz="6" w:color="F2C57C"/>
              <w:insideH w:val="single" w:sz="6" w:color="F2C57C"/>
              <w:insideV w:val="single" w:sz="6" w:color="F2C57C"/>
            </w:tcBorders>
          </w:tcPr>
          <w:p>
            <w:pPr>
              <w:pStyle w:val="DecisionText"/>
            </w:pPr>
            <w:r>
              <w:t>Use domain-aligned service boundaries: Product, Cart, Sale/Admission, Checkout, Inventory/Reservation, Payment, Order, Fulfilment and Notification. Keep services stateless where possible and scale them horizontally.</w:t>
            </w:r>
          </w:p>
        </w:tc>
      </w:tr>
    </w:tbl>
    <w:p>
      <w:pPr>
        <w:pStyle w:val="Heading2"/>
        <w:keepNext/>
      </w:pPr>
      <w:r>
        <w:t>Why this decision</w:t>
      </w:r>
    </w:p>
    <w:p>
      <w:pPr>
        <w:spacing w:after="20"/>
        <w:ind w:left="230" w:hanging="173"/>
      </w:pPr>
      <w:r>
        <w:t>• Matches business ownership and state boundaries.</w:t>
      </w:r>
    </w:p>
    <w:p>
      <w:pPr>
        <w:spacing w:after="20"/>
        <w:ind w:left="230" w:hanging="173"/>
      </w:pPr>
      <w:r>
        <w:t>• Allows Inventory, Checkout and Payment to scale separately from browse traffic.</w:t>
      </w:r>
    </w:p>
    <w:p>
      <w:pPr>
        <w:spacing w:after="20"/>
        <w:ind w:left="230" w:hanging="173"/>
      </w:pPr>
      <w:r>
        <w:t>• Supports fault isolation and clear APIs/events without excessive service granularity.</w:t>
      </w:r>
    </w:p>
    <w:p>
      <w:pPr>
        <w:pStyle w:val="Heading2"/>
        <w:keepNext/>
      </w:pPr>
      <w:r>
        <w:t>Trade-offs / consequences</w:t>
      </w:r>
    </w:p>
    <w:p>
      <w:pPr>
        <w:spacing w:after="20"/>
        <w:ind w:left="230" w:hanging="173"/>
      </w:pPr>
      <w:r>
        <w:t>• Requires distributed tracing, service contracts and failure handling.</w:t>
      </w:r>
    </w:p>
    <w:p>
      <w:pPr>
        <w:spacing w:after="20"/>
        <w:ind w:left="230" w:hanging="173"/>
      </w:pPr>
      <w:r>
        <w:t>• Cross-service workflows become eventually consistent where asynchronous messaging is used.</w:t>
      </w:r>
    </w:p>
    <w:p>
      <w:pPr>
        <w:pStyle w:val="Heading3"/>
        <w:keepNext/>
      </w:pPr>
      <w:r>
        <w:t>Review trigger</w:t>
      </w:r>
    </w:p>
    <w:p>
      <w:pPr>
        <w:spacing w:after="0"/>
      </w:pPr>
      <w:r>
        <w:t>Revisit if the implementation team is too small to operate independent services; boundaries can be deployed as a modular monolith without changing domain interfaces.</w:t>
      </w:r>
    </w:p>
    <w:p>
      <w:r>
        <w:br w:type="page"/>
      </w:r>
    </w:p>
    <w:p>
      <w:pPr>
        <w:pStyle w:val="Heading1"/>
        <w:keepNext/>
      </w:pPr>
      <w:r>
        <w:t>ADR-02  Edge Traffic, Admission Control &amp; Fairness</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Status</w:t>
            </w:r>
          </w:p>
        </w:tc>
        <w:tc>
          <w:tcPr>
            <w:tcW w:type="dxa" w:w="3240"/>
            <w:tcBorders>
              <w:top w:val="single" w:sz="6" w:color="C9D6E2"/>
              <w:left w:val="single" w:sz="6" w:color="C9D6E2"/>
              <w:bottom w:val="single" w:sz="6" w:color="C9D6E2"/>
              <w:right w:val="single" w:sz="6" w:color="C9D6E2"/>
              <w:insideH w:val="single" w:sz="6" w:color="C9D6E2"/>
              <w:insideV w:val="single" w:sz="6" w:color="C9D6E2"/>
            </w:tcBorders>
            <w:shd w:fill="E2F4E9"/>
          </w:tcPr>
          <w:p>
            <w:pPr>
              <w:spacing w:after="0"/>
            </w:pPr>
            <w:r>
              <w:rPr>
                <w:b/>
                <w:color w:val="1B6E3C"/>
                <w:sz w:val="16"/>
              </w:rPr>
              <w:t>Accepted</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Requirement drivers</w:t>
            </w:r>
          </w:p>
        </w:tc>
        <w:tc>
          <w:tcPr>
            <w:tcW w:type="dxa" w:w="50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TRF-01…09, CAP-02, CAP-03, CAP-13, NFR-15, R-04, R-10</w:t>
            </w:r>
          </w:p>
        </w:tc>
      </w:tr>
      <w:tr>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Owner</w:t>
            </w:r>
          </w:p>
        </w:tc>
        <w:tc>
          <w:tcPr>
            <w:tcW w:type="dxa" w:w="32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System Architecture Team</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Decision date</w:t>
            </w:r>
          </w:p>
        </w:tc>
        <w:tc>
          <w:tcPr>
            <w:tcW w:type="dxa" w:w="50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Hackathon baseline</w:t>
            </w:r>
          </w:p>
        </w:tc>
      </w:tr>
    </w:tbl>
    <w:p>
      <w:pPr>
        <w:pStyle w:val="Heading2"/>
        <w:keepNext/>
      </w:pPr>
      <w:r>
        <w:t>Context</w:t>
      </w:r>
    </w:p>
    <w:p>
      <w:pPr>
        <w:spacing w:after="100"/>
      </w:pPr>
      <w:r>
        <w:t>The flash sale can reach 500,000 edge requests/sec, while only a fraction should reach the correctness-critical reservation path. Bots, retry storms and the thundering herd must not overwhelm Inventory or Payment.</w:t>
      </w:r>
    </w:p>
    <w:p>
      <w:pPr>
        <w:pStyle w:val="Heading2"/>
        <w:keepNext/>
      </w:pPr>
      <w:r>
        <w:t>Alternatives considered</w:t>
      </w:r>
    </w:p>
    <w:p>
      <w:pPr>
        <w:spacing w:after="40"/>
        <w:ind w:left="230" w:hanging="173"/>
      </w:pPr>
      <w:r>
        <w:rPr>
          <w:b/>
        </w:rPr>
        <w:t xml:space="preserve">• Direct API access: </w:t>
      </w:r>
      <w:r>
        <w:t>Low complexity but exposes origin to burst traffic and unfair automation.</w:t>
      </w:r>
    </w:p>
    <w:p>
      <w:pPr>
        <w:spacing w:after="40"/>
        <w:ind w:left="230" w:hanging="173"/>
      </w:pPr>
      <w:r>
        <w:rPr>
          <w:b/>
        </w:rPr>
        <w:t xml:space="preserve">• Rate limiting only: </w:t>
      </w:r>
      <w:r>
        <w:t>Reduces abuse but does not provide controlled admission or queue fairness.</w:t>
      </w:r>
    </w:p>
    <w:p>
      <w:pPr>
        <w:spacing w:after="40"/>
        <w:ind w:left="230" w:hanging="173"/>
      </w:pPr>
      <w:r>
        <w:rPr>
          <w:b/>
        </w:rPr>
        <w:t xml:space="preserve">• CDN/WAF + waiting room + rate limits: </w:t>
      </w:r>
      <w:r>
        <w:t>Absorbs cached traffic, filters abuse and caps entrants to checkout.</w:t>
      </w:r>
    </w:p>
    <w:p>
      <w:pPr>
        <w:pStyle w:val="Heading2"/>
        <w:keepNext/>
      </w:pPr>
      <w:r>
        <w:t>Decision</w:t>
      </w:r>
    </w:p>
    <w:tbl>
      <w:tblPr>
        <w:tblW w:type="auto" w:w="0"/>
        <w:jc w:val="center"/>
        <w:tblLook w:firstColumn="1" w:firstRow="1" w:lastColumn="0" w:lastRow="0" w:noHBand="0" w:noVBand="1" w:val="04A0"/>
      </w:tblPr>
      <w:tblGrid>
        <w:gridCol w:w="10368"/>
      </w:tblGrid>
      <w:tr>
        <w:tc>
          <w:tcPr>
            <w:tcW w:type="dxa" w:w="10368"/>
            <w:shd w:fill="FFF7E8"/>
            <w:tcBorders>
              <w:top w:val="single" w:sz="6" w:color="F2C57C"/>
              <w:left w:val="single" w:sz="6" w:color="F2C57C"/>
              <w:bottom w:val="single" w:sz="6" w:color="F2C57C"/>
              <w:right w:val="single" w:sz="6" w:color="F2C57C"/>
              <w:insideH w:val="single" w:sz="6" w:color="F2C57C"/>
              <w:insideV w:val="single" w:sz="6" w:color="F2C57C"/>
            </w:tcBorders>
          </w:tcPr>
          <w:p>
            <w:pPr>
              <w:pStyle w:val="DecisionText"/>
            </w:pPr>
            <w:r>
              <w:t>Use CDN/WAF at the edge, per-IP/account/device rate limits, bot challenges, and a signed-token virtual waiting room that admits a bounded number of buyers to checkout.</w:t>
            </w:r>
          </w:p>
        </w:tc>
      </w:tr>
    </w:tbl>
    <w:p>
      <w:pPr>
        <w:pStyle w:val="Heading2"/>
        <w:keepNext/>
      </w:pPr>
      <w:r>
        <w:t>Why this decision</w:t>
      </w:r>
    </w:p>
    <w:p>
      <w:pPr>
        <w:spacing w:after="20"/>
        <w:ind w:left="230" w:hanging="173"/>
      </w:pPr>
      <w:r>
        <w:t>• Protects the hot inventory record and downstream dependencies.</w:t>
      </w:r>
    </w:p>
    <w:p>
      <w:pPr>
        <w:spacing w:after="20"/>
        <w:ind w:left="230" w:hanging="173"/>
      </w:pPr>
      <w:r>
        <w:t>• Implements first-admitted fairness instead of first-clicked bot advantage.</w:t>
      </w:r>
    </w:p>
    <w:p>
      <w:pPr>
        <w:spacing w:after="20"/>
        <w:ind w:left="230" w:hanging="173"/>
      </w:pPr>
      <w:r>
        <w:t>• Allows graceful load shedding and clear 429/503 vs SOLD_OUT responses.</w:t>
      </w:r>
    </w:p>
    <w:p>
      <w:pPr>
        <w:pStyle w:val="Heading2"/>
        <w:keepNext/>
      </w:pPr>
      <w:r>
        <w:t>Trade-offs / consequences</w:t>
      </w:r>
    </w:p>
    <w:p>
      <w:pPr>
        <w:spacing w:after="20"/>
        <w:ind w:left="230" w:hanging="173"/>
      </w:pPr>
      <w:r>
        <w:t>• Waiting room adds user-visible delay and operational complexity.</w:t>
      </w:r>
    </w:p>
    <w:p>
      <w:pPr>
        <w:spacing w:after="20"/>
        <w:ind w:left="230" w:hanging="173"/>
      </w:pPr>
      <w:r>
        <w:t>• Signed admission tokens and queue position must be secured and monitored.</w:t>
      </w:r>
    </w:p>
    <w:p>
      <w:pPr>
        <w:pStyle w:val="Heading3"/>
        <w:keepNext/>
      </w:pPr>
      <w:r>
        <w:t>Review trigger</w:t>
      </w:r>
    </w:p>
    <w:p>
      <w:pPr>
        <w:spacing w:after="0"/>
      </w:pPr>
      <w:r>
        <w:t>Revisit admission caps after load testing; the baseline assumes &lt;=2,000 admitted concurrently.</w:t>
      </w:r>
    </w:p>
    <w:p>
      <w:r>
        <w:br w:type="page"/>
      </w:r>
    </w:p>
    <w:p>
      <w:pPr>
        <w:pStyle w:val="Heading1"/>
        <w:keepNext/>
      </w:pPr>
      <w:r>
        <w:t>ADR-03  Inventory Reservation &amp; Concurrency Control</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Status</w:t>
            </w:r>
          </w:p>
        </w:tc>
        <w:tc>
          <w:tcPr>
            <w:tcW w:type="dxa" w:w="3240"/>
            <w:tcBorders>
              <w:top w:val="single" w:sz="6" w:color="C9D6E2"/>
              <w:left w:val="single" w:sz="6" w:color="C9D6E2"/>
              <w:bottom w:val="single" w:sz="6" w:color="C9D6E2"/>
              <w:right w:val="single" w:sz="6" w:color="C9D6E2"/>
              <w:insideH w:val="single" w:sz="6" w:color="C9D6E2"/>
              <w:insideV w:val="single" w:sz="6" w:color="C9D6E2"/>
            </w:tcBorders>
            <w:shd w:fill="E2F4E9"/>
          </w:tcPr>
          <w:p>
            <w:pPr>
              <w:spacing w:after="0"/>
            </w:pPr>
            <w:r>
              <w:rPr>
                <w:b/>
                <w:color w:val="1B6E3C"/>
                <w:sz w:val="16"/>
              </w:rPr>
              <w:t>Accepted</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Requirement drivers</w:t>
            </w:r>
          </w:p>
        </w:tc>
        <w:tc>
          <w:tcPr>
            <w:tcW w:type="dxa" w:w="50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INV-01…11, G-01…03, US-01, US-02, CAP-10, R-01</w:t>
            </w:r>
          </w:p>
        </w:tc>
      </w:tr>
      <w:tr>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Owner</w:t>
            </w:r>
          </w:p>
        </w:tc>
        <w:tc>
          <w:tcPr>
            <w:tcW w:type="dxa" w:w="32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System Architecture Team</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Decision date</w:t>
            </w:r>
          </w:p>
        </w:tc>
        <w:tc>
          <w:tcPr>
            <w:tcW w:type="dxa" w:w="50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Hackathon baseline</w:t>
            </w:r>
          </w:p>
        </w:tc>
      </w:tr>
    </w:tbl>
    <w:p>
      <w:pPr>
        <w:pStyle w:val="Heading2"/>
        <w:keepNext/>
      </w:pPr>
      <w:r>
        <w:t>Context</w:t>
      </w:r>
    </w:p>
    <w:p>
      <w:pPr>
        <w:spacing w:after="100"/>
      </w:pPr>
      <w:r>
        <w:t>10,000 customers may compete for 100 units and one hot inventory row can become the serialization point. The durable store must guarantee no oversell, non-negative inventory and idempotent reservation creation.</w:t>
      </w:r>
    </w:p>
    <w:p>
      <w:pPr>
        <w:pStyle w:val="Heading2"/>
        <w:keepNext/>
      </w:pPr>
      <w:r>
        <w:t>Alternatives considered</w:t>
      </w:r>
    </w:p>
    <w:p>
      <w:pPr>
        <w:spacing w:after="40"/>
        <w:ind w:left="230" w:hanging="173"/>
      </w:pPr>
      <w:r>
        <w:rPr>
          <w:b/>
        </w:rPr>
        <w:t xml:space="preserve">• Pessimistic row lock: </w:t>
      </w:r>
      <w:r>
        <w:t>Strong correctness but long lock queues and poor burst behaviour.</w:t>
      </w:r>
    </w:p>
    <w:p>
      <w:pPr>
        <w:spacing w:after="40"/>
        <w:ind w:left="230" w:hanging="173"/>
      </w:pPr>
      <w:r>
        <w:rPr>
          <w:b/>
        </w:rPr>
        <w:t xml:space="preserve">• Redis/distributed lock as authority: </w:t>
      </w:r>
      <w:r>
        <w:t>Fast but makes cache/lock infrastructure correctness-critical and conflicts with INV-03.</w:t>
      </w:r>
    </w:p>
    <w:p>
      <w:pPr>
        <w:spacing w:after="40"/>
        <w:ind w:left="230" w:hanging="173"/>
      </w:pPr>
      <w:r>
        <w:rPr>
          <w:b/>
        </w:rPr>
        <w:t xml:space="preserve">• Optimistic versioning + atomic conditional update: </w:t>
      </w:r>
      <w:r>
        <w:t>Short DB transaction, strong constraint, retries only on conflict.</w:t>
      </w:r>
    </w:p>
    <w:p>
      <w:pPr>
        <w:spacing w:after="40"/>
        <w:ind w:left="230" w:hanging="173"/>
      </w:pPr>
      <w:r>
        <w:rPr>
          <w:b/>
        </w:rPr>
        <w:t xml:space="preserve">• Queue-only allocation: </w:t>
      </w:r>
      <w:r>
        <w:t>Smooths contention but adds allocation latency and queue correctness complexity.</w:t>
      </w:r>
    </w:p>
    <w:p>
      <w:pPr>
        <w:pStyle w:val="Heading2"/>
        <w:keepNext/>
      </w:pPr>
      <w:r>
        <w:t>Decision</w:t>
      </w:r>
    </w:p>
    <w:tbl>
      <w:tblPr>
        <w:tblW w:type="auto" w:w="0"/>
        <w:jc w:val="center"/>
        <w:tblLook w:firstColumn="1" w:firstRow="1" w:lastColumn="0" w:lastRow="0" w:noHBand="0" w:noVBand="1" w:val="04A0"/>
      </w:tblPr>
      <w:tblGrid>
        <w:gridCol w:w="10368"/>
      </w:tblGrid>
      <w:tr>
        <w:tc>
          <w:tcPr>
            <w:tcW w:type="dxa" w:w="10368"/>
            <w:shd w:fill="FFF7E8"/>
            <w:tcBorders>
              <w:top w:val="single" w:sz="6" w:color="F2C57C"/>
              <w:left w:val="single" w:sz="6" w:color="F2C57C"/>
              <w:bottom w:val="single" w:sz="6" w:color="F2C57C"/>
              <w:right w:val="single" w:sz="6" w:color="F2C57C"/>
              <w:insideH w:val="single" w:sz="6" w:color="F2C57C"/>
              <w:insideV w:val="single" w:sz="6" w:color="F2C57C"/>
            </w:tcBorders>
          </w:tcPr>
          <w:p>
            <w:pPr>
              <w:pStyle w:val="DecisionText"/>
            </w:pPr>
            <w:r>
              <w:t>Use a single short database transaction with an atomic conditional update and version check, plus UNIQUE(idempotency_key), per-customer sale limit and CHECK available_quantity &gt;= 0. The durable database is the final arbiter.</w:t>
            </w:r>
          </w:p>
        </w:tc>
      </w:tr>
    </w:tbl>
    <w:p>
      <w:pPr>
        <w:pStyle w:val="Heading2"/>
        <w:keepNext/>
      </w:pPr>
      <w:r>
        <w:t>Why this decision</w:t>
      </w:r>
    </w:p>
    <w:p>
      <w:pPr>
        <w:spacing w:after="20"/>
        <w:ind w:left="230" w:hanging="173"/>
      </w:pPr>
      <w:r>
        <w:t>• Directly enforces no-oversell and conservation invariants.</w:t>
      </w:r>
    </w:p>
    <w:p>
      <w:pPr>
        <w:spacing w:after="20"/>
        <w:ind w:left="230" w:hanging="173"/>
      </w:pPr>
      <w:r>
        <w:t>• Avoids holding long pessimistic locks during a flash burst.</w:t>
      </w:r>
    </w:p>
    <w:p>
      <w:pPr>
        <w:spacing w:after="20"/>
        <w:ind w:left="230" w:hanging="173"/>
      </w:pPr>
      <w:r>
        <w:t>• Simple to simulate, test and explain for the last-item race.</w:t>
      </w:r>
    </w:p>
    <w:p>
      <w:pPr>
        <w:pStyle w:val="Heading2"/>
        <w:keepNext/>
      </w:pPr>
      <w:r>
        <w:t>Trade-offs / consequences</w:t>
      </w:r>
    </w:p>
    <w:p>
      <w:pPr>
        <w:spacing w:after="20"/>
        <w:ind w:left="230" w:hanging="173"/>
      </w:pPr>
      <w:r>
        <w:t>• Conflicting requests may retry and the hot row still serializes successful mutations.</w:t>
      </w:r>
    </w:p>
    <w:p>
      <w:pPr>
        <w:spacing w:after="20"/>
        <w:ind w:left="230" w:hanging="173"/>
      </w:pPr>
      <w:r>
        <w:t>• At much larger scale, stock buckets/sharding may be needed while preserving a strict sum invariant.</w:t>
      </w:r>
    </w:p>
    <w:p>
      <w:pPr>
        <w:pStyle w:val="Heading3"/>
        <w:keepNext/>
      </w:pPr>
      <w:r>
        <w:t>Review trigger</w:t>
      </w:r>
    </w:p>
    <w:p>
      <w:pPr>
        <w:spacing w:after="0"/>
      </w:pPr>
      <w:r>
        <w:t>Trigger review if p99 reservation latency exceeds 300 ms or hot-row throughput fails the 1.5x load test.</w:t>
      </w:r>
    </w:p>
    <w:p>
      <w:r>
        <w:br w:type="page"/>
      </w:r>
    </w:p>
    <w:p>
      <w:pPr>
        <w:pStyle w:val="Heading1"/>
        <w:keepNext/>
      </w:pPr>
      <w:r>
        <w:t>ADR-04  Primary Database</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Status</w:t>
            </w:r>
          </w:p>
        </w:tc>
        <w:tc>
          <w:tcPr>
            <w:tcW w:type="dxa" w:w="3240"/>
            <w:tcBorders>
              <w:top w:val="single" w:sz="6" w:color="C9D6E2"/>
              <w:left w:val="single" w:sz="6" w:color="C9D6E2"/>
              <w:bottom w:val="single" w:sz="6" w:color="C9D6E2"/>
              <w:right w:val="single" w:sz="6" w:color="C9D6E2"/>
              <w:insideH w:val="single" w:sz="6" w:color="C9D6E2"/>
              <w:insideV w:val="single" w:sz="6" w:color="C9D6E2"/>
            </w:tcBorders>
            <w:shd w:fill="E2F4E9"/>
          </w:tcPr>
          <w:p>
            <w:pPr>
              <w:spacing w:after="0"/>
            </w:pPr>
            <w:r>
              <w:rPr>
                <w:b/>
                <w:color w:val="1B6E3C"/>
                <w:sz w:val="16"/>
              </w:rPr>
              <w:t>Accepted</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Requirement drivers</w:t>
            </w:r>
          </w:p>
        </w:tc>
        <w:tc>
          <w:tcPr>
            <w:tcW w:type="dxa" w:w="50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INV-03, INV-10, ORD-02…03, NFR-20, DR-01, data requirements Section 16</w:t>
            </w:r>
          </w:p>
        </w:tc>
      </w:tr>
      <w:tr>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Owner</w:t>
            </w:r>
          </w:p>
        </w:tc>
        <w:tc>
          <w:tcPr>
            <w:tcW w:type="dxa" w:w="32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System Architecture Team</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Decision date</w:t>
            </w:r>
          </w:p>
        </w:tc>
        <w:tc>
          <w:tcPr>
            <w:tcW w:type="dxa" w:w="50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Hackathon baseline</w:t>
            </w:r>
          </w:p>
        </w:tc>
      </w:tr>
    </w:tbl>
    <w:p>
      <w:pPr>
        <w:pStyle w:val="Heading2"/>
        <w:keepNext/>
      </w:pPr>
      <w:r>
        <w:t>Context</w:t>
      </w:r>
    </w:p>
    <w:p>
      <w:pPr>
        <w:spacing w:after="100"/>
      </w:pPr>
      <w:r>
        <w:t>Inventory, reservations, payments and orders need ACID transactions, uniqueness constraints, auditability and RPO 0 for committed business state.</w:t>
      </w:r>
    </w:p>
    <w:p>
      <w:pPr>
        <w:pStyle w:val="Heading2"/>
        <w:keepNext/>
      </w:pPr>
      <w:r>
        <w:t>Alternatives considered</w:t>
      </w:r>
    </w:p>
    <w:p>
      <w:pPr>
        <w:spacing w:after="40"/>
        <w:ind w:left="230" w:hanging="173"/>
      </w:pPr>
      <w:r>
        <w:rPr>
          <w:b/>
        </w:rPr>
        <w:t xml:space="preserve">• NoSQL key-value/document DB: </w:t>
      </w:r>
      <w:r>
        <w:t>Easy horizontal scale, but cross-entity constraints and transactional invariants are harder to defend.</w:t>
      </w:r>
    </w:p>
    <w:p>
      <w:pPr>
        <w:spacing w:after="40"/>
        <w:ind w:left="230" w:hanging="173"/>
      </w:pPr>
      <w:r>
        <w:rPr>
          <w:b/>
        </w:rPr>
        <w:t xml:space="preserve">• NewSQL/distributed SQL: </w:t>
      </w:r>
      <w:r>
        <w:t>Strong semantics and scale, but added platform complexity for a hackathon blueprint.</w:t>
      </w:r>
    </w:p>
    <w:p>
      <w:pPr>
        <w:spacing w:after="40"/>
        <w:ind w:left="230" w:hanging="173"/>
      </w:pPr>
      <w:r>
        <w:rPr>
          <w:b/>
        </w:rPr>
        <w:t xml:space="preserve">• PostgreSQL: </w:t>
      </w:r>
      <w:r>
        <w:t>Mature ACID transactions, constraints, indexes, replication and broad tooling support.</w:t>
      </w:r>
    </w:p>
    <w:p>
      <w:pPr>
        <w:pStyle w:val="Heading2"/>
        <w:keepNext/>
      </w:pPr>
      <w:r>
        <w:t>Decision</w:t>
      </w:r>
    </w:p>
    <w:tbl>
      <w:tblPr>
        <w:tblW w:type="auto" w:w="0"/>
        <w:jc w:val="center"/>
        <w:tblLook w:firstColumn="1" w:firstRow="1" w:lastColumn="0" w:lastRow="0" w:noHBand="0" w:noVBand="1" w:val="04A0"/>
      </w:tblPr>
      <w:tblGrid>
        <w:gridCol w:w="10368"/>
      </w:tblGrid>
      <w:tr>
        <w:tc>
          <w:tcPr>
            <w:tcW w:type="dxa" w:w="10368"/>
            <w:shd w:fill="FFF7E8"/>
            <w:tcBorders>
              <w:top w:val="single" w:sz="6" w:color="F2C57C"/>
              <w:left w:val="single" w:sz="6" w:color="F2C57C"/>
              <w:bottom w:val="single" w:sz="6" w:color="F2C57C"/>
              <w:right w:val="single" w:sz="6" w:color="F2C57C"/>
              <w:insideH w:val="single" w:sz="6" w:color="F2C57C"/>
              <w:insideV w:val="single" w:sz="6" w:color="F2C57C"/>
            </w:tcBorders>
          </w:tcPr>
          <w:p>
            <w:pPr>
              <w:pStyle w:val="DecisionText"/>
            </w:pPr>
            <w:r>
              <w:t>Use PostgreSQL as the transactional source of truth for inventory, reservation, payment and order data. Use synchronous HA replication for committed state and read replicas only for non-critical read workloads.</w:t>
            </w:r>
          </w:p>
        </w:tc>
      </w:tr>
    </w:tbl>
    <w:p>
      <w:pPr>
        <w:pStyle w:val="Heading2"/>
        <w:keepNext/>
      </w:pPr>
      <w:r>
        <w:t>Why this decision</w:t>
      </w:r>
    </w:p>
    <w:p>
      <w:pPr>
        <w:spacing w:after="20"/>
        <w:ind w:left="230" w:hanging="173"/>
      </w:pPr>
      <w:r>
        <w:t>• Natural fit for invariants, UNIQUE keys, CHECK constraints and transactional outbox.</w:t>
      </w:r>
    </w:p>
    <w:p>
      <w:pPr>
        <w:spacing w:after="20"/>
        <w:ind w:left="230" w:hanging="173"/>
      </w:pPr>
      <w:r>
        <w:t>• Supports RPO 0 design through synchronous replica strategy.</w:t>
      </w:r>
    </w:p>
    <w:p>
      <w:pPr>
        <w:spacing w:after="20"/>
        <w:ind w:left="230" w:hanging="173"/>
      </w:pPr>
      <w:r>
        <w:t>• Operationally familiar and easy to demonstrate.</w:t>
      </w:r>
    </w:p>
    <w:p>
      <w:pPr>
        <w:pStyle w:val="Heading2"/>
        <w:keepNext/>
      </w:pPr>
      <w:r>
        <w:t>Trade-offs / consequences</w:t>
      </w:r>
    </w:p>
    <w:p>
      <w:pPr>
        <w:spacing w:after="20"/>
        <w:ind w:left="230" w:hanging="173"/>
      </w:pPr>
      <w:r>
        <w:t>• Write scaling is not unlimited; hot rows remain a bottleneck.</w:t>
      </w:r>
    </w:p>
    <w:p>
      <w:pPr>
        <w:spacing w:after="20"/>
        <w:ind w:left="230" w:hanging="173"/>
      </w:pPr>
      <w:r>
        <w:t>• Read replicas must never be used to decide reservation correctness because they may lag.</w:t>
      </w:r>
    </w:p>
    <w:p>
      <w:pPr>
        <w:pStyle w:val="Heading3"/>
        <w:keepNext/>
      </w:pPr>
      <w:r>
        <w:t>Review trigger</w:t>
      </w:r>
    </w:p>
    <w:p>
      <w:pPr>
        <w:spacing w:after="0"/>
      </w:pPr>
      <w:r>
        <w:t>Revisit distributed SQL only if multi-region active-active writes become a firm requirement.</w:t>
      </w:r>
    </w:p>
    <w:p>
      <w:r>
        <w:br w:type="page"/>
      </w:r>
    </w:p>
    <w:p>
      <w:pPr>
        <w:pStyle w:val="Heading1"/>
        <w:keepNext/>
      </w:pPr>
      <w:r>
        <w:t>ADR-05  Caching &amp; Sold-Out Signalling</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Status</w:t>
            </w:r>
          </w:p>
        </w:tc>
        <w:tc>
          <w:tcPr>
            <w:tcW w:type="dxa" w:w="3240"/>
            <w:tcBorders>
              <w:top w:val="single" w:sz="6" w:color="C9D6E2"/>
              <w:left w:val="single" w:sz="6" w:color="C9D6E2"/>
              <w:bottom w:val="single" w:sz="6" w:color="C9D6E2"/>
              <w:right w:val="single" w:sz="6" w:color="C9D6E2"/>
              <w:insideH w:val="single" w:sz="6" w:color="C9D6E2"/>
              <w:insideV w:val="single" w:sz="6" w:color="C9D6E2"/>
            </w:tcBorders>
            <w:shd w:fill="E2F4E9"/>
          </w:tcPr>
          <w:p>
            <w:pPr>
              <w:spacing w:after="0"/>
            </w:pPr>
            <w:r>
              <w:rPr>
                <w:b/>
                <w:color w:val="1B6E3C"/>
                <w:sz w:val="16"/>
              </w:rPr>
              <w:t>Accepted</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Requirement drivers</w:t>
            </w:r>
          </w:p>
        </w:tc>
        <w:tc>
          <w:tcPr>
            <w:tcW w:type="dxa" w:w="50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INV-03, INV-07, INV-09, NFR-15, CAP-02…03, DR-06, R-03</w:t>
            </w:r>
          </w:p>
        </w:tc>
      </w:tr>
      <w:tr>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Owner</w:t>
            </w:r>
          </w:p>
        </w:tc>
        <w:tc>
          <w:tcPr>
            <w:tcW w:type="dxa" w:w="32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System Architecture Team</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Decision date</w:t>
            </w:r>
          </w:p>
        </w:tc>
        <w:tc>
          <w:tcPr>
            <w:tcW w:type="dxa" w:w="50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Hackathon baseline</w:t>
            </w:r>
          </w:p>
        </w:tc>
      </w:tr>
    </w:tbl>
    <w:p>
      <w:pPr>
        <w:pStyle w:val="Heading2"/>
        <w:keepNext/>
      </w:pPr>
      <w:r>
        <w:t>Context</w:t>
      </w:r>
    </w:p>
    <w:p>
      <w:pPr>
        <w:spacing w:after="100"/>
      </w:pPr>
      <w:r>
        <w:t>At least 95% of peak traffic is expected to be cacheable. After stock is exhausted, about 9,900 losing requests should be rejected cheaply without repeatedly touching the inventory store.</w:t>
      </w:r>
    </w:p>
    <w:p>
      <w:pPr>
        <w:pStyle w:val="Heading2"/>
        <w:keepNext/>
      </w:pPr>
      <w:r>
        <w:t>Alternatives considered</w:t>
      </w:r>
    </w:p>
    <w:p>
      <w:pPr>
        <w:spacing w:after="40"/>
        <w:ind w:left="230" w:hanging="173"/>
      </w:pPr>
      <w:r>
        <w:rPr>
          <w:b/>
        </w:rPr>
        <w:t xml:space="preserve">• No cache: </w:t>
      </w:r>
      <w:r>
        <w:t>Correct but sends excessive read traffic to origin.</w:t>
      </w:r>
    </w:p>
    <w:p>
      <w:pPr>
        <w:spacing w:after="40"/>
        <w:ind w:left="230" w:hanging="173"/>
      </w:pPr>
      <w:r>
        <w:rPr>
          <w:b/>
        </w:rPr>
        <w:t xml:space="preserve">• Redis as stock authority: </w:t>
      </w:r>
      <w:r>
        <w:t>Fast but violates the requirement that cache is advisory.</w:t>
      </w:r>
    </w:p>
    <w:p>
      <w:pPr>
        <w:spacing w:after="40"/>
        <w:ind w:left="230" w:hanging="173"/>
      </w:pPr>
      <w:r>
        <w:rPr>
          <w:b/>
        </w:rPr>
        <w:t xml:space="preserve">• CDN + Redis advisory cache: </w:t>
      </w:r>
      <w:r>
        <w:t>Absorbs reads and distributes stock-state signals while DB remains authoritative.</w:t>
      </w:r>
    </w:p>
    <w:p>
      <w:pPr>
        <w:pStyle w:val="Heading2"/>
        <w:keepNext/>
      </w:pPr>
      <w:r>
        <w:t>Decision</w:t>
      </w:r>
    </w:p>
    <w:tbl>
      <w:tblPr>
        <w:tblW w:type="auto" w:w="0"/>
        <w:jc w:val="center"/>
        <w:tblLook w:firstColumn="1" w:firstRow="1" w:lastColumn="0" w:lastRow="0" w:noHBand="0" w:noVBand="1" w:val="04A0"/>
      </w:tblPr>
      <w:tblGrid>
        <w:gridCol w:w="10368"/>
      </w:tblGrid>
      <w:tr>
        <w:tc>
          <w:tcPr>
            <w:tcW w:type="dxa" w:w="10368"/>
            <w:shd w:fill="FFF7E8"/>
            <w:tcBorders>
              <w:top w:val="single" w:sz="6" w:color="F2C57C"/>
              <w:left w:val="single" w:sz="6" w:color="F2C57C"/>
              <w:bottom w:val="single" w:sz="6" w:color="F2C57C"/>
              <w:right w:val="single" w:sz="6" w:color="F2C57C"/>
              <w:insideH w:val="single" w:sz="6" w:color="F2C57C"/>
              <w:insideV w:val="single" w:sz="6" w:color="F2C57C"/>
            </w:tcBorders>
          </w:tcPr>
          <w:p>
            <w:pPr>
              <w:pStyle w:val="DecisionText"/>
            </w:pPr>
            <w:r>
              <w:t>Use CDN for static/catalogue/sale-page content and Redis for product/session/admission data plus a short-lived IN_STOCK / SOFT_SOLD_OUT / HARD_SOLD_OUT signal. Reservation success is always decided by PostgreSQL.</w:t>
            </w:r>
          </w:p>
        </w:tc>
      </w:tr>
    </w:tbl>
    <w:p>
      <w:pPr>
        <w:pStyle w:val="Heading2"/>
        <w:keepNext/>
      </w:pPr>
      <w:r>
        <w:t>Why this decision</w:t>
      </w:r>
    </w:p>
    <w:p>
      <w:pPr>
        <w:spacing w:after="20"/>
        <w:ind w:left="230" w:hanging="173"/>
      </w:pPr>
      <w:r>
        <w:t>• Reduces dynamic origin load while preserving correctness.</w:t>
      </w:r>
    </w:p>
    <w:p>
      <w:pPr>
        <w:spacing w:after="20"/>
        <w:ind w:left="230" w:hanging="173"/>
      </w:pPr>
      <w:r>
        <w:t>• Makes sold-out rejection cheap and fast.</w:t>
      </w:r>
    </w:p>
    <w:p>
      <w:pPr>
        <w:spacing w:after="20"/>
        <w:ind w:left="230" w:hanging="173"/>
      </w:pPr>
      <w:r>
        <w:t>• Cache loss affects latency, not business invariants.</w:t>
      </w:r>
    </w:p>
    <w:p>
      <w:pPr>
        <w:pStyle w:val="Heading2"/>
        <w:keepNext/>
      </w:pPr>
      <w:r>
        <w:t>Trade-offs / consequences</w:t>
      </w:r>
    </w:p>
    <w:p>
      <w:pPr>
        <w:spacing w:after="20"/>
        <w:ind w:left="230" w:hanging="173"/>
      </w:pPr>
      <w:r>
        <w:t>• Soft sold-out can be briefly stale; use &lt;=2 s TTL and event invalidation.</w:t>
      </w:r>
    </w:p>
    <w:p>
      <w:pPr>
        <w:spacing w:after="20"/>
        <w:ind w:left="230" w:hanging="173"/>
      </w:pPr>
      <w:r>
        <w:t>• False sold-out is an availability issue, not a correctness issue; DB remains final authority for admitted requests.</w:t>
      </w:r>
    </w:p>
    <w:p>
      <w:pPr>
        <w:pStyle w:val="Heading3"/>
        <w:keepNext/>
      </w:pPr>
      <w:r>
        <w:t>Review trigger</w:t>
      </w:r>
    </w:p>
    <w:p>
      <w:pPr>
        <w:spacing w:after="0"/>
      </w:pPr>
      <w:r>
        <w:t>Tune TTLs based on load test and stock-release behaviour.</w:t>
      </w:r>
    </w:p>
    <w:p>
      <w:r>
        <w:br w:type="page"/>
      </w:r>
    </w:p>
    <w:p>
      <w:pPr>
        <w:pStyle w:val="Heading1"/>
        <w:keepNext/>
      </w:pPr>
      <w:r>
        <w:t>ADR-06  Message Broker</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Status</w:t>
            </w:r>
          </w:p>
        </w:tc>
        <w:tc>
          <w:tcPr>
            <w:tcW w:type="dxa" w:w="3240"/>
            <w:tcBorders>
              <w:top w:val="single" w:sz="6" w:color="C9D6E2"/>
              <w:left w:val="single" w:sz="6" w:color="C9D6E2"/>
              <w:bottom w:val="single" w:sz="6" w:color="C9D6E2"/>
              <w:right w:val="single" w:sz="6" w:color="C9D6E2"/>
              <w:insideH w:val="single" w:sz="6" w:color="C9D6E2"/>
              <w:insideV w:val="single" w:sz="6" w:color="C9D6E2"/>
            </w:tcBorders>
            <w:shd w:fill="E2F4E9"/>
          </w:tcPr>
          <w:p>
            <w:pPr>
              <w:spacing w:after="0"/>
            </w:pPr>
            <w:r>
              <w:rPr>
                <w:b/>
                <w:color w:val="1B6E3C"/>
                <w:sz w:val="16"/>
              </w:rPr>
              <w:t>Accepted</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Requirement drivers</w:t>
            </w:r>
          </w:p>
        </w:tc>
        <w:tc>
          <w:tcPr>
            <w:tcW w:type="dxa" w:w="50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MSG-01…07, FR-15…18, DR-07, NFR-21, R-07</w:t>
            </w:r>
          </w:p>
        </w:tc>
      </w:tr>
      <w:tr>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Owner</w:t>
            </w:r>
          </w:p>
        </w:tc>
        <w:tc>
          <w:tcPr>
            <w:tcW w:type="dxa" w:w="32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System Architecture Team</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Decision date</w:t>
            </w:r>
          </w:p>
        </w:tc>
        <w:tc>
          <w:tcPr>
            <w:tcW w:type="dxa" w:w="50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Hackathon baseline</w:t>
            </w:r>
          </w:p>
        </w:tc>
      </w:tr>
    </w:tbl>
    <w:p>
      <w:pPr>
        <w:pStyle w:val="Heading2"/>
        <w:keepNext/>
      </w:pPr>
      <w:r>
        <w:t>Context</w:t>
      </w:r>
    </w:p>
    <w:p>
      <w:pPr>
        <w:spacing w:after="100"/>
      </w:pPr>
      <w:r>
        <w:t>Order recovery, fulfilment, notification and reconciliation must continue even if downstream services are temporarily unavailable. Events need durability, replay and per-aggregate ordering.</w:t>
      </w:r>
    </w:p>
    <w:p>
      <w:pPr>
        <w:pStyle w:val="Heading2"/>
        <w:keepNext/>
      </w:pPr>
      <w:r>
        <w:t>Alternatives considered</w:t>
      </w:r>
    </w:p>
    <w:p>
      <w:pPr>
        <w:spacing w:after="40"/>
        <w:ind w:left="230" w:hanging="173"/>
      </w:pPr>
      <w:r>
        <w:rPr>
          <w:b/>
        </w:rPr>
        <w:t xml:space="preserve">• Direct synchronous calls only: </w:t>
      </w:r>
      <w:r>
        <w:t>Simple but tightly couples availability and creates cascade failures.</w:t>
      </w:r>
    </w:p>
    <w:p>
      <w:pPr>
        <w:spacing w:after="40"/>
        <w:ind w:left="230" w:hanging="173"/>
      </w:pPr>
      <w:r>
        <w:rPr>
          <w:b/>
        </w:rPr>
        <w:t xml:space="preserve">• RabbitMQ: </w:t>
      </w:r>
      <w:r>
        <w:t>Strong work-queue semantics and simple routing.</w:t>
      </w:r>
    </w:p>
    <w:p>
      <w:pPr>
        <w:spacing w:after="40"/>
        <w:ind w:left="230" w:hanging="173"/>
      </w:pPr>
      <w:r>
        <w:rPr>
          <w:b/>
        </w:rPr>
        <w:t xml:space="preserve">• Apache Kafka: </w:t>
      </w:r>
      <w:r>
        <w:t>Durable event log, replay, high throughput, partition ordering and consumer scaling.</w:t>
      </w:r>
    </w:p>
    <w:p>
      <w:pPr>
        <w:pStyle w:val="Heading2"/>
        <w:keepNext/>
      </w:pPr>
      <w:r>
        <w:t>Decision</w:t>
      </w:r>
    </w:p>
    <w:tbl>
      <w:tblPr>
        <w:tblW w:type="auto" w:w="0"/>
        <w:jc w:val="center"/>
        <w:tblLook w:firstColumn="1" w:firstRow="1" w:lastColumn="0" w:lastRow="0" w:noHBand="0" w:noVBand="1" w:val="04A0"/>
      </w:tblPr>
      <w:tblGrid>
        <w:gridCol w:w="10368"/>
      </w:tblGrid>
      <w:tr>
        <w:tc>
          <w:tcPr>
            <w:tcW w:type="dxa" w:w="10368"/>
            <w:shd w:fill="FFF7E8"/>
            <w:tcBorders>
              <w:top w:val="single" w:sz="6" w:color="F2C57C"/>
              <w:left w:val="single" w:sz="6" w:color="F2C57C"/>
              <w:bottom w:val="single" w:sz="6" w:color="F2C57C"/>
              <w:right w:val="single" w:sz="6" w:color="F2C57C"/>
              <w:insideH w:val="single" w:sz="6" w:color="F2C57C"/>
              <w:insideV w:val="single" w:sz="6" w:color="F2C57C"/>
            </w:tcBorders>
          </w:tcPr>
          <w:p>
            <w:pPr>
              <w:pStyle w:val="DecisionText"/>
            </w:pPr>
            <w:r>
              <w:t>Use Apache Kafka for durable domain events. Partition by order_id/reservation_id/payment_id where ordering matters; use idempotent consumers and a DLQ/replay process for poison events.</w:t>
            </w:r>
          </w:p>
        </w:tc>
      </w:tr>
    </w:tbl>
    <w:p>
      <w:pPr>
        <w:pStyle w:val="Heading2"/>
        <w:keepNext/>
      </w:pPr>
      <w:r>
        <w:t>Why this decision</w:t>
      </w:r>
    </w:p>
    <w:p>
      <w:pPr>
        <w:spacing w:after="20"/>
        <w:ind w:left="230" w:hanging="173"/>
      </w:pPr>
      <w:r>
        <w:t>• Fits at-least-once delivery with effectively-once business effects.</w:t>
      </w:r>
    </w:p>
    <w:p>
      <w:pPr>
        <w:spacing w:after="20"/>
        <w:ind w:left="230" w:hanging="173"/>
      </w:pPr>
      <w:r>
        <w:t>• Supports replay and recovery for paid-but-not-ordered scenarios.</w:t>
      </w:r>
    </w:p>
    <w:p>
      <w:pPr>
        <w:spacing w:after="20"/>
        <w:ind w:left="230" w:hanging="173"/>
      </w:pPr>
      <w:r>
        <w:t>• High throughput and durable event history suit flash-sale operations.</w:t>
      </w:r>
    </w:p>
    <w:p>
      <w:pPr>
        <w:pStyle w:val="Heading2"/>
        <w:keepNext/>
      </w:pPr>
      <w:r>
        <w:t>Trade-offs / consequences</w:t>
      </w:r>
    </w:p>
    <w:p>
      <w:pPr>
        <w:spacing w:after="20"/>
        <w:ind w:left="230" w:hanging="173"/>
      </w:pPr>
      <w:r>
        <w:t>• Requires schema governance, consumer lag monitoring and broker operations.</w:t>
      </w:r>
    </w:p>
    <w:p>
      <w:pPr>
        <w:spacing w:after="20"/>
        <w:ind w:left="230" w:hanging="173"/>
      </w:pPr>
      <w:r>
        <w:t>• At-least-once delivery means every consumer must deduplicate safely.</w:t>
      </w:r>
    </w:p>
    <w:p>
      <w:pPr>
        <w:pStyle w:val="Heading3"/>
        <w:keepNext/>
      </w:pPr>
      <w:r>
        <w:t>Review trigger</w:t>
      </w:r>
    </w:p>
    <w:p>
      <w:pPr>
        <w:spacing w:after="0"/>
      </w:pPr>
      <w:r>
        <w:t>RabbitMQ remains a valid lower-complexity alternative if replayable event history is not required by the implementation environment.</w:t>
      </w:r>
    </w:p>
    <w:p>
      <w:r>
        <w:br w:type="page"/>
      </w:r>
    </w:p>
    <w:p>
      <w:pPr>
        <w:pStyle w:val="Heading1"/>
        <w:keepNext/>
      </w:pPr>
      <w:r>
        <w:t>ADR-07  Transactional Outbox &amp; Event Delivery</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Status</w:t>
            </w:r>
          </w:p>
        </w:tc>
        <w:tc>
          <w:tcPr>
            <w:tcW w:type="dxa" w:w="3240"/>
            <w:tcBorders>
              <w:top w:val="single" w:sz="6" w:color="C9D6E2"/>
              <w:left w:val="single" w:sz="6" w:color="C9D6E2"/>
              <w:bottom w:val="single" w:sz="6" w:color="C9D6E2"/>
              <w:right w:val="single" w:sz="6" w:color="C9D6E2"/>
              <w:insideH w:val="single" w:sz="6" w:color="C9D6E2"/>
              <w:insideV w:val="single" w:sz="6" w:color="C9D6E2"/>
            </w:tcBorders>
            <w:shd w:fill="E2F4E9"/>
          </w:tcPr>
          <w:p>
            <w:pPr>
              <w:spacing w:after="0"/>
            </w:pPr>
            <w:r>
              <w:rPr>
                <w:b/>
                <w:color w:val="1B6E3C"/>
                <w:sz w:val="16"/>
              </w:rPr>
              <w:t>Accepted</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Requirement drivers</w:t>
            </w:r>
          </w:p>
        </w:tc>
        <w:tc>
          <w:tcPr>
            <w:tcW w:type="dxa" w:w="50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ORD-03, MSG-01, G-08, DR-07, R-07</w:t>
            </w:r>
          </w:p>
        </w:tc>
      </w:tr>
      <w:tr>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Owner</w:t>
            </w:r>
          </w:p>
        </w:tc>
        <w:tc>
          <w:tcPr>
            <w:tcW w:type="dxa" w:w="32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System Architecture Team</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Decision date</w:t>
            </w:r>
          </w:p>
        </w:tc>
        <w:tc>
          <w:tcPr>
            <w:tcW w:type="dxa" w:w="50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Hackathon baseline</w:t>
            </w:r>
          </w:p>
        </w:tc>
      </w:tr>
    </w:tbl>
    <w:p>
      <w:pPr>
        <w:pStyle w:val="Heading2"/>
        <w:keepNext/>
      </w:pPr>
      <w:r>
        <w:t>Context</w:t>
      </w:r>
    </w:p>
    <w:p>
      <w:pPr>
        <w:spacing w:after="100"/>
      </w:pPr>
      <w:r>
        <w:t>A database update and event publish cannot be allowed to diverge. Payment/order/inventory state changes must never commit without the event needed by downstream recovery.</w:t>
      </w:r>
    </w:p>
    <w:p>
      <w:pPr>
        <w:pStyle w:val="Heading2"/>
        <w:keepNext/>
      </w:pPr>
      <w:r>
        <w:t>Alternatives considered</w:t>
      </w:r>
    </w:p>
    <w:p>
      <w:pPr>
        <w:spacing w:after="40"/>
        <w:ind w:left="230" w:hanging="173"/>
      </w:pPr>
      <w:r>
        <w:rPr>
          <w:b/>
        </w:rPr>
        <w:t xml:space="preserve">• DB commit then broker publish: </w:t>
      </w:r>
      <w:r>
        <w:t>Can lose an event if the process crashes between steps.</w:t>
      </w:r>
    </w:p>
    <w:p>
      <w:pPr>
        <w:spacing w:after="40"/>
        <w:ind w:left="230" w:hanging="173"/>
      </w:pPr>
      <w:r>
        <w:rPr>
          <w:b/>
        </w:rPr>
        <w:t xml:space="preserve">• Distributed 2PC: </w:t>
      </w:r>
      <w:r>
        <w:t>Strong atomicity but heavy coupling and poor operational fit.</w:t>
      </w:r>
    </w:p>
    <w:p>
      <w:pPr>
        <w:spacing w:after="40"/>
        <w:ind w:left="230" w:hanging="173"/>
      </w:pPr>
      <w:r>
        <w:rPr>
          <w:b/>
        </w:rPr>
        <w:t xml:space="preserve">• Transactional outbox: </w:t>
      </w:r>
      <w:r>
        <w:t>State change and outbox row commit atomically; relay publishes later.</w:t>
      </w:r>
    </w:p>
    <w:p>
      <w:pPr>
        <w:pStyle w:val="Heading2"/>
        <w:keepNext/>
      </w:pPr>
      <w:r>
        <w:t>Decision</w:t>
      </w:r>
    </w:p>
    <w:tbl>
      <w:tblPr>
        <w:tblW w:type="auto" w:w="0"/>
        <w:jc w:val="center"/>
        <w:tblLook w:firstColumn="1" w:firstRow="1" w:lastColumn="0" w:lastRow="0" w:noHBand="0" w:noVBand="1" w:val="04A0"/>
      </w:tblPr>
      <w:tblGrid>
        <w:gridCol w:w="10368"/>
      </w:tblGrid>
      <w:tr>
        <w:tc>
          <w:tcPr>
            <w:tcW w:type="dxa" w:w="10368"/>
            <w:shd w:fill="FFF7E8"/>
            <w:tcBorders>
              <w:top w:val="single" w:sz="6" w:color="F2C57C"/>
              <w:left w:val="single" w:sz="6" w:color="F2C57C"/>
              <w:bottom w:val="single" w:sz="6" w:color="F2C57C"/>
              <w:right w:val="single" w:sz="6" w:color="F2C57C"/>
              <w:insideH w:val="single" w:sz="6" w:color="F2C57C"/>
              <w:insideV w:val="single" w:sz="6" w:color="F2C57C"/>
            </w:tcBorders>
          </w:tcPr>
          <w:p>
            <w:pPr>
              <w:pStyle w:val="DecisionText"/>
            </w:pPr>
            <w:r>
              <w:t>Write the domain state and an outbox record in the same PostgreSQL transaction. A relay publishes to Kafka and marks progress; consumers deduplicate by event_id and aggregate version.</w:t>
            </w:r>
          </w:p>
        </w:tc>
      </w:tr>
    </w:tbl>
    <w:p>
      <w:pPr>
        <w:pStyle w:val="Heading2"/>
        <w:keepNext/>
      </w:pPr>
      <w:r>
        <w:t>Why this decision</w:t>
      </w:r>
    </w:p>
    <w:p>
      <w:pPr>
        <w:spacing w:after="20"/>
        <w:ind w:left="230" w:hanging="173"/>
      </w:pPr>
      <w:r>
        <w:t>• Prevents lost and phantom business events without distributed transactions.</w:t>
      </w:r>
    </w:p>
    <w:p>
      <w:pPr>
        <w:spacing w:after="20"/>
        <w:ind w:left="230" w:hanging="173"/>
      </w:pPr>
      <w:r>
        <w:t>• Survives broker outages because committed events remain in the outbox.</w:t>
      </w:r>
    </w:p>
    <w:p>
      <w:pPr>
        <w:spacing w:after="20"/>
        <w:ind w:left="230" w:hanging="173"/>
      </w:pPr>
      <w:r>
        <w:t>• Makes recovery measurable through outbox lag and DLQ depth.</w:t>
      </w:r>
    </w:p>
    <w:p>
      <w:pPr>
        <w:pStyle w:val="Heading2"/>
        <w:keepNext/>
      </w:pPr>
      <w:r>
        <w:t>Trade-offs / consequences</w:t>
      </w:r>
    </w:p>
    <w:p>
      <w:pPr>
        <w:spacing w:after="20"/>
        <w:ind w:left="230" w:hanging="173"/>
      </w:pPr>
      <w:r>
        <w:t>• Introduces outbox storage/cleanup and a relay component.</w:t>
      </w:r>
    </w:p>
    <w:p>
      <w:pPr>
        <w:spacing w:after="20"/>
        <w:ind w:left="230" w:hanging="173"/>
      </w:pPr>
      <w:r>
        <w:t>• Events are asynchronous and may be delayed, so UI states must represent pending work.</w:t>
      </w:r>
    </w:p>
    <w:p>
      <w:pPr>
        <w:pStyle w:val="Heading3"/>
        <w:keepNext/>
      </w:pPr>
      <w:r>
        <w:t>Review trigger</w:t>
      </w:r>
    </w:p>
    <w:p>
      <w:pPr>
        <w:spacing w:after="0"/>
      </w:pPr>
      <w:r>
        <w:t>Outbox lag beyond the defined SLO triggers operational review, not a change to the atomicity rule.</w:t>
      </w:r>
    </w:p>
    <w:p>
      <w:r>
        <w:br w:type="page"/>
      </w:r>
    </w:p>
    <w:p>
      <w:pPr>
        <w:pStyle w:val="Heading1"/>
        <w:keepNext/>
      </w:pPr>
      <w:r>
        <w:t>ADR-08  Synchronous vs Asynchronous Communication</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Status</w:t>
            </w:r>
          </w:p>
        </w:tc>
        <w:tc>
          <w:tcPr>
            <w:tcW w:type="dxa" w:w="3240"/>
            <w:tcBorders>
              <w:top w:val="single" w:sz="6" w:color="C9D6E2"/>
              <w:left w:val="single" w:sz="6" w:color="C9D6E2"/>
              <w:bottom w:val="single" w:sz="6" w:color="C9D6E2"/>
              <w:right w:val="single" w:sz="6" w:color="C9D6E2"/>
              <w:insideH w:val="single" w:sz="6" w:color="C9D6E2"/>
              <w:insideV w:val="single" w:sz="6" w:color="C9D6E2"/>
            </w:tcBorders>
            <w:shd w:fill="E2F4E9"/>
          </w:tcPr>
          <w:p>
            <w:pPr>
              <w:spacing w:after="0"/>
            </w:pPr>
            <w:r>
              <w:rPr>
                <w:b/>
                <w:color w:val="1B6E3C"/>
                <w:sz w:val="16"/>
              </w:rPr>
              <w:t>Accepted</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Requirement drivers</w:t>
            </w:r>
          </w:p>
        </w:tc>
        <w:tc>
          <w:tcPr>
            <w:tcW w:type="dxa" w:w="50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A-05, FR-04, FR-09, FR-15…18, MSG-01, NFR-16</w:t>
            </w:r>
          </w:p>
        </w:tc>
      </w:tr>
      <w:tr>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Owner</w:t>
            </w:r>
          </w:p>
        </w:tc>
        <w:tc>
          <w:tcPr>
            <w:tcW w:type="dxa" w:w="32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System Architecture Team</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Decision date</w:t>
            </w:r>
          </w:p>
        </w:tc>
        <w:tc>
          <w:tcPr>
            <w:tcW w:type="dxa" w:w="50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Hackathon baseline</w:t>
            </w:r>
          </w:p>
        </w:tc>
      </w:tr>
    </w:tbl>
    <w:p>
      <w:pPr>
        <w:pStyle w:val="Heading2"/>
        <w:keepNext/>
      </w:pPr>
      <w:r>
        <w:t>Context</w:t>
      </w:r>
    </w:p>
    <w:p>
      <w:pPr>
        <w:spacing w:after="100"/>
      </w:pPr>
      <w:r>
        <w:t>Some user actions need an immediate answer; others should survive downstream outages and do not need to block the request.</w:t>
      </w:r>
    </w:p>
    <w:p>
      <w:pPr>
        <w:pStyle w:val="Heading2"/>
        <w:keepNext/>
      </w:pPr>
      <w:r>
        <w:t>Alternatives considered</w:t>
      </w:r>
    </w:p>
    <w:p>
      <w:pPr>
        <w:spacing w:after="40"/>
        <w:ind w:left="230" w:hanging="173"/>
      </w:pPr>
      <w:r>
        <w:rPr>
          <w:b/>
        </w:rPr>
        <w:t xml:space="preserve">• All synchronous REST: </w:t>
      </w:r>
      <w:r>
        <w:t>Easy request tracing but poor resilience and long critical paths.</w:t>
      </w:r>
    </w:p>
    <w:p>
      <w:pPr>
        <w:spacing w:after="40"/>
        <w:ind w:left="230" w:hanging="173"/>
      </w:pPr>
      <w:r>
        <w:rPr>
          <w:b/>
        </w:rPr>
        <w:t xml:space="preserve">• All asynchronous: </w:t>
      </w:r>
      <w:r>
        <w:t>Resilient but awkward for immediate reservation/payment decisions.</w:t>
      </w:r>
    </w:p>
    <w:p>
      <w:pPr>
        <w:spacing w:after="40"/>
        <w:ind w:left="230" w:hanging="173"/>
      </w:pPr>
      <w:r>
        <w:rPr>
          <w:b/>
        </w:rPr>
        <w:t xml:space="preserve">• Hybrid: </w:t>
      </w:r>
      <w:r>
        <w:t>Use synchronous request/response for immediate decisions and events for downstream workflows.</w:t>
      </w:r>
    </w:p>
    <w:p>
      <w:pPr>
        <w:pStyle w:val="Heading2"/>
        <w:keepNext/>
      </w:pPr>
      <w:r>
        <w:t>Decision</w:t>
      </w:r>
    </w:p>
    <w:tbl>
      <w:tblPr>
        <w:tblW w:type="auto" w:w="0"/>
        <w:jc w:val="center"/>
        <w:tblLook w:firstColumn="1" w:firstRow="1" w:lastColumn="0" w:lastRow="0" w:noHBand="0" w:noVBand="1" w:val="04A0"/>
      </w:tblPr>
      <w:tblGrid>
        <w:gridCol w:w="10368"/>
      </w:tblGrid>
      <w:tr>
        <w:tc>
          <w:tcPr>
            <w:tcW w:type="dxa" w:w="10368"/>
            <w:shd w:fill="FFF7E8"/>
            <w:tcBorders>
              <w:top w:val="single" w:sz="6" w:color="F2C57C"/>
              <w:left w:val="single" w:sz="6" w:color="F2C57C"/>
              <w:bottom w:val="single" w:sz="6" w:color="F2C57C"/>
              <w:right w:val="single" w:sz="6" w:color="F2C57C"/>
              <w:insideH w:val="single" w:sz="6" w:color="F2C57C"/>
              <w:insideV w:val="single" w:sz="6" w:color="F2C57C"/>
            </w:tcBorders>
          </w:tcPr>
          <w:p>
            <w:pPr>
              <w:pStyle w:val="DecisionText"/>
            </w:pPr>
            <w:r>
              <w:t>Use HTTPS REST for authentication, catalogue/cart operations, admission, reservation decision and payment initiation/status. Use Kafka events for order recovery, fulfilment, shipment, notification, audit and reconciliation.</w:t>
            </w:r>
          </w:p>
        </w:tc>
      </w:tr>
    </w:tbl>
    <w:p>
      <w:pPr>
        <w:pStyle w:val="Heading2"/>
        <w:keepNext/>
      </w:pPr>
      <w:r>
        <w:t>Why this decision</w:t>
      </w:r>
    </w:p>
    <w:p>
      <w:pPr>
        <w:spacing w:after="20"/>
        <w:ind w:left="230" w:hanging="173"/>
      </w:pPr>
      <w:r>
        <w:t>• Keeps the interactive Buy Now path understandable and bounded.</w:t>
      </w:r>
    </w:p>
    <w:p>
      <w:pPr>
        <w:spacing w:after="20"/>
        <w:ind w:left="230" w:hanging="173"/>
      </w:pPr>
      <w:r>
        <w:t>• Prevents notification/fulfilment outages from blocking a paid order.</w:t>
      </w:r>
    </w:p>
    <w:p>
      <w:pPr>
        <w:spacing w:after="20"/>
        <w:ind w:left="230" w:hanging="173"/>
      </w:pPr>
      <w:r>
        <w:t>• Supports the 30-second Order Service outage scenario.</w:t>
      </w:r>
    </w:p>
    <w:p>
      <w:pPr>
        <w:pStyle w:val="Heading2"/>
        <w:keepNext/>
      </w:pPr>
      <w:r>
        <w:t>Trade-offs / consequences</w:t>
      </w:r>
    </w:p>
    <w:p>
      <w:pPr>
        <w:spacing w:after="20"/>
        <w:ind w:left="230" w:hanging="173"/>
      </w:pPr>
      <w:r>
        <w:t>• Both API and event contracts must be versioned.</w:t>
      </w:r>
    </w:p>
    <w:p>
      <w:pPr>
        <w:spacing w:after="20"/>
        <w:ind w:left="230" w:hanging="173"/>
      </w:pPr>
      <w:r>
        <w:t>• Clients need explicit pending states when work completes asynchronously.</w:t>
      </w:r>
    </w:p>
    <w:p>
      <w:pPr>
        <w:pStyle w:val="Heading3"/>
        <w:keepNext/>
      </w:pPr>
      <w:r>
        <w:t>Review trigger</w:t>
      </w:r>
    </w:p>
    <w:p>
      <w:pPr>
        <w:spacing w:after="0"/>
      </w:pPr>
      <w:r>
        <w:t>Move a synchronous edge to async if dependency latency or outage impact threatens the checkout SLO.</w:t>
      </w:r>
    </w:p>
    <w:p>
      <w:r>
        <w:br w:type="page"/>
      </w:r>
    </w:p>
    <w:p>
      <w:pPr>
        <w:pStyle w:val="Heading1"/>
        <w:keepNext/>
      </w:pPr>
      <w:r>
        <w:t>ADR-09  Payment Gateway Integration</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Status</w:t>
            </w:r>
          </w:p>
        </w:tc>
        <w:tc>
          <w:tcPr>
            <w:tcW w:type="dxa" w:w="3240"/>
            <w:tcBorders>
              <w:top w:val="single" w:sz="6" w:color="C9D6E2"/>
              <w:left w:val="single" w:sz="6" w:color="C9D6E2"/>
              <w:bottom w:val="single" w:sz="6" w:color="C9D6E2"/>
              <w:right w:val="single" w:sz="6" w:color="C9D6E2"/>
              <w:insideH w:val="single" w:sz="6" w:color="C9D6E2"/>
              <w:insideV w:val="single" w:sz="6" w:color="C9D6E2"/>
            </w:tcBorders>
            <w:shd w:fill="E2F4E9"/>
          </w:tcPr>
          <w:p>
            <w:pPr>
              <w:spacing w:after="0"/>
            </w:pPr>
            <w:r>
              <w:rPr>
                <w:b/>
                <w:color w:val="1B6E3C"/>
                <w:sz w:val="16"/>
              </w:rPr>
              <w:t>Accepted</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Requirement drivers</w:t>
            </w:r>
          </w:p>
        </w:tc>
        <w:tc>
          <w:tcPr>
            <w:tcW w:type="dxa" w:w="50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PAY-01…11, G-04, FR-09…15, DR-04, R-02, R-08, R-11</w:t>
            </w:r>
          </w:p>
        </w:tc>
      </w:tr>
      <w:tr>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Owner</w:t>
            </w:r>
          </w:p>
        </w:tc>
        <w:tc>
          <w:tcPr>
            <w:tcW w:type="dxa" w:w="32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System Architecture Team</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Decision date</w:t>
            </w:r>
          </w:p>
        </w:tc>
        <w:tc>
          <w:tcPr>
            <w:tcW w:type="dxa" w:w="50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Hackathon baseline</w:t>
            </w:r>
          </w:p>
        </w:tc>
      </w:tr>
    </w:tbl>
    <w:p>
      <w:pPr>
        <w:pStyle w:val="Heading2"/>
        <w:keepNext/>
      </w:pPr>
      <w:r>
        <w:t>Context</w:t>
      </w:r>
    </w:p>
    <w:p>
      <w:pPr>
        <w:spacing w:after="100"/>
      </w:pPr>
      <w:r>
        <w:t>Payments can succeed, fail, time out, send duplicate/out-of-order webhooks or complete after reservation expiry. SALESTORM must never blindly re-charge or store raw card data.</w:t>
      </w:r>
    </w:p>
    <w:p>
      <w:pPr>
        <w:pStyle w:val="Heading2"/>
        <w:keepNext/>
      </w:pPr>
      <w:r>
        <w:t>Alternatives considered</w:t>
      </w:r>
    </w:p>
    <w:p>
      <w:pPr>
        <w:spacing w:after="40"/>
        <w:ind w:left="230" w:hanging="173"/>
      </w:pPr>
      <w:r>
        <w:rPr>
          <w:b/>
        </w:rPr>
        <w:t xml:space="preserve">• Direct provider-specific integration: </w:t>
      </w:r>
      <w:r>
        <w:t>Fast initially but tightly couples business logic to one gateway.</w:t>
      </w:r>
    </w:p>
    <w:p>
      <w:pPr>
        <w:spacing w:after="40"/>
        <w:ind w:left="230" w:hanging="173"/>
      </w:pPr>
      <w:r>
        <w:rPr>
          <w:b/>
        </w:rPr>
        <w:t xml:space="preserve">• Gateway abstraction / adapter: </w:t>
      </w:r>
      <w:r>
        <w:t>Stable internal contract, provider-specific mapping at the boundary.</w:t>
      </w:r>
    </w:p>
    <w:p>
      <w:pPr>
        <w:spacing w:after="40"/>
        <w:ind w:left="230" w:hanging="173"/>
      </w:pPr>
      <w:r>
        <w:rPr>
          <w:b/>
        </w:rPr>
        <w:t xml:space="preserve">• Multiple active gateways: </w:t>
      </w:r>
      <w:r>
        <w:t>Improves resilience but complicates routing, reconciliation and finance.</w:t>
      </w:r>
    </w:p>
    <w:p>
      <w:pPr>
        <w:pStyle w:val="Heading2"/>
        <w:keepNext/>
      </w:pPr>
      <w:r>
        <w:t>Decision</w:t>
      </w:r>
    </w:p>
    <w:tbl>
      <w:tblPr>
        <w:tblW w:type="auto" w:w="0"/>
        <w:jc w:val="center"/>
        <w:tblLook w:firstColumn="1" w:firstRow="1" w:lastColumn="0" w:lastRow="0" w:noHBand="0" w:noVBand="1" w:val="04A0"/>
      </w:tblPr>
      <w:tblGrid>
        <w:gridCol w:w="10368"/>
      </w:tblGrid>
      <w:tr>
        <w:tc>
          <w:tcPr>
            <w:tcW w:type="dxa" w:w="10368"/>
            <w:shd w:fill="FFF7E8"/>
            <w:tcBorders>
              <w:top w:val="single" w:sz="6" w:color="F2C57C"/>
              <w:left w:val="single" w:sz="6" w:color="F2C57C"/>
              <w:bottom w:val="single" w:sz="6" w:color="F2C57C"/>
              <w:right w:val="single" w:sz="6" w:color="F2C57C"/>
              <w:insideH w:val="single" w:sz="6" w:color="F2C57C"/>
              <w:insideV w:val="single" w:sz="6" w:color="F2C57C"/>
            </w:tcBorders>
          </w:tcPr>
          <w:p>
            <w:pPr>
              <w:pStyle w:val="DecisionText"/>
            </w:pPr>
            <w:r>
              <w:t>Put gateways behind a PaymentGateway adapter. Send merchant transaction reference and idempotency key to the provider, verify webhook signatures, query provider status on timeout, use circuit breaker/backoff, and reconcile settlement. Keep card data off SALESTORM servers.</w:t>
            </w:r>
          </w:p>
        </w:tc>
      </w:tr>
    </w:tbl>
    <w:p>
      <w:pPr>
        <w:pStyle w:val="Heading2"/>
        <w:keepNext/>
      </w:pPr>
      <w:r>
        <w:t>Why this decision</w:t>
      </w:r>
    </w:p>
    <w:p>
      <w:pPr>
        <w:spacing w:after="20"/>
        <w:ind w:left="230" w:hanging="173"/>
      </w:pPr>
      <w:r>
        <w:t>• Contains provider differences and supports future gateway changes.</w:t>
      </w:r>
    </w:p>
    <w:p>
      <w:pPr>
        <w:spacing w:after="20"/>
        <w:ind w:left="230" w:hanging="173"/>
      </w:pPr>
      <w:r>
        <w:t>• Directly implements zero duplicate-charge and safe-timeout guarantees.</w:t>
      </w:r>
    </w:p>
    <w:p>
      <w:pPr>
        <w:spacing w:after="20"/>
        <w:ind w:left="230" w:hanging="173"/>
      </w:pPr>
      <w:r>
        <w:t>• Supports deterministic late-payment re-acquire-or-refund handling.</w:t>
      </w:r>
    </w:p>
    <w:p>
      <w:pPr>
        <w:pStyle w:val="Heading2"/>
        <w:keepNext/>
      </w:pPr>
      <w:r>
        <w:t>Trade-offs / consequences</w:t>
      </w:r>
    </w:p>
    <w:p>
      <w:pPr>
        <w:spacing w:after="20"/>
        <w:ind w:left="230" w:hanging="173"/>
      </w:pPr>
      <w:r>
        <w:t>• Gateway-specific edge cases still need adapter tests.</w:t>
      </w:r>
    </w:p>
    <w:p>
      <w:pPr>
        <w:spacing w:after="20"/>
        <w:ind w:left="230" w:hanging="173"/>
      </w:pPr>
      <w:r>
        <w:t>• Secondary gateway failover is policy-driven and must avoid double authorization.</w:t>
      </w:r>
    </w:p>
    <w:p>
      <w:pPr>
        <w:pStyle w:val="Heading3"/>
        <w:keepNext/>
      </w:pPr>
      <w:r>
        <w:t>Review trigger</w:t>
      </w:r>
    </w:p>
    <w:p>
      <w:pPr>
        <w:spacing w:after="0"/>
      </w:pPr>
      <w:r>
        <w:t>Enable automatic multi-gateway routing only after finance/reconciliation rules are proven.</w:t>
      </w:r>
    </w:p>
    <w:p>
      <w:r>
        <w:br w:type="page"/>
      </w:r>
    </w:p>
    <w:p>
      <w:pPr>
        <w:pStyle w:val="Heading1"/>
        <w:keepNext/>
      </w:pPr>
      <w:r>
        <w:t>ADR-10  Authentication, Authorization &amp; Service Trust</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Status</w:t>
            </w:r>
          </w:p>
        </w:tc>
        <w:tc>
          <w:tcPr>
            <w:tcW w:type="dxa" w:w="3240"/>
            <w:tcBorders>
              <w:top w:val="single" w:sz="6" w:color="C9D6E2"/>
              <w:left w:val="single" w:sz="6" w:color="C9D6E2"/>
              <w:bottom w:val="single" w:sz="6" w:color="C9D6E2"/>
              <w:right w:val="single" w:sz="6" w:color="C9D6E2"/>
              <w:insideH w:val="single" w:sz="6" w:color="C9D6E2"/>
              <w:insideV w:val="single" w:sz="6" w:color="C9D6E2"/>
            </w:tcBorders>
            <w:shd w:fill="E2F4E9"/>
          </w:tcPr>
          <w:p>
            <w:pPr>
              <w:spacing w:after="0"/>
            </w:pPr>
            <w:r>
              <w:rPr>
                <w:b/>
                <w:color w:val="1B6E3C"/>
                <w:sz w:val="16"/>
              </w:rPr>
              <w:t>Accepted</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Requirement drivers</w:t>
            </w:r>
          </w:p>
        </w:tc>
        <w:tc>
          <w:tcPr>
            <w:tcW w:type="dxa" w:w="50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SEC-01…10, A-10, TRF-08</w:t>
            </w:r>
          </w:p>
        </w:tc>
      </w:tr>
      <w:tr>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Owner</w:t>
            </w:r>
          </w:p>
        </w:tc>
        <w:tc>
          <w:tcPr>
            <w:tcW w:type="dxa" w:w="32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System Architecture Team</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Decision date</w:t>
            </w:r>
          </w:p>
        </w:tc>
        <w:tc>
          <w:tcPr>
            <w:tcW w:type="dxa" w:w="50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Hackathon baseline</w:t>
            </w:r>
          </w:p>
        </w:tc>
      </w:tr>
    </w:tbl>
    <w:p>
      <w:pPr>
        <w:pStyle w:val="Heading2"/>
        <w:keepNext/>
      </w:pPr>
      <w:r>
        <w:t>Context</w:t>
      </w:r>
    </w:p>
    <w:p>
      <w:pPr>
        <w:spacing w:after="100"/>
      </w:pPr>
      <w:r>
        <w:t>Buy Now, payment and admin controls operate on money and limited stock. Authentication must support stateless horizontal scaling and strong operator controls.</w:t>
      </w:r>
    </w:p>
    <w:p>
      <w:pPr>
        <w:pStyle w:val="Heading2"/>
        <w:keepNext/>
      </w:pPr>
      <w:r>
        <w:t>Alternatives considered</w:t>
      </w:r>
    </w:p>
    <w:p>
      <w:pPr>
        <w:spacing w:after="40"/>
        <w:ind w:left="230" w:hanging="173"/>
      </w:pPr>
      <w:r>
        <w:rPr>
          <w:b/>
        </w:rPr>
        <w:t xml:space="preserve">• Server-side session auth: </w:t>
      </w:r>
      <w:r>
        <w:t>Simple but central session state can become a scaling dependency.</w:t>
      </w:r>
    </w:p>
    <w:p>
      <w:pPr>
        <w:spacing w:after="40"/>
        <w:ind w:left="230" w:hanging="173"/>
      </w:pPr>
      <w:r>
        <w:rPr>
          <w:b/>
        </w:rPr>
        <w:t xml:space="preserve">• API keys: </w:t>
      </w:r>
      <w:r>
        <w:t>Suitable for services, not rich end-user identity and delegated authorization.</w:t>
      </w:r>
    </w:p>
    <w:p>
      <w:pPr>
        <w:spacing w:after="40"/>
        <w:ind w:left="230" w:hanging="173"/>
      </w:pPr>
      <w:r>
        <w:rPr>
          <w:b/>
        </w:rPr>
        <w:t xml:space="preserve">• OIDC/OAuth2 + JWT: </w:t>
      </w:r>
      <w:r>
        <w:t>Standard user identity, signed claims and stateless verification.</w:t>
      </w:r>
    </w:p>
    <w:p>
      <w:pPr>
        <w:pStyle w:val="Heading2"/>
        <w:keepNext/>
      </w:pPr>
      <w:r>
        <w:t>Decision</w:t>
      </w:r>
    </w:p>
    <w:tbl>
      <w:tblPr>
        <w:tblW w:type="auto" w:w="0"/>
        <w:jc w:val="center"/>
        <w:tblLook w:firstColumn="1" w:firstRow="1" w:lastColumn="0" w:lastRow="0" w:noHBand="0" w:noVBand="1" w:val="04A0"/>
      </w:tblPr>
      <w:tblGrid>
        <w:gridCol w:w="10368"/>
      </w:tblGrid>
      <w:tr>
        <w:tc>
          <w:tcPr>
            <w:tcW w:type="dxa" w:w="10368"/>
            <w:shd w:fill="FFF7E8"/>
            <w:tcBorders>
              <w:top w:val="single" w:sz="6" w:color="F2C57C"/>
              <w:left w:val="single" w:sz="6" w:color="F2C57C"/>
              <w:bottom w:val="single" w:sz="6" w:color="F2C57C"/>
              <w:right w:val="single" w:sz="6" w:color="F2C57C"/>
              <w:insideH w:val="single" w:sz="6" w:color="F2C57C"/>
              <w:insideV w:val="single" w:sz="6" w:color="F2C57C"/>
            </w:tcBorders>
          </w:tcPr>
          <w:p>
            <w:pPr>
              <w:pStyle w:val="DecisionText"/>
            </w:pPr>
            <w:r>
              <w:t>Use OIDC/OAuth2 with short-lived JWT access tokens for customers, RBAC for admin/ops, MFA and dual control for sensitive stock operations. Protect service-to-service calls with mTLS or signed workload tokens; store secrets in a managed vault.</w:t>
            </w:r>
          </w:p>
        </w:tc>
      </w:tr>
    </w:tbl>
    <w:p>
      <w:pPr>
        <w:pStyle w:val="Heading2"/>
        <w:keepNext/>
      </w:pPr>
      <w:r>
        <w:t>Why this decision</w:t>
      </w:r>
    </w:p>
    <w:p>
      <w:pPr>
        <w:spacing w:after="20"/>
        <w:ind w:left="230" w:hanging="173"/>
      </w:pPr>
      <w:r>
        <w:t>• Works with stateless API tiers and external identity providers.</w:t>
      </w:r>
    </w:p>
    <w:p>
      <w:pPr>
        <w:spacing w:after="20"/>
        <w:ind w:left="230" w:hanging="173"/>
      </w:pPr>
      <w:r>
        <w:t>• Supports least privilege and auditable admin operations.</w:t>
      </w:r>
    </w:p>
    <w:p>
      <w:pPr>
        <w:spacing w:after="20"/>
        <w:ind w:left="230" w:hanging="173"/>
      </w:pPr>
      <w:r>
        <w:t>• Separates customer identity from internal service trust.</w:t>
      </w:r>
    </w:p>
    <w:p>
      <w:pPr>
        <w:pStyle w:val="Heading2"/>
        <w:keepNext/>
      </w:pPr>
      <w:r>
        <w:t>Trade-offs / consequences</w:t>
      </w:r>
    </w:p>
    <w:p>
      <w:pPr>
        <w:spacing w:after="20"/>
        <w:ind w:left="230" w:hanging="173"/>
      </w:pPr>
      <w:r>
        <w:t>• Token expiry/revocation and key rotation need operational procedures.</w:t>
      </w:r>
    </w:p>
    <w:p>
      <w:pPr>
        <w:spacing w:after="20"/>
        <w:ind w:left="230" w:hanging="173"/>
      </w:pPr>
      <w:r>
        <w:t>• JWT claims must be minimal; authorization is still enforced server-side.</w:t>
      </w:r>
    </w:p>
    <w:p>
      <w:pPr>
        <w:pStyle w:val="Heading3"/>
        <w:keepNext/>
      </w:pPr>
      <w:r>
        <w:t>Review trigger</w:t>
      </w:r>
    </w:p>
    <w:p>
      <w:pPr>
        <w:spacing w:after="0"/>
      </w:pPr>
      <w:r>
        <w:t>Revisit token lifetimes and trust model after threat modelling and pen-test results.</w:t>
      </w:r>
    </w:p>
    <w:p>
      <w:r>
        <w:br w:type="page"/>
      </w:r>
    </w:p>
    <w:p>
      <w:pPr>
        <w:pStyle w:val="Heading1"/>
        <w:keepNext/>
      </w:pPr>
      <w:r>
        <w:t>ADR-11  Deployment, Availability &amp; Disaster Recovery</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Status</w:t>
            </w:r>
          </w:p>
        </w:tc>
        <w:tc>
          <w:tcPr>
            <w:tcW w:type="dxa" w:w="3240"/>
            <w:tcBorders>
              <w:top w:val="single" w:sz="6" w:color="C9D6E2"/>
              <w:left w:val="single" w:sz="6" w:color="C9D6E2"/>
              <w:bottom w:val="single" w:sz="6" w:color="C9D6E2"/>
              <w:right w:val="single" w:sz="6" w:color="C9D6E2"/>
              <w:insideH w:val="single" w:sz="6" w:color="C9D6E2"/>
              <w:insideV w:val="single" w:sz="6" w:color="C9D6E2"/>
            </w:tcBorders>
            <w:shd w:fill="E2F4E9"/>
          </w:tcPr>
          <w:p>
            <w:pPr>
              <w:spacing w:after="0"/>
            </w:pPr>
            <w:r>
              <w:rPr>
                <w:b/>
                <w:color w:val="1B6E3C"/>
                <w:sz w:val="16"/>
              </w:rPr>
              <w:t>Accepted</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Requirement drivers</w:t>
            </w:r>
          </w:p>
        </w:tc>
        <w:tc>
          <w:tcPr>
            <w:tcW w:type="dxa" w:w="50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NFR-18, NFR-20, NFR-22, DR-01…09, A-12, A-13</w:t>
            </w:r>
          </w:p>
        </w:tc>
      </w:tr>
      <w:tr>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Owner</w:t>
            </w:r>
          </w:p>
        </w:tc>
        <w:tc>
          <w:tcPr>
            <w:tcW w:type="dxa" w:w="32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System Architecture Team</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Decision date</w:t>
            </w:r>
          </w:p>
        </w:tc>
        <w:tc>
          <w:tcPr>
            <w:tcW w:type="dxa" w:w="50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Hackathon baseline</w:t>
            </w:r>
          </w:p>
        </w:tc>
      </w:tr>
    </w:tbl>
    <w:p>
      <w:pPr>
        <w:pStyle w:val="Heading2"/>
        <w:keepNext/>
      </w:pPr>
      <w:r>
        <w:t>Context</w:t>
      </w:r>
    </w:p>
    <w:p>
      <w:pPr>
        <w:spacing w:after="100"/>
      </w:pPr>
      <w:r>
        <w:t>The sale start is known in advance, infrastructure can span at least three availability zones, and committed inventory/payment/order data requires RPO 0 with fast single-AZ recovery.</w:t>
      </w:r>
    </w:p>
    <w:p>
      <w:pPr>
        <w:pStyle w:val="Heading2"/>
        <w:keepNext/>
      </w:pPr>
      <w:r>
        <w:t>Alternatives considered</w:t>
      </w:r>
    </w:p>
    <w:p>
      <w:pPr>
        <w:spacing w:after="40"/>
        <w:ind w:left="230" w:hanging="173"/>
      </w:pPr>
      <w:r>
        <w:rPr>
          <w:b/>
        </w:rPr>
        <w:t xml:space="preserve">• Single VM / single AZ: </w:t>
      </w:r>
      <w:r>
        <w:t>Low cost but unacceptable blast radius.</w:t>
      </w:r>
    </w:p>
    <w:p>
      <w:pPr>
        <w:spacing w:after="40"/>
        <w:ind w:left="230" w:hanging="173"/>
      </w:pPr>
      <w:r>
        <w:rPr>
          <w:b/>
        </w:rPr>
        <w:t xml:space="preserve">• VM autoscaling groups: </w:t>
      </w:r>
      <w:r>
        <w:t>Viable but more manual deployment and service management.</w:t>
      </w:r>
    </w:p>
    <w:p>
      <w:pPr>
        <w:spacing w:after="40"/>
        <w:ind w:left="230" w:hanging="173"/>
      </w:pPr>
      <w:r>
        <w:rPr>
          <w:b/>
        </w:rPr>
        <w:t xml:space="preserve">• Containerized multi-AZ platform + managed stateful services: </w:t>
      </w:r>
      <w:r>
        <w:t>Supports pre-warming, horizontal scale, health replacement and managed replication.</w:t>
      </w:r>
    </w:p>
    <w:p>
      <w:pPr>
        <w:pStyle w:val="Heading2"/>
        <w:keepNext/>
      </w:pPr>
      <w:r>
        <w:t>Decision</w:t>
      </w:r>
    </w:p>
    <w:tbl>
      <w:tblPr>
        <w:tblW w:type="auto" w:w="0"/>
        <w:jc w:val="center"/>
        <w:tblLook w:firstColumn="1" w:firstRow="1" w:lastColumn="0" w:lastRow="0" w:noHBand="0" w:noVBand="1" w:val="04A0"/>
      </w:tblPr>
      <w:tblGrid>
        <w:gridCol w:w="10368"/>
      </w:tblGrid>
      <w:tr>
        <w:tc>
          <w:tcPr>
            <w:tcW w:type="dxa" w:w="10368"/>
            <w:shd w:fill="FFF7E8"/>
            <w:tcBorders>
              <w:top w:val="single" w:sz="6" w:color="F2C57C"/>
              <w:left w:val="single" w:sz="6" w:color="F2C57C"/>
              <w:bottom w:val="single" w:sz="6" w:color="F2C57C"/>
              <w:right w:val="single" w:sz="6" w:color="F2C57C"/>
              <w:insideH w:val="single" w:sz="6" w:color="F2C57C"/>
              <w:insideV w:val="single" w:sz="6" w:color="F2C57C"/>
            </w:tcBorders>
          </w:tcPr>
          <w:p>
            <w:pPr>
              <w:pStyle w:val="DecisionText"/>
            </w:pPr>
            <w:r>
              <w:t>Deploy stateless services as containers across at least three AZs on a managed orchestrator (e.g. Kubernetes). Pre-warm sale capacity. Use managed PostgreSQL HA with synchronous standby, managed Redis/Kafka where available, encrypted backups and a regional standby/restore plan.</w:t>
            </w:r>
          </w:p>
        </w:tc>
      </w:tr>
    </w:tbl>
    <w:p>
      <w:pPr>
        <w:pStyle w:val="Heading2"/>
        <w:keepNext/>
      </w:pPr>
      <w:r>
        <w:t>Why this decision</w:t>
      </w:r>
    </w:p>
    <w:p>
      <w:pPr>
        <w:spacing w:after="20"/>
        <w:ind w:left="230" w:hanging="173"/>
      </w:pPr>
      <w:r>
        <w:t>• Aligns with horizontal scaling and known sale start.</w:t>
      </w:r>
    </w:p>
    <w:p>
      <w:pPr>
        <w:spacing w:after="20"/>
        <w:ind w:left="230" w:hanging="173"/>
      </w:pPr>
      <w:r>
        <w:t>• Supports automatic instance replacement and AZ traffic shift.</w:t>
      </w:r>
    </w:p>
    <w:p>
      <w:pPr>
        <w:spacing w:after="20"/>
        <w:ind w:left="230" w:hanging="173"/>
      </w:pPr>
      <w:r>
        <w:t>• Separates stateless scale-out from durable state failover.</w:t>
      </w:r>
    </w:p>
    <w:p>
      <w:pPr>
        <w:pStyle w:val="Heading2"/>
        <w:keepNext/>
      </w:pPr>
      <w:r>
        <w:t>Trade-offs / consequences</w:t>
      </w:r>
    </w:p>
    <w:p>
      <w:pPr>
        <w:spacing w:after="20"/>
        <w:ind w:left="230" w:hanging="173"/>
      </w:pPr>
      <w:r>
        <w:t>• Kubernetes/managed services add operational and cost overhead.</w:t>
      </w:r>
    </w:p>
    <w:p>
      <w:pPr>
        <w:spacing w:after="20"/>
        <w:ind w:left="230" w:hanging="173"/>
      </w:pPr>
      <w:r>
        <w:t>• Regional RTO &lt;=30 min depends on tested backup/restore or standby procedures.</w:t>
      </w:r>
    </w:p>
    <w:p>
      <w:pPr>
        <w:pStyle w:val="Heading3"/>
        <w:keepNext/>
      </w:pPr>
      <w:r>
        <w:t>Review trigger</w:t>
      </w:r>
    </w:p>
    <w:p>
      <w:pPr>
        <w:spacing w:after="0"/>
      </w:pPr>
      <w:r>
        <w:t>If the target environment does not provide managed orchestration, preserve the multi-AZ and RPO/RTO requirements with simpler deployment tooling.</w:t>
      </w:r>
    </w:p>
    <w:p>
      <w:r>
        <w:br w:type="page"/>
      </w:r>
    </w:p>
    <w:p>
      <w:pPr>
        <w:pStyle w:val="Heading1"/>
        <w:keepNext/>
      </w:pPr>
      <w:r>
        <w:t>ADR-12  Observability &amp; Operations</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Status</w:t>
            </w:r>
          </w:p>
        </w:tc>
        <w:tc>
          <w:tcPr>
            <w:tcW w:type="dxa" w:w="3240"/>
            <w:tcBorders>
              <w:top w:val="single" w:sz="6" w:color="C9D6E2"/>
              <w:left w:val="single" w:sz="6" w:color="C9D6E2"/>
              <w:bottom w:val="single" w:sz="6" w:color="C9D6E2"/>
              <w:right w:val="single" w:sz="6" w:color="C9D6E2"/>
              <w:insideH w:val="single" w:sz="6" w:color="C9D6E2"/>
              <w:insideV w:val="single" w:sz="6" w:color="C9D6E2"/>
            </w:tcBorders>
            <w:shd w:fill="E2F4E9"/>
          </w:tcPr>
          <w:p>
            <w:pPr>
              <w:spacing w:after="0"/>
            </w:pPr>
            <w:r>
              <w:rPr>
                <w:b/>
                <w:color w:val="1B6E3C"/>
                <w:sz w:val="16"/>
              </w:rPr>
              <w:t>Accepted</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Requirement drivers</w:t>
            </w:r>
          </w:p>
        </w:tc>
        <w:tc>
          <w:tcPr>
            <w:tcW w:type="dxa" w:w="50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OBS-01…08, OPS-01…05, NFR-13, NFR-23, G-07</w:t>
            </w:r>
          </w:p>
        </w:tc>
      </w:tr>
      <w:tr>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Owner</w:t>
            </w:r>
          </w:p>
        </w:tc>
        <w:tc>
          <w:tcPr>
            <w:tcW w:type="dxa" w:w="32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System Architecture Team</w:t>
            </w:r>
          </w:p>
        </w:tc>
        <w:tc>
          <w:tcPr>
            <w:tcW w:type="dxa" w:w="1152"/>
            <w:tcBorders>
              <w:top w:val="single" w:sz="6" w:color="C9D6E2"/>
              <w:left w:val="single" w:sz="6" w:color="C9D6E2"/>
              <w:bottom w:val="single" w:sz="6" w:color="C9D6E2"/>
              <w:right w:val="single" w:sz="6" w:color="C9D6E2"/>
              <w:insideH w:val="single" w:sz="6" w:color="C9D6E2"/>
              <w:insideV w:val="single" w:sz="6" w:color="C9D6E2"/>
            </w:tcBorders>
            <w:shd w:fill="EAF3FA"/>
          </w:tcPr>
          <w:p>
            <w:pPr>
              <w:spacing w:after="0"/>
            </w:pPr>
            <w:r>
              <w:rPr>
                <w:b/>
                <w:color w:val="102A43"/>
                <w:sz w:val="16"/>
              </w:rPr>
              <w:t>Decision date</w:t>
            </w:r>
          </w:p>
        </w:tc>
        <w:tc>
          <w:tcPr>
            <w:tcW w:type="dxa" w:w="5040"/>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color w:val="17202A"/>
                <w:sz w:val="16"/>
              </w:rPr>
              <w:t>Hackathon baseline</w:t>
            </w:r>
          </w:p>
        </w:tc>
      </w:tr>
    </w:tbl>
    <w:p>
      <w:pPr>
        <w:pStyle w:val="Heading2"/>
        <w:keepNext/>
      </w:pPr>
      <w:r>
        <w:t>Context</w:t>
      </w:r>
    </w:p>
    <w:p>
      <w:pPr>
        <w:spacing w:after="100"/>
      </w:pPr>
      <w:r>
        <w:t>During a flash sale the team must detect inventory anomalies, payment failure spikes, queue lag and paid-without-order cases within seconds and trace one purchase end to end.</w:t>
      </w:r>
    </w:p>
    <w:p>
      <w:pPr>
        <w:pStyle w:val="Heading2"/>
        <w:keepNext/>
      </w:pPr>
      <w:r>
        <w:t>Alternatives considered</w:t>
      </w:r>
    </w:p>
    <w:p>
      <w:pPr>
        <w:spacing w:after="40"/>
        <w:ind w:left="230" w:hanging="173"/>
      </w:pPr>
      <w:r>
        <w:rPr>
          <w:b/>
        </w:rPr>
        <w:t xml:space="preserve">• Application logs only: </w:t>
      </w:r>
      <w:r>
        <w:t>Insufficient for latency, dependency health and cross-service diagnosis.</w:t>
      </w:r>
    </w:p>
    <w:p>
      <w:pPr>
        <w:spacing w:after="40"/>
        <w:ind w:left="230" w:hanging="173"/>
      </w:pPr>
      <w:r>
        <w:rPr>
          <w:b/>
        </w:rPr>
        <w:t xml:space="preserve">• Vendor-specific monitoring only: </w:t>
      </w:r>
      <w:r>
        <w:t>Fast to start but couples instrumentation to one platform.</w:t>
      </w:r>
    </w:p>
    <w:p>
      <w:pPr>
        <w:spacing w:after="40"/>
        <w:ind w:left="230" w:hanging="173"/>
      </w:pPr>
      <w:r>
        <w:rPr>
          <w:b/>
        </w:rPr>
        <w:t xml:space="preserve">• OpenTelemetry-based telemetry pipeline: </w:t>
      </w:r>
      <w:r>
        <w:t>Portable traces/metrics/log correlation with multiple backends.</w:t>
      </w:r>
    </w:p>
    <w:p>
      <w:pPr>
        <w:pStyle w:val="Heading2"/>
        <w:keepNext/>
      </w:pPr>
      <w:r>
        <w:t>Decision</w:t>
      </w:r>
    </w:p>
    <w:tbl>
      <w:tblPr>
        <w:tblW w:type="auto" w:w="0"/>
        <w:jc w:val="center"/>
        <w:tblLook w:firstColumn="1" w:firstRow="1" w:lastColumn="0" w:lastRow="0" w:noHBand="0" w:noVBand="1" w:val="04A0"/>
      </w:tblPr>
      <w:tblGrid>
        <w:gridCol w:w="10368"/>
      </w:tblGrid>
      <w:tr>
        <w:tc>
          <w:tcPr>
            <w:tcW w:type="dxa" w:w="10368"/>
            <w:shd w:fill="FFF7E8"/>
            <w:tcBorders>
              <w:top w:val="single" w:sz="6" w:color="F2C57C"/>
              <w:left w:val="single" w:sz="6" w:color="F2C57C"/>
              <w:bottom w:val="single" w:sz="6" w:color="F2C57C"/>
              <w:right w:val="single" w:sz="6" w:color="F2C57C"/>
              <w:insideH w:val="single" w:sz="6" w:color="F2C57C"/>
              <w:insideV w:val="single" w:sz="6" w:color="F2C57C"/>
            </w:tcBorders>
          </w:tcPr>
          <w:p>
            <w:pPr>
              <w:pStyle w:val="DecisionText"/>
            </w:pPr>
            <w:r>
              <w:t>Instrument all critical services with OpenTelemetry correlation IDs. Export metrics to Prometheus-compatible monitoring, structured logs to centralized storage, and traces to a distributed tracing backend; visualize in dashboards and page on invariant/SLO breaches.</w:t>
            </w:r>
          </w:p>
        </w:tc>
      </w:tr>
    </w:tbl>
    <w:p>
      <w:pPr>
        <w:pStyle w:val="Heading2"/>
        <w:keepNext/>
      </w:pPr>
      <w:r>
        <w:t>Why this decision</w:t>
      </w:r>
    </w:p>
    <w:p>
      <w:pPr>
        <w:spacing w:after="20"/>
        <w:ind w:left="230" w:hanging="173"/>
      </w:pPr>
      <w:r>
        <w:t>• Provides one request-to-order correlation path.</w:t>
      </w:r>
    </w:p>
    <w:p>
      <w:pPr>
        <w:spacing w:after="20"/>
        <w:ind w:left="230" w:hanging="173"/>
      </w:pPr>
      <w:r>
        <w:t>• Supports the required metrics, dashboards, alerts and failure drills.</w:t>
      </w:r>
    </w:p>
    <w:p>
      <w:pPr>
        <w:spacing w:after="20"/>
        <w:ind w:left="230" w:hanging="173"/>
      </w:pPr>
      <w:r>
        <w:t>• Keeps instrumentation portable even if backends change.</w:t>
      </w:r>
    </w:p>
    <w:p>
      <w:pPr>
        <w:pStyle w:val="Heading2"/>
        <w:keepNext/>
      </w:pPr>
      <w:r>
        <w:t>Trade-offs / consequences</w:t>
      </w:r>
    </w:p>
    <w:p>
      <w:pPr>
        <w:spacing w:after="20"/>
        <w:ind w:left="230" w:hanging="173"/>
      </w:pPr>
      <w:r>
        <w:t>• Telemetry volume is substantial; browse traffic must be sampled while checkout/payment/order get higher trace coverage.</w:t>
      </w:r>
    </w:p>
    <w:p>
      <w:pPr>
        <w:spacing w:after="20"/>
        <w:ind w:left="230" w:hanging="173"/>
      </w:pPr>
      <w:r>
        <w:t>• Alert thresholds and runbooks require rehearsal to avoid noise.</w:t>
      </w:r>
    </w:p>
    <w:p>
      <w:pPr>
        <w:pStyle w:val="Heading3"/>
        <w:keepNext/>
      </w:pPr>
      <w:r>
        <w:t>Review trigger</w:t>
      </w:r>
    </w:p>
    <w:p>
      <w:pPr>
        <w:spacing w:after="0"/>
      </w:pPr>
      <w:r>
        <w:t>Tune sampling and alert thresholds after the 1.5x peak load test.</w:t>
      </w:r>
    </w:p>
    <w:p>
      <w:r>
        <w:br w:type="page"/>
      </w:r>
    </w:p>
    <w:p>
      <w:pPr>
        <w:pStyle w:val="Heading1"/>
        <w:keepNext/>
      </w:pPr>
      <w:r>
        <w:t>2. Requirement-to-Decision Traceability</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456"/>
            <w:shd w:fill="102A43"/>
            <w:tcBorders>
              <w:top w:val="single" w:sz="6" w:color="102A43"/>
              <w:left w:val="single" w:sz="6" w:color="102A43"/>
              <w:bottom w:val="single" w:sz="6" w:color="102A43"/>
              <w:right w:val="single" w:sz="6" w:color="102A43"/>
              <w:insideH w:val="single" w:sz="6" w:color="102A43"/>
              <w:insideV w:val="single" w:sz="6" w:color="102A43"/>
            </w:tcBorders>
          </w:tcPr>
          <w:p>
            <w:r>
              <w:rPr>
                <w:b/>
                <w:color w:val="FFFFFF"/>
                <w:sz w:val="16"/>
              </w:rPr>
              <w:t>Guarantee / concern</w:t>
            </w:r>
          </w:p>
        </w:tc>
        <w:tc>
          <w:tcPr>
            <w:tcW w:type="dxa" w:w="3456"/>
            <w:shd w:fill="102A43"/>
            <w:tcBorders>
              <w:top w:val="single" w:sz="6" w:color="102A43"/>
              <w:left w:val="single" w:sz="6" w:color="102A43"/>
              <w:bottom w:val="single" w:sz="6" w:color="102A43"/>
              <w:right w:val="single" w:sz="6" w:color="102A43"/>
              <w:insideH w:val="single" w:sz="6" w:color="102A43"/>
              <w:insideV w:val="single" w:sz="6" w:color="102A43"/>
            </w:tcBorders>
          </w:tcPr>
          <w:p>
            <w:r>
              <w:rPr>
                <w:b/>
                <w:color w:val="FFFFFF"/>
                <w:sz w:val="16"/>
              </w:rPr>
              <w:t>Decision(s)</w:t>
            </w:r>
          </w:p>
        </w:tc>
        <w:tc>
          <w:tcPr>
            <w:tcW w:type="dxa" w:w="3456"/>
            <w:shd w:fill="102A43"/>
            <w:tcBorders>
              <w:top w:val="single" w:sz="6" w:color="102A43"/>
              <w:left w:val="single" w:sz="6" w:color="102A43"/>
              <w:bottom w:val="single" w:sz="6" w:color="102A43"/>
              <w:right w:val="single" w:sz="6" w:color="102A43"/>
              <w:insideH w:val="single" w:sz="6" w:color="102A43"/>
              <w:insideV w:val="single" w:sz="6" w:color="102A43"/>
            </w:tcBorders>
          </w:tcPr>
          <w:p>
            <w:r>
              <w:rPr>
                <w:b/>
                <w:color w:val="FFFFFF"/>
                <w:sz w:val="16"/>
              </w:rPr>
              <w:t>Requirements</w:t>
            </w:r>
          </w:p>
        </w:tc>
      </w:tr>
      <w:tr>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sz w:val="16"/>
              </w:rPr>
              <w:t>No overselling / no negative inventory</w:t>
            </w:r>
          </w:p>
        </w:tc>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sz w:val="16"/>
              </w:rPr>
              <w:t>ADR-03, ADR-04, ADR-05</w:t>
            </w:r>
          </w:p>
        </w:tc>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sz w:val="16"/>
              </w:rPr>
              <w:t>G-01, G-02, INV-01…03</w:t>
            </w:r>
          </w:p>
        </w:tc>
      </w:tr>
      <w:tr>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sz w:val="16"/>
              </w:rPr>
              <w:t>No duplicate reservation</w:t>
            </w:r>
          </w:p>
        </w:tc>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sz w:val="16"/>
              </w:rPr>
              <w:t>ADR-03</w:t>
            </w:r>
          </w:p>
        </w:tc>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sz w:val="16"/>
              </w:rPr>
              <w:t>G-03, INV-04</w:t>
            </w:r>
          </w:p>
        </w:tc>
      </w:tr>
      <w:tr>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sz w:val="16"/>
              </w:rPr>
              <w:t>No duplicate charge / safe timeout</w:t>
            </w:r>
          </w:p>
        </w:tc>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sz w:val="16"/>
              </w:rPr>
              <w:t>ADR-09</w:t>
            </w:r>
          </w:p>
        </w:tc>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sz w:val="16"/>
              </w:rPr>
              <w:t>G-04, PAY-02…04</w:t>
            </w:r>
          </w:p>
        </w:tc>
      </w:tr>
      <w:tr>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sz w:val="16"/>
              </w:rPr>
              <w:t>Reservation expiry and release</w:t>
            </w:r>
          </w:p>
        </w:tc>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sz w:val="16"/>
              </w:rPr>
              <w:t>ADR-03, ADR-07</w:t>
            </w:r>
          </w:p>
        </w:tc>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sz w:val="16"/>
              </w:rPr>
              <w:t>G-05, RSV-05…07</w:t>
            </w:r>
          </w:p>
        </w:tc>
      </w:tr>
      <w:tr>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sz w:val="16"/>
              </w:rPr>
              <w:t>Every captured payment reaches terminal order state</w:t>
            </w:r>
          </w:p>
        </w:tc>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sz w:val="16"/>
              </w:rPr>
              <w:t>ADR-06, ADR-07, ADR-08, ADR-09</w:t>
            </w:r>
          </w:p>
        </w:tc>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sz w:val="16"/>
              </w:rPr>
              <w:t>G-06, NFR-21</w:t>
            </w:r>
          </w:p>
        </w:tc>
      </w:tr>
      <w:tr>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sz w:val="16"/>
              </w:rPr>
              <w:t>Defined recovery / no lost event</w:t>
            </w:r>
          </w:p>
        </w:tc>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sz w:val="16"/>
              </w:rPr>
              <w:t>ADR-06, ADR-07, ADR-11, ADR-12</w:t>
            </w:r>
          </w:p>
        </w:tc>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sz w:val="16"/>
              </w:rPr>
              <w:t>G-07, G-08, DR-01…09</w:t>
            </w:r>
          </w:p>
        </w:tc>
      </w:tr>
      <w:tr>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sz w:val="16"/>
              </w:rPr>
              <w:t>500K req/s edge / cheap sold-out</w:t>
            </w:r>
          </w:p>
        </w:tc>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sz w:val="16"/>
              </w:rPr>
              <w:t>ADR-02, ADR-05, ADR-11</w:t>
            </w:r>
          </w:p>
        </w:tc>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sz w:val="16"/>
              </w:rPr>
              <w:t>NFR-15, INV-07</w:t>
            </w:r>
          </w:p>
        </w:tc>
      </w:tr>
      <w:tr>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sz w:val="16"/>
              </w:rPr>
              <w:t>Security / PCI scope</w:t>
            </w:r>
          </w:p>
        </w:tc>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sz w:val="16"/>
              </w:rPr>
              <w:t>ADR-09, ADR-10</w:t>
            </w:r>
          </w:p>
        </w:tc>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sz w:val="16"/>
              </w:rPr>
              <w:t>SEC-01…10, PAY-01</w:t>
            </w:r>
          </w:p>
        </w:tc>
      </w:tr>
      <w:tr>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sz w:val="16"/>
              </w:rPr>
              <w:t>Observability / operational readiness</w:t>
            </w:r>
          </w:p>
        </w:tc>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sz w:val="16"/>
              </w:rPr>
              <w:t>ADR-12</w:t>
            </w:r>
          </w:p>
        </w:tc>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sz w:val="16"/>
              </w:rPr>
              <w:t>OBS-01…08, OPS-01…05</w:t>
            </w:r>
          </w:p>
        </w:tc>
      </w:tr>
      <w:tr>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sz w:val="16"/>
              </w:rPr>
              <w:t>Explicit architecture trade-offs</w:t>
            </w:r>
          </w:p>
        </w:tc>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sz w:val="16"/>
              </w:rPr>
              <w:t>ADR-01…12</w:t>
            </w:r>
          </w:p>
        </w:tc>
        <w:tc>
          <w:tcPr>
            <w:tcW w:type="dxa" w:w="3456"/>
            <w:tcBorders>
              <w:top w:val="single" w:sz="6" w:color="C9D6E2"/>
              <w:left w:val="single" w:sz="6" w:color="C9D6E2"/>
              <w:bottom w:val="single" w:sz="6" w:color="C9D6E2"/>
              <w:right w:val="single" w:sz="6" w:color="C9D6E2"/>
              <w:insideH w:val="single" w:sz="6" w:color="C9D6E2"/>
              <w:insideV w:val="single" w:sz="6" w:color="C9D6E2"/>
            </w:tcBorders>
          </w:tcPr>
          <w:p>
            <w:pPr>
              <w:spacing w:after="0"/>
            </w:pPr>
            <w:r>
              <w:rPr>
                <w:b w:val="0"/>
                <w:sz w:val="16"/>
              </w:rPr>
              <w:t>HLD handoff question 14</w:t>
            </w:r>
          </w:p>
        </w:tc>
      </w:tr>
    </w:tbl>
    <w:p>
      <w:pPr>
        <w:pStyle w:val="Heading2"/>
        <w:keepNext/>
      </w:pPr>
      <w:r>
        <w:t>Jury defense summary</w:t>
      </w:r>
    </w:p>
    <w:p>
      <w:pPr>
        <w:spacing w:after="120"/>
      </w:pPr>
      <w:r>
        <w:t>SALESTORM deliberately keeps correctness in the durable transactional store and uses the edge, cache and queue to absorb scale rather than to decide inventory truth. The Buy Now path uses controlled admission and a short atomic reservation transaction; the remaining commerce lifecycle uses idempotent payment integration, transactional outbox events and asynchronous recovery. This trades some operational complexity for explicit correctness, failure isolation, replayability and horizontal scale. If load tests invalidate an assumption, the relevant ADR has a named review trigger rather than silently weakening a strict guarantee.</w:t>
      </w:r>
    </w:p>
    <w:p>
      <w:pPr>
        <w:pStyle w:val="Small"/>
      </w:pPr>
      <w:r>
        <w:t>Source: SALESTORM Requirements &amp; Assumptions v2.0, including Sections 6–22. No decision in this ADR changes the strict guarantees defined by the requirements baseline.</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4"/>
      </w:rPr>
      <w:t>10_ADR  •  Requirements Baseline v2.0  •  Design-first system blueprint</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008C95"/>
        <w:sz w:val="14"/>
      </w:rPr>
      <w:t>SALESTORM   |   SYSCRAFTERS 2026   |   ARCHITECTURE DECISION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0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8C9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64C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ptos" w:hAnsi="Aptos"/>
      <w:b w:val="0"/>
      <w:color w:val="5B6573"/>
      <w:sz w:val="16"/>
    </w:rPr>
  </w:style>
  <w:style w:type="paragraph" w:customStyle="1" w:styleId="ADRMeta">
    <w:name w:val="ADRMeta"/>
    <w:pPr>
      <w:spacing w:after="40"/>
    </w:pPr>
    <w:rPr>
      <w:rFonts w:ascii="Aptos" w:hAnsi="Aptos"/>
      <w:b w:val="0"/>
      <w:color w:val="5B6573"/>
      <w:sz w:val="17"/>
    </w:rPr>
  </w:style>
  <w:style w:type="paragraph" w:customStyle="1" w:styleId="DecisionText">
    <w:name w:val="DecisionText"/>
    <w:pPr>
      <w:spacing w:after="40"/>
    </w:pPr>
    <w:rPr>
      <w:rFonts w:ascii="Aptos" w:hAnsi="Aptos"/>
      <w:b/>
      <w:color w:val="102A4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