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011680" cy="1291632"/>
            <wp:docPr id="1" name="Picture 1"/>
            <wp:cNvGraphicFramePr>
              <a:graphicFrameLocks noChangeAspect="1"/>
            </wp:cNvGraphicFramePr>
            <a:graphic>
              <a:graphicData uri="http://schemas.openxmlformats.org/drawingml/2006/picture">
                <pic:pic>
                  <pic:nvPicPr>
                    <pic:cNvPr id="0" name="mgm_logo.png"/>
                    <pic:cNvPicPr/>
                  </pic:nvPicPr>
                  <pic:blipFill>
                    <a:blip r:embed="rId9"/>
                    <a:stretch>
                      <a:fillRect/>
                    </a:stretch>
                  </pic:blipFill>
                  <pic:spPr>
                    <a:xfrm>
                      <a:off x="0" y="0"/>
                      <a:ext cx="2011680" cy="1291632"/>
                    </a:xfrm>
                    <a:prstGeom prst="rect"/>
                  </pic:spPr>
                </pic:pic>
              </a:graphicData>
            </a:graphic>
          </wp:inline>
        </w:drawing>
      </w:r>
    </w:p>
    <w:p>
      <w:pPr>
        <w:spacing w:after="40" w:line="276" w:lineRule="auto"/>
        <w:jc w:val="center"/>
      </w:pPr>
      <w:r>
        <w:rPr>
          <w:rFonts w:ascii="Times New Roman" w:hAnsi="Times New Roman"/>
          <w:b/>
          <w:sz w:val="30"/>
        </w:rPr>
        <w:t>School of Engineering and Technology, MGM University</w:t>
        <w:br/>
        <w:t>Chh. Sambhajinagar</w:t>
      </w:r>
    </w:p>
    <w:p>
      <w:pPr>
        <w:spacing w:before="240" w:after="360"/>
        <w:jc w:val="center"/>
      </w:pPr>
      <w:r>
        <w:rPr>
          <w:rFonts w:ascii="Times New Roman" w:hAnsi="Times New Roman"/>
          <w:b/>
          <w:sz w:val="26"/>
        </w:rPr>
        <w:t>Academic Year 2025-2026</w:t>
      </w:r>
    </w:p>
    <w:p>
      <w:pPr>
        <w:spacing w:after="40"/>
        <w:jc w:val="center"/>
      </w:pPr>
      <w:r>
        <w:rPr>
          <w:rFonts w:ascii="Times New Roman" w:hAnsi="Times New Roman"/>
          <w:sz w:val="26"/>
        </w:rPr>
        <w:t>Mini Project report</w:t>
        <w:br/>
        <w:t>On</w:t>
      </w:r>
    </w:p>
    <w:p>
      <w:pPr>
        <w:spacing w:before="160" w:after="360"/>
        <w:jc w:val="center"/>
      </w:pPr>
      <w:r>
        <w:rPr>
          <w:rFonts w:ascii="Times New Roman" w:hAnsi="Times New Roman"/>
          <w:b/>
          <w:color w:val="0A2540"/>
          <w:sz w:val="34"/>
        </w:rPr>
        <w:t>“Blockchain-Based Deepfake Proof System”</w:t>
      </w:r>
    </w:p>
    <w:p>
      <w:pPr>
        <w:spacing w:after="80" w:line="288" w:lineRule="auto"/>
        <w:jc w:val="center"/>
      </w:pPr>
      <w:r>
        <w:rPr>
          <w:rFonts w:ascii="Times New Roman" w:hAnsi="Times New Roman"/>
          <w:sz w:val="22"/>
        </w:rPr>
        <w:t>Submitted in partial fulfillment for Sixth semester of B.Tech (Integrated) in</w:t>
        <w:br/>
      </w:r>
      <w:r>
        <w:rPr>
          <w:rFonts w:ascii="Times New Roman" w:hAnsi="Times New Roman"/>
          <w:b/>
          <w:sz w:val="24"/>
        </w:rPr>
        <w:t>COMPUTER SCIENCE AND ENGINEERING</w:t>
        <w:br/>
        <w:t>(Data Science)</w:t>
        <w:br/>
        <w:t>(IoT, Cyber Security Including Block Chain</w:t>
        <w:br/>
        <w:t>Technology)</w:t>
      </w:r>
    </w:p>
    <w:p>
      <w:pPr>
        <w:spacing w:before="320" w:after="160"/>
        <w:jc w:val="center"/>
      </w:pPr>
      <w:r>
        <w:rPr>
          <w:rFonts w:ascii="Times New Roman" w:hAnsi="Times New Roman"/>
          <w:b/>
          <w:sz w:val="24"/>
        </w:rPr>
        <w:t>By</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after="80"/>
              <w:jc w:val="left"/>
            </w:pPr>
            <w:r>
              <w:rPr>
                <w:b/>
                <w:sz w:val="24"/>
              </w:rPr>
              <w:t>Rohit Dhananjay Kale</w:t>
            </w:r>
          </w:p>
        </w:tc>
        <w:tc>
          <w:tcPr>
            <w:tcW w:type="dxa" w:w="3168"/>
          </w:tcPr>
          <w:p>
            <w:pPr>
              <w:spacing w:after="80"/>
              <w:jc w:val="right"/>
            </w:pPr>
            <w:r>
              <w:rPr>
                <w:b/>
                <w:sz w:val="24"/>
              </w:rPr>
              <w:t>202356112007</w:t>
            </w:r>
          </w:p>
        </w:tc>
      </w:tr>
      <w:tr>
        <w:tc>
          <w:tcPr>
            <w:tcW w:type="dxa" w:w="4608"/>
          </w:tcPr>
          <w:p>
            <w:pPr>
              <w:spacing w:after="80"/>
              <w:jc w:val="left"/>
            </w:pPr>
            <w:r>
              <w:rPr>
                <w:b/>
                <w:sz w:val="24"/>
              </w:rPr>
              <w:t>Soham Bhagwan Deshmukh</w:t>
            </w:r>
          </w:p>
        </w:tc>
        <w:tc>
          <w:tcPr>
            <w:tcW w:type="dxa" w:w="3168"/>
          </w:tcPr>
          <w:p>
            <w:pPr>
              <w:spacing w:after="80"/>
              <w:jc w:val="right"/>
            </w:pPr>
            <w:r>
              <w:rPr>
                <w:b/>
                <w:sz w:val="24"/>
              </w:rPr>
              <w:t>202356112008</w:t>
            </w:r>
          </w:p>
        </w:tc>
      </w:tr>
    </w:tbl>
    <w:p>
      <w:pPr>
        <w:spacing w:before="560" w:after="40" w:line="276" w:lineRule="auto"/>
        <w:jc w:val="center"/>
      </w:pPr>
      <w:r>
        <w:rPr>
          <w:sz w:val="22"/>
        </w:rPr>
        <w:t>Under the guidance of</w:t>
        <w:br/>
      </w:r>
      <w:r>
        <w:rPr>
          <w:b/>
          <w:sz w:val="26"/>
        </w:rPr>
        <w:t>Ms. Bhagat C. B.</w:t>
        <w:br/>
      </w:r>
      <w:r>
        <w:rPr>
          <w:sz w:val="22"/>
        </w:rPr>
        <w:t>(Asst. Professor)</w:t>
      </w:r>
    </w:p>
    <w:p>
      <w:r>
        <w:br w:type="page"/>
      </w:r>
    </w:p>
    <w:p>
      <w:pPr>
        <w:spacing w:before="200" w:after="280"/>
        <w:jc w:val="center"/>
      </w:pPr>
      <w:r>
        <w:rPr>
          <w:rFonts w:ascii="Times New Roman" w:hAnsi="Times New Roman"/>
          <w:b/>
          <w:sz w:val="28"/>
        </w:rPr>
        <w:t>DEPARTMENT OF COMPUTER SCIENCE AND ENGINEERING</w:t>
      </w:r>
    </w:p>
    <w:p>
      <w:pPr>
        <w:spacing w:after="280"/>
        <w:jc w:val="center"/>
      </w:pPr>
      <w:r>
        <w:drawing>
          <wp:inline xmlns:a="http://schemas.openxmlformats.org/drawingml/2006/main" xmlns:pic="http://schemas.openxmlformats.org/drawingml/2006/picture">
            <wp:extent cx="1920240" cy="1232922"/>
            <wp:docPr id="2" name="Picture 2"/>
            <wp:cNvGraphicFramePr>
              <a:graphicFrameLocks noChangeAspect="1"/>
            </wp:cNvGraphicFramePr>
            <a:graphic>
              <a:graphicData uri="http://schemas.openxmlformats.org/drawingml/2006/picture">
                <pic:pic>
                  <pic:nvPicPr>
                    <pic:cNvPr id="0" name="mgm_logo.png"/>
                    <pic:cNvPicPr/>
                  </pic:nvPicPr>
                  <pic:blipFill>
                    <a:blip r:embed="rId9"/>
                    <a:stretch>
                      <a:fillRect/>
                    </a:stretch>
                  </pic:blipFill>
                  <pic:spPr>
                    <a:xfrm>
                      <a:off x="0" y="0"/>
                      <a:ext cx="1920240" cy="1232922"/>
                    </a:xfrm>
                    <a:prstGeom prst="rect"/>
                  </pic:spPr>
                </pic:pic>
              </a:graphicData>
            </a:graphic>
          </wp:inline>
        </w:drawing>
      </w:r>
    </w:p>
    <w:p>
      <w:pPr>
        <w:spacing w:after="400"/>
        <w:jc w:val="center"/>
      </w:pPr>
      <w:r>
        <w:rPr>
          <w:rFonts w:ascii="Times New Roman" w:hAnsi="Times New Roman"/>
          <w:b/>
          <w:sz w:val="32"/>
          <w:u w:val="single"/>
        </w:rPr>
        <w:t>CERTIFICATE</w:t>
      </w:r>
    </w:p>
    <w:p>
      <w:pPr>
        <w:spacing w:line="324" w:lineRule="auto" w:after="900"/>
        <w:jc w:val="both"/>
      </w:pPr>
      <w:r>
        <w:rPr>
          <w:sz w:val="24"/>
        </w:rPr>
        <w:t xml:space="preserve">This is to certify that </w:t>
      </w:r>
      <w:r>
        <w:rPr>
          <w:b/>
          <w:sz w:val="24"/>
        </w:rPr>
        <w:t xml:space="preserve">Rohit Dhananjay Kale, Soham Bhagwan Deshmukh </w:t>
      </w:r>
      <w:r>
        <w:rPr>
          <w:sz w:val="24"/>
        </w:rPr>
        <w:t xml:space="preserve">with PRN No. </w:t>
      </w:r>
      <w:r>
        <w:rPr>
          <w:b/>
          <w:sz w:val="24"/>
        </w:rPr>
        <w:t xml:space="preserve">202356112007, 202356112008 </w:t>
      </w:r>
      <w:r>
        <w:rPr>
          <w:sz w:val="24"/>
        </w:rPr>
        <w:t xml:space="preserve">has successfully completed their Mini-Project entitled </w:t>
      </w:r>
      <w:r>
        <w:rPr>
          <w:b/>
          <w:sz w:val="24"/>
        </w:rPr>
        <w:t xml:space="preserve">“Blockchain-Based Deepfake Proof System” </w:t>
      </w:r>
      <w:r>
        <w:rPr>
          <w:sz w:val="24"/>
        </w:rPr>
        <w:t xml:space="preserve">in the Course of </w:t>
      </w:r>
      <w:r>
        <w:rPr>
          <w:b/>
          <w:sz w:val="24"/>
        </w:rPr>
        <w:t xml:space="preserve">“IoT, Cyber Security Including Block Chain Technology” </w:t>
      </w:r>
      <w:r>
        <w:rPr>
          <w:sz w:val="24"/>
        </w:rPr>
        <w:t xml:space="preserve">in the Sixth Semester during tenure of completing the B. Tech(I) program in </w:t>
      </w:r>
      <w:r>
        <w:rPr>
          <w:b/>
          <w:sz w:val="24"/>
        </w:rPr>
        <w:t xml:space="preserve">Computer Science and Engineering (Data Science) / (IoT, Cyber Security Including Blockchain Technology) </w:t>
      </w:r>
      <w:r>
        <w:rPr>
          <w:sz w:val="24"/>
        </w:rPr>
        <w:t>from School of Engineering and Technology, MGM University institute.</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line="276" w:lineRule="auto"/>
              <w:jc w:val="left"/>
            </w:pPr>
            <w:r>
              <w:rPr>
                <w:b/>
                <w:sz w:val="24"/>
              </w:rPr>
              <w:t>Ms. Bhagat C. B.</w:t>
              <w:br/>
            </w:r>
            <w:r>
              <w:rPr>
                <w:sz w:val="22"/>
              </w:rPr>
              <w:t>Guide</w:t>
              <w:br/>
              <w:t>CSE Department</w:t>
            </w:r>
          </w:p>
        </w:tc>
        <w:tc>
          <w:tcPr>
            <w:tcW w:type="dxa" w:w="4608"/>
          </w:tcPr>
          <w:p>
            <w:pPr>
              <w:spacing w:line="276" w:lineRule="auto"/>
              <w:jc w:val="right"/>
            </w:pPr>
            <w:r>
              <w:rPr>
                <w:b/>
                <w:sz w:val="24"/>
              </w:rPr>
              <w:t>Ms. Rathi S. R.</w:t>
              <w:br/>
            </w:r>
            <w:r>
              <w:rPr>
                <w:sz w:val="22"/>
              </w:rPr>
              <w:t>HOD</w:t>
              <w:br/>
              <w:t>CSE Department</w:t>
            </w:r>
          </w:p>
        </w:tc>
      </w:tr>
    </w:tbl>
    <w:p>
      <w:r>
        <w:br w:type="page"/>
      </w:r>
    </w:p>
    <w:p>
      <w:pPr>
        <w:spacing w:before="200" w:after="400"/>
        <w:jc w:val="center"/>
      </w:pPr>
      <w:r>
        <w:rPr>
          <w:rFonts w:ascii="Times New Roman" w:hAnsi="Times New Roman"/>
          <w:b/>
          <w:sz w:val="32"/>
        </w:rPr>
        <w:t>CONTENT</w:t>
      </w:r>
    </w:p>
    <w:tbl>
      <w:tblPr>
        <w:tblW w:type="auto" w:w="0"/>
        <w:jc w:val="center"/>
        <w:tblLook w:firstColumn="1" w:firstRow="1" w:lastColumn="0" w:lastRow="0" w:noHBand="0" w:noVBand="1" w:val="04A0"/>
        <w:tblBorders>
          <w:top w:val="single" w:sz="6" w:space="0" w:color="555555"/>
          <w:bottom w:val="single" w:sz="6" w:space="0" w:color="555555"/>
          <w:left w:val="single" w:sz="6" w:space="0" w:color="555555"/>
          <w:right w:val="single" w:sz="6" w:space="0" w:color="555555"/>
          <w:insideH w:val="single" w:sz="6" w:space="0" w:color="555555"/>
          <w:insideV w:val="single" w:sz="6" w:space="0" w:color="555555"/>
        </w:tblBorders>
      </w:tblPr>
      <w:tblGrid>
        <w:gridCol w:w="3120"/>
        <w:gridCol w:w="3120"/>
        <w:gridCol w:w="3120"/>
      </w:tblGrid>
      <w:tr>
        <w:tc>
          <w:tcPr>
            <w:tcW w:type="dxa" w:w="1440"/>
            <w:vAlign w:val="center"/>
            <w:tcMar>
              <w:top w:w="120" w:type="dxa"/>
              <w:bottom w:w="120" w:type="dxa"/>
              <w:left w:w="150" w:type="dxa"/>
              <w:right w:w="150" w:type="dxa"/>
            </w:tcMar>
            <w:shd w:fill="EAEAEA"/>
          </w:tcPr>
          <w:p>
            <w:pPr>
              <w:spacing w:after="0"/>
              <w:jc w:val="center"/>
            </w:pPr>
            <w:r>
              <w:rPr>
                <w:rFonts w:ascii="Times New Roman" w:hAnsi="Times New Roman"/>
                <w:b/>
                <w:sz w:val="24"/>
              </w:rPr>
              <w:t>Sr. No</w:t>
            </w:r>
          </w:p>
        </w:tc>
        <w:tc>
          <w:tcPr>
            <w:tcW w:type="dxa" w:w="6480"/>
            <w:vAlign w:val="center"/>
            <w:tcMar>
              <w:top w:w="120" w:type="dxa"/>
              <w:bottom w:w="120" w:type="dxa"/>
              <w:left w:w="150" w:type="dxa"/>
              <w:right w:w="150" w:type="dxa"/>
            </w:tcMar>
            <w:shd w:fill="EAEAEA"/>
          </w:tcPr>
          <w:p>
            <w:pPr>
              <w:spacing w:after="0"/>
              <w:jc w:val="left"/>
            </w:pPr>
            <w:r>
              <w:rPr>
                <w:rFonts w:ascii="Times New Roman" w:hAnsi="Times New Roman"/>
                <w:b/>
                <w:sz w:val="24"/>
              </w:rPr>
              <w:t>Title</w:t>
            </w:r>
          </w:p>
        </w:tc>
        <w:tc>
          <w:tcPr>
            <w:tcW w:type="dxa" w:w="1728"/>
            <w:vAlign w:val="center"/>
            <w:tcMar>
              <w:top w:w="120" w:type="dxa"/>
              <w:bottom w:w="120" w:type="dxa"/>
              <w:left w:w="150" w:type="dxa"/>
              <w:right w:w="150" w:type="dxa"/>
            </w:tcMar>
            <w:shd w:fill="EAEAEA"/>
          </w:tcPr>
          <w:p>
            <w:pPr>
              <w:spacing w:after="0"/>
              <w:jc w:val="center"/>
            </w:pPr>
            <w:r>
              <w:rPr>
                <w:rFonts w:ascii="Times New Roman" w:hAnsi="Times New Roman"/>
                <w:b/>
                <w:sz w:val="24"/>
              </w:rPr>
              <w:t>Page. No.</w:t>
            </w:r>
          </w:p>
        </w:tc>
      </w:tr>
      <w:tr>
        <w:tc>
          <w:tcPr>
            <w:tcW w:type="dxa" w:w="1440"/>
            <w:vAlign w:val="center"/>
            <w:tcMar>
              <w:top w:w="120" w:type="dxa"/>
              <w:bottom w:w="120" w:type="dxa"/>
              <w:left w:w="150" w:type="dxa"/>
              <w:right w:w="150" w:type="dxa"/>
            </w:tcMar>
            <w:shd w:fill="FAFAFA"/>
          </w:tcPr>
          <w:p>
            <w:pPr>
              <w:spacing w:after="0"/>
              <w:jc w:val="center"/>
            </w:pPr>
            <w:r>
              <w:rPr>
                <w:rFonts w:ascii="Times New Roman" w:hAnsi="Times New Roman"/>
                <w:sz w:val="22"/>
              </w:rPr>
              <w:t>1</w:t>
            </w:r>
          </w:p>
        </w:tc>
        <w:tc>
          <w:tcPr>
            <w:tcW w:type="dxa" w:w="6480"/>
            <w:vAlign w:val="center"/>
            <w:tcMar>
              <w:top w:w="120" w:type="dxa"/>
              <w:bottom w:w="120" w:type="dxa"/>
              <w:left w:w="150" w:type="dxa"/>
              <w:right w:w="150" w:type="dxa"/>
            </w:tcMar>
            <w:shd w:fill="FAFAFA"/>
          </w:tcPr>
          <w:p>
            <w:pPr>
              <w:spacing w:after="0"/>
              <w:jc w:val="left"/>
            </w:pPr>
            <w:r>
              <w:rPr>
                <w:rFonts w:ascii="Times New Roman" w:hAnsi="Times New Roman"/>
                <w:sz w:val="22"/>
              </w:rPr>
              <w:t>Abstract</w:t>
            </w:r>
          </w:p>
        </w:tc>
        <w:tc>
          <w:tcPr>
            <w:tcW w:type="dxa" w:w="1728"/>
            <w:vAlign w:val="center"/>
            <w:tcMar>
              <w:top w:w="120" w:type="dxa"/>
              <w:bottom w:w="120" w:type="dxa"/>
              <w:left w:w="150" w:type="dxa"/>
              <w:right w:w="150" w:type="dxa"/>
            </w:tcMar>
            <w:shd w:fill="FAFAFA"/>
          </w:tcPr>
          <w:p>
            <w:pPr>
              <w:spacing w:after="0"/>
              <w:jc w:val="center"/>
            </w:pPr>
            <w:r>
              <w:rPr>
                <w:rFonts w:ascii="Times New Roman" w:hAnsi="Times New Roman"/>
                <w:sz w:val="22"/>
              </w:rPr>
              <w:t>01</w:t>
            </w:r>
          </w:p>
        </w:tc>
      </w:tr>
      <w:tr>
        <w:tc>
          <w:tcPr>
            <w:tcW w:type="dxa" w:w="1440"/>
            <w:vAlign w:val="center"/>
            <w:tcMar>
              <w:top w:w="120" w:type="dxa"/>
              <w:bottom w:w="120" w:type="dxa"/>
              <w:left w:w="150" w:type="dxa"/>
              <w:right w:w="150" w:type="dxa"/>
            </w:tcMar>
          </w:tcPr>
          <w:p>
            <w:pPr>
              <w:spacing w:after="0"/>
              <w:jc w:val="center"/>
            </w:pPr>
            <w:r>
              <w:rPr>
                <w:rFonts w:ascii="Times New Roman" w:hAnsi="Times New Roman"/>
                <w:sz w:val="22"/>
              </w:rPr>
              <w:t>2</w:t>
            </w:r>
          </w:p>
        </w:tc>
        <w:tc>
          <w:tcPr>
            <w:tcW w:type="dxa" w:w="6480"/>
            <w:vAlign w:val="center"/>
            <w:tcMar>
              <w:top w:w="120" w:type="dxa"/>
              <w:bottom w:w="120" w:type="dxa"/>
              <w:left w:w="150" w:type="dxa"/>
              <w:right w:w="150" w:type="dxa"/>
            </w:tcMar>
          </w:tcPr>
          <w:p>
            <w:pPr>
              <w:spacing w:after="0"/>
              <w:jc w:val="left"/>
            </w:pPr>
            <w:r>
              <w:rPr>
                <w:rFonts w:ascii="Times New Roman" w:hAnsi="Times New Roman"/>
                <w:sz w:val="22"/>
              </w:rPr>
              <w:t>Introduction</w:t>
            </w:r>
          </w:p>
        </w:tc>
        <w:tc>
          <w:tcPr>
            <w:tcW w:type="dxa" w:w="1728"/>
            <w:vAlign w:val="center"/>
            <w:tcMar>
              <w:top w:w="120" w:type="dxa"/>
              <w:bottom w:w="120" w:type="dxa"/>
              <w:left w:w="150" w:type="dxa"/>
              <w:right w:w="150" w:type="dxa"/>
            </w:tcMar>
          </w:tcPr>
          <w:p>
            <w:pPr>
              <w:spacing w:after="0"/>
              <w:jc w:val="center"/>
            </w:pPr>
            <w:r>
              <w:rPr>
                <w:rFonts w:ascii="Times New Roman" w:hAnsi="Times New Roman"/>
                <w:sz w:val="22"/>
              </w:rPr>
              <w:t>02</w:t>
            </w:r>
          </w:p>
        </w:tc>
      </w:tr>
      <w:tr>
        <w:tc>
          <w:tcPr>
            <w:tcW w:type="dxa" w:w="1440"/>
            <w:vAlign w:val="center"/>
            <w:tcMar>
              <w:top w:w="120" w:type="dxa"/>
              <w:bottom w:w="120" w:type="dxa"/>
              <w:left w:w="150" w:type="dxa"/>
              <w:right w:w="150" w:type="dxa"/>
            </w:tcMar>
            <w:shd w:fill="FAFAFA"/>
          </w:tcPr>
          <w:p>
            <w:pPr>
              <w:spacing w:after="0"/>
              <w:jc w:val="center"/>
            </w:pPr>
            <w:r>
              <w:rPr>
                <w:rFonts w:ascii="Times New Roman" w:hAnsi="Times New Roman"/>
                <w:sz w:val="22"/>
              </w:rPr>
              <w:t>3</w:t>
            </w:r>
          </w:p>
        </w:tc>
        <w:tc>
          <w:tcPr>
            <w:tcW w:type="dxa" w:w="6480"/>
            <w:vAlign w:val="center"/>
            <w:tcMar>
              <w:top w:w="120" w:type="dxa"/>
              <w:bottom w:w="120" w:type="dxa"/>
              <w:left w:w="150" w:type="dxa"/>
              <w:right w:w="150" w:type="dxa"/>
            </w:tcMar>
            <w:shd w:fill="FAFAFA"/>
          </w:tcPr>
          <w:p>
            <w:pPr>
              <w:spacing w:after="0"/>
              <w:jc w:val="left"/>
            </w:pPr>
            <w:r>
              <w:rPr>
                <w:rFonts w:ascii="Times New Roman" w:hAnsi="Times New Roman"/>
                <w:sz w:val="22"/>
              </w:rPr>
              <w:t>Course Outcomes Integrated</w:t>
            </w:r>
          </w:p>
        </w:tc>
        <w:tc>
          <w:tcPr>
            <w:tcW w:type="dxa" w:w="1728"/>
            <w:vAlign w:val="center"/>
            <w:tcMar>
              <w:top w:w="120" w:type="dxa"/>
              <w:bottom w:w="120" w:type="dxa"/>
              <w:left w:w="150" w:type="dxa"/>
              <w:right w:w="150" w:type="dxa"/>
            </w:tcMar>
            <w:shd w:fill="FAFAFA"/>
          </w:tcPr>
          <w:p>
            <w:pPr>
              <w:spacing w:after="0"/>
              <w:jc w:val="center"/>
            </w:pPr>
            <w:r>
              <w:rPr>
                <w:rFonts w:ascii="Times New Roman" w:hAnsi="Times New Roman"/>
                <w:sz w:val="22"/>
              </w:rPr>
              <w:t>03</w:t>
            </w:r>
          </w:p>
        </w:tc>
      </w:tr>
      <w:tr>
        <w:tc>
          <w:tcPr>
            <w:tcW w:type="dxa" w:w="1440"/>
            <w:vAlign w:val="center"/>
            <w:tcMar>
              <w:top w:w="120" w:type="dxa"/>
              <w:bottom w:w="120" w:type="dxa"/>
              <w:left w:w="150" w:type="dxa"/>
              <w:right w:w="150" w:type="dxa"/>
            </w:tcMar>
          </w:tcPr>
          <w:p>
            <w:pPr>
              <w:spacing w:after="0"/>
              <w:jc w:val="center"/>
            </w:pPr>
            <w:r>
              <w:rPr>
                <w:rFonts w:ascii="Times New Roman" w:hAnsi="Times New Roman"/>
                <w:sz w:val="22"/>
              </w:rPr>
              <w:t>4</w:t>
            </w:r>
          </w:p>
        </w:tc>
        <w:tc>
          <w:tcPr>
            <w:tcW w:type="dxa" w:w="6480"/>
            <w:vAlign w:val="center"/>
            <w:tcMar>
              <w:top w:w="120" w:type="dxa"/>
              <w:bottom w:w="120" w:type="dxa"/>
              <w:left w:w="150" w:type="dxa"/>
              <w:right w:w="150" w:type="dxa"/>
            </w:tcMar>
          </w:tcPr>
          <w:p>
            <w:pPr>
              <w:spacing w:after="0"/>
              <w:jc w:val="left"/>
            </w:pPr>
            <w:r>
              <w:rPr>
                <w:rFonts w:ascii="Times New Roman" w:hAnsi="Times New Roman"/>
                <w:sz w:val="22"/>
              </w:rPr>
              <w:t>Action Plan</w:t>
            </w:r>
          </w:p>
        </w:tc>
        <w:tc>
          <w:tcPr>
            <w:tcW w:type="dxa" w:w="1728"/>
            <w:vAlign w:val="center"/>
            <w:tcMar>
              <w:top w:w="120" w:type="dxa"/>
              <w:bottom w:w="120" w:type="dxa"/>
              <w:left w:w="150" w:type="dxa"/>
              <w:right w:w="150" w:type="dxa"/>
            </w:tcMar>
          </w:tcPr>
          <w:p>
            <w:pPr>
              <w:spacing w:after="0"/>
              <w:jc w:val="center"/>
            </w:pPr>
            <w:r>
              <w:rPr>
                <w:rFonts w:ascii="Times New Roman" w:hAnsi="Times New Roman"/>
                <w:sz w:val="22"/>
              </w:rPr>
              <w:t>04</w:t>
            </w:r>
          </w:p>
        </w:tc>
      </w:tr>
      <w:tr>
        <w:tc>
          <w:tcPr>
            <w:tcW w:type="dxa" w:w="1440"/>
            <w:vAlign w:val="center"/>
            <w:tcMar>
              <w:top w:w="120" w:type="dxa"/>
              <w:bottom w:w="120" w:type="dxa"/>
              <w:left w:w="150" w:type="dxa"/>
              <w:right w:w="150" w:type="dxa"/>
            </w:tcMar>
            <w:shd w:fill="FAFAFA"/>
          </w:tcPr>
          <w:p>
            <w:pPr>
              <w:spacing w:after="0"/>
              <w:jc w:val="center"/>
            </w:pPr>
            <w:r>
              <w:rPr>
                <w:rFonts w:ascii="Times New Roman" w:hAnsi="Times New Roman"/>
                <w:sz w:val="22"/>
              </w:rPr>
              <w:t>5</w:t>
            </w:r>
          </w:p>
        </w:tc>
        <w:tc>
          <w:tcPr>
            <w:tcW w:type="dxa" w:w="6480"/>
            <w:vAlign w:val="center"/>
            <w:tcMar>
              <w:top w:w="120" w:type="dxa"/>
              <w:bottom w:w="120" w:type="dxa"/>
              <w:left w:w="150" w:type="dxa"/>
              <w:right w:w="150" w:type="dxa"/>
            </w:tcMar>
            <w:shd w:fill="FAFAFA"/>
          </w:tcPr>
          <w:p>
            <w:pPr>
              <w:spacing w:after="0"/>
              <w:jc w:val="left"/>
            </w:pPr>
            <w:r>
              <w:rPr>
                <w:rFonts w:ascii="Times New Roman" w:hAnsi="Times New Roman"/>
                <w:sz w:val="22"/>
              </w:rPr>
              <w:t>Literature Review</w:t>
            </w:r>
          </w:p>
        </w:tc>
        <w:tc>
          <w:tcPr>
            <w:tcW w:type="dxa" w:w="1728"/>
            <w:vAlign w:val="center"/>
            <w:tcMar>
              <w:top w:w="120" w:type="dxa"/>
              <w:bottom w:w="120" w:type="dxa"/>
              <w:left w:w="150" w:type="dxa"/>
              <w:right w:w="150" w:type="dxa"/>
            </w:tcMar>
            <w:shd w:fill="FAFAFA"/>
          </w:tcPr>
          <w:p>
            <w:pPr>
              <w:spacing w:after="0"/>
              <w:jc w:val="center"/>
            </w:pPr>
            <w:r>
              <w:rPr>
                <w:rFonts w:ascii="Times New Roman" w:hAnsi="Times New Roman"/>
                <w:sz w:val="22"/>
              </w:rPr>
              <w:t>05</w:t>
            </w:r>
          </w:p>
        </w:tc>
      </w:tr>
      <w:tr>
        <w:tc>
          <w:tcPr>
            <w:tcW w:type="dxa" w:w="1440"/>
            <w:vAlign w:val="center"/>
            <w:tcMar>
              <w:top w:w="120" w:type="dxa"/>
              <w:bottom w:w="120" w:type="dxa"/>
              <w:left w:w="150" w:type="dxa"/>
              <w:right w:w="150" w:type="dxa"/>
            </w:tcMar>
          </w:tcPr>
          <w:p>
            <w:pPr>
              <w:spacing w:after="0"/>
              <w:jc w:val="center"/>
            </w:pPr>
            <w:r>
              <w:rPr>
                <w:rFonts w:ascii="Times New Roman" w:hAnsi="Times New Roman"/>
                <w:sz w:val="22"/>
              </w:rPr>
              <w:t>6</w:t>
            </w:r>
          </w:p>
        </w:tc>
        <w:tc>
          <w:tcPr>
            <w:tcW w:type="dxa" w:w="6480"/>
            <w:vAlign w:val="center"/>
            <w:tcMar>
              <w:top w:w="120" w:type="dxa"/>
              <w:bottom w:w="120" w:type="dxa"/>
              <w:left w:w="150" w:type="dxa"/>
              <w:right w:w="150" w:type="dxa"/>
            </w:tcMar>
          </w:tcPr>
          <w:p>
            <w:pPr>
              <w:spacing w:after="0"/>
              <w:jc w:val="left"/>
            </w:pPr>
            <w:r>
              <w:rPr>
                <w:rFonts w:ascii="Times New Roman" w:hAnsi="Times New Roman"/>
                <w:sz w:val="22"/>
              </w:rPr>
              <w:t>Proposed Methodology</w:t>
            </w:r>
          </w:p>
        </w:tc>
        <w:tc>
          <w:tcPr>
            <w:tcW w:type="dxa" w:w="1728"/>
            <w:vAlign w:val="center"/>
            <w:tcMar>
              <w:top w:w="120" w:type="dxa"/>
              <w:bottom w:w="120" w:type="dxa"/>
              <w:left w:w="150" w:type="dxa"/>
              <w:right w:w="150" w:type="dxa"/>
            </w:tcMar>
          </w:tcPr>
          <w:p>
            <w:pPr>
              <w:spacing w:after="0"/>
              <w:jc w:val="center"/>
            </w:pPr>
            <w:r>
              <w:rPr>
                <w:rFonts w:ascii="Times New Roman" w:hAnsi="Times New Roman"/>
                <w:sz w:val="22"/>
              </w:rPr>
              <w:t>06</w:t>
            </w:r>
          </w:p>
        </w:tc>
      </w:tr>
      <w:tr>
        <w:tc>
          <w:tcPr>
            <w:tcW w:type="dxa" w:w="1440"/>
            <w:vAlign w:val="center"/>
            <w:tcMar>
              <w:top w:w="120" w:type="dxa"/>
              <w:bottom w:w="120" w:type="dxa"/>
              <w:left w:w="150" w:type="dxa"/>
              <w:right w:w="150" w:type="dxa"/>
            </w:tcMar>
            <w:shd w:fill="FAFAFA"/>
          </w:tcPr>
          <w:p>
            <w:pPr>
              <w:spacing w:after="0"/>
              <w:jc w:val="center"/>
            </w:pPr>
            <w:r>
              <w:rPr>
                <w:rFonts w:ascii="Times New Roman" w:hAnsi="Times New Roman"/>
                <w:sz w:val="22"/>
              </w:rPr>
              <w:t>7</w:t>
            </w:r>
          </w:p>
        </w:tc>
        <w:tc>
          <w:tcPr>
            <w:tcW w:type="dxa" w:w="6480"/>
            <w:vAlign w:val="center"/>
            <w:tcMar>
              <w:top w:w="120" w:type="dxa"/>
              <w:bottom w:w="120" w:type="dxa"/>
              <w:left w:w="150" w:type="dxa"/>
              <w:right w:w="150" w:type="dxa"/>
            </w:tcMar>
            <w:shd w:fill="FAFAFA"/>
          </w:tcPr>
          <w:p>
            <w:pPr>
              <w:spacing w:after="0"/>
              <w:jc w:val="left"/>
            </w:pPr>
            <w:r>
              <w:rPr>
                <w:rFonts w:ascii="Times New Roman" w:hAnsi="Times New Roman"/>
                <w:sz w:val="22"/>
              </w:rPr>
              <w:t>Implementation &amp; Core Code Base</w:t>
            </w:r>
          </w:p>
        </w:tc>
        <w:tc>
          <w:tcPr>
            <w:tcW w:type="dxa" w:w="1728"/>
            <w:vAlign w:val="center"/>
            <w:tcMar>
              <w:top w:w="120" w:type="dxa"/>
              <w:bottom w:w="120" w:type="dxa"/>
              <w:left w:w="150" w:type="dxa"/>
              <w:right w:w="150" w:type="dxa"/>
            </w:tcMar>
            <w:shd w:fill="FAFAFA"/>
          </w:tcPr>
          <w:p>
            <w:pPr>
              <w:spacing w:after="0"/>
              <w:jc w:val="center"/>
            </w:pPr>
            <w:r>
              <w:rPr>
                <w:rFonts w:ascii="Times New Roman" w:hAnsi="Times New Roman"/>
                <w:sz w:val="22"/>
              </w:rPr>
              <w:t>08</w:t>
            </w:r>
          </w:p>
        </w:tc>
      </w:tr>
      <w:tr>
        <w:tc>
          <w:tcPr>
            <w:tcW w:type="dxa" w:w="1440"/>
            <w:vAlign w:val="center"/>
            <w:tcMar>
              <w:top w:w="120" w:type="dxa"/>
              <w:bottom w:w="120" w:type="dxa"/>
              <w:left w:w="150" w:type="dxa"/>
              <w:right w:w="150" w:type="dxa"/>
            </w:tcMar>
          </w:tcPr>
          <w:p>
            <w:pPr>
              <w:spacing w:after="0"/>
              <w:jc w:val="center"/>
            </w:pPr>
            <w:r>
              <w:rPr>
                <w:rFonts w:ascii="Times New Roman" w:hAnsi="Times New Roman"/>
                <w:sz w:val="22"/>
              </w:rPr>
              <w:t>8</w:t>
            </w:r>
          </w:p>
        </w:tc>
        <w:tc>
          <w:tcPr>
            <w:tcW w:type="dxa" w:w="6480"/>
            <w:vAlign w:val="center"/>
            <w:tcMar>
              <w:top w:w="120" w:type="dxa"/>
              <w:bottom w:w="120" w:type="dxa"/>
              <w:left w:w="150" w:type="dxa"/>
              <w:right w:w="150" w:type="dxa"/>
            </w:tcMar>
          </w:tcPr>
          <w:p>
            <w:pPr>
              <w:spacing w:after="0"/>
              <w:jc w:val="left"/>
            </w:pPr>
            <w:r>
              <w:rPr>
                <w:rFonts w:ascii="Times New Roman" w:hAnsi="Times New Roman"/>
                <w:sz w:val="22"/>
              </w:rPr>
              <w:t>Outputs &amp; Execution Screenshots</w:t>
            </w:r>
          </w:p>
        </w:tc>
        <w:tc>
          <w:tcPr>
            <w:tcW w:type="dxa" w:w="1728"/>
            <w:vAlign w:val="center"/>
            <w:tcMar>
              <w:top w:w="120" w:type="dxa"/>
              <w:bottom w:w="120" w:type="dxa"/>
              <w:left w:w="150" w:type="dxa"/>
              <w:right w:w="150" w:type="dxa"/>
            </w:tcMar>
          </w:tcPr>
          <w:p>
            <w:pPr>
              <w:spacing w:after="0"/>
              <w:jc w:val="center"/>
            </w:pPr>
            <w:r>
              <w:rPr>
                <w:rFonts w:ascii="Times New Roman" w:hAnsi="Times New Roman"/>
                <w:sz w:val="22"/>
              </w:rPr>
              <w:t>14</w:t>
            </w:r>
          </w:p>
        </w:tc>
      </w:tr>
      <w:tr>
        <w:tc>
          <w:tcPr>
            <w:tcW w:type="dxa" w:w="1440"/>
            <w:vAlign w:val="center"/>
            <w:tcMar>
              <w:top w:w="120" w:type="dxa"/>
              <w:bottom w:w="120" w:type="dxa"/>
              <w:left w:w="150" w:type="dxa"/>
              <w:right w:w="150" w:type="dxa"/>
            </w:tcMar>
            <w:shd w:fill="FAFAFA"/>
          </w:tcPr>
          <w:p>
            <w:pPr>
              <w:spacing w:after="0"/>
              <w:jc w:val="center"/>
            </w:pPr>
            <w:r>
              <w:rPr>
                <w:rFonts w:ascii="Times New Roman" w:hAnsi="Times New Roman"/>
                <w:sz w:val="22"/>
              </w:rPr>
              <w:t>9</w:t>
            </w:r>
          </w:p>
        </w:tc>
        <w:tc>
          <w:tcPr>
            <w:tcW w:type="dxa" w:w="6480"/>
            <w:vAlign w:val="center"/>
            <w:tcMar>
              <w:top w:w="120" w:type="dxa"/>
              <w:bottom w:w="120" w:type="dxa"/>
              <w:left w:w="150" w:type="dxa"/>
              <w:right w:w="150" w:type="dxa"/>
            </w:tcMar>
            <w:shd w:fill="FAFAFA"/>
          </w:tcPr>
          <w:p>
            <w:pPr>
              <w:spacing w:after="0"/>
              <w:jc w:val="left"/>
            </w:pPr>
            <w:r>
              <w:rPr>
                <w:rFonts w:ascii="Times New Roman" w:hAnsi="Times New Roman"/>
                <w:sz w:val="22"/>
              </w:rPr>
              <w:t>Skill Developed / learning out of this Mini-Project</w:t>
            </w:r>
          </w:p>
        </w:tc>
        <w:tc>
          <w:tcPr>
            <w:tcW w:type="dxa" w:w="1728"/>
            <w:vAlign w:val="center"/>
            <w:tcMar>
              <w:top w:w="120" w:type="dxa"/>
              <w:bottom w:w="120" w:type="dxa"/>
              <w:left w:w="150" w:type="dxa"/>
              <w:right w:w="150" w:type="dxa"/>
            </w:tcMar>
            <w:shd w:fill="FAFAFA"/>
          </w:tcPr>
          <w:p>
            <w:pPr>
              <w:spacing w:after="0"/>
              <w:jc w:val="center"/>
            </w:pPr>
            <w:r>
              <w:rPr>
                <w:rFonts w:ascii="Times New Roman" w:hAnsi="Times New Roman"/>
                <w:sz w:val="22"/>
              </w:rPr>
              <w:t>22</w:t>
            </w:r>
          </w:p>
        </w:tc>
      </w:tr>
      <w:tr>
        <w:tc>
          <w:tcPr>
            <w:tcW w:type="dxa" w:w="1440"/>
            <w:vAlign w:val="center"/>
            <w:tcMar>
              <w:top w:w="120" w:type="dxa"/>
              <w:bottom w:w="120" w:type="dxa"/>
              <w:left w:w="150" w:type="dxa"/>
              <w:right w:w="150" w:type="dxa"/>
            </w:tcMar>
          </w:tcPr>
          <w:p>
            <w:pPr>
              <w:spacing w:after="0"/>
              <w:jc w:val="center"/>
            </w:pPr>
            <w:r>
              <w:rPr>
                <w:rFonts w:ascii="Times New Roman" w:hAnsi="Times New Roman"/>
                <w:sz w:val="22"/>
              </w:rPr>
              <w:t>10</w:t>
            </w:r>
          </w:p>
        </w:tc>
        <w:tc>
          <w:tcPr>
            <w:tcW w:type="dxa" w:w="6480"/>
            <w:vAlign w:val="center"/>
            <w:tcMar>
              <w:top w:w="120" w:type="dxa"/>
              <w:bottom w:w="120" w:type="dxa"/>
              <w:left w:w="150" w:type="dxa"/>
              <w:right w:w="150" w:type="dxa"/>
            </w:tcMar>
          </w:tcPr>
          <w:p>
            <w:pPr>
              <w:spacing w:after="0"/>
              <w:jc w:val="left"/>
            </w:pPr>
            <w:r>
              <w:rPr>
                <w:rFonts w:ascii="Times New Roman" w:hAnsi="Times New Roman"/>
                <w:sz w:val="22"/>
              </w:rPr>
              <w:t>Applications of this Mini-Project</w:t>
            </w:r>
          </w:p>
        </w:tc>
        <w:tc>
          <w:tcPr>
            <w:tcW w:type="dxa" w:w="1728"/>
            <w:vAlign w:val="center"/>
            <w:tcMar>
              <w:top w:w="120" w:type="dxa"/>
              <w:bottom w:w="120" w:type="dxa"/>
              <w:left w:w="150" w:type="dxa"/>
              <w:right w:w="150" w:type="dxa"/>
            </w:tcMar>
          </w:tcPr>
          <w:p>
            <w:pPr>
              <w:spacing w:after="0"/>
              <w:jc w:val="center"/>
            </w:pPr>
            <w:r>
              <w:rPr>
                <w:rFonts w:ascii="Times New Roman" w:hAnsi="Times New Roman"/>
                <w:sz w:val="22"/>
              </w:rPr>
              <w:t>23</w:t>
            </w:r>
          </w:p>
        </w:tc>
      </w:tr>
      <w:tr>
        <w:tc>
          <w:tcPr>
            <w:tcW w:type="dxa" w:w="1440"/>
            <w:vAlign w:val="center"/>
            <w:tcMar>
              <w:top w:w="120" w:type="dxa"/>
              <w:bottom w:w="120" w:type="dxa"/>
              <w:left w:w="150" w:type="dxa"/>
              <w:right w:w="150" w:type="dxa"/>
            </w:tcMar>
            <w:shd w:fill="FAFAFA"/>
          </w:tcPr>
          <w:p>
            <w:pPr>
              <w:spacing w:after="0"/>
              <w:jc w:val="center"/>
            </w:pPr>
            <w:r>
              <w:rPr>
                <w:rFonts w:ascii="Times New Roman" w:hAnsi="Times New Roman"/>
                <w:sz w:val="22"/>
              </w:rPr>
              <w:t>11</w:t>
            </w:r>
          </w:p>
        </w:tc>
        <w:tc>
          <w:tcPr>
            <w:tcW w:type="dxa" w:w="6480"/>
            <w:vAlign w:val="center"/>
            <w:tcMar>
              <w:top w:w="120" w:type="dxa"/>
              <w:bottom w:w="120" w:type="dxa"/>
              <w:left w:w="150" w:type="dxa"/>
              <w:right w:w="150" w:type="dxa"/>
            </w:tcMar>
            <w:shd w:fill="FAFAFA"/>
          </w:tcPr>
          <w:p>
            <w:pPr>
              <w:spacing w:after="0"/>
              <w:jc w:val="left"/>
            </w:pPr>
            <w:r>
              <w:rPr>
                <w:rFonts w:ascii="Times New Roman" w:hAnsi="Times New Roman"/>
                <w:sz w:val="22"/>
              </w:rPr>
              <w:t>Area of Future Improvement</w:t>
            </w:r>
          </w:p>
        </w:tc>
        <w:tc>
          <w:tcPr>
            <w:tcW w:type="dxa" w:w="1728"/>
            <w:vAlign w:val="center"/>
            <w:tcMar>
              <w:top w:w="120" w:type="dxa"/>
              <w:bottom w:w="120" w:type="dxa"/>
              <w:left w:w="150" w:type="dxa"/>
              <w:right w:w="150" w:type="dxa"/>
            </w:tcMar>
            <w:shd w:fill="FAFAFA"/>
          </w:tcPr>
          <w:p>
            <w:pPr>
              <w:spacing w:after="0"/>
              <w:jc w:val="center"/>
            </w:pPr>
            <w:r>
              <w:rPr>
                <w:rFonts w:ascii="Times New Roman" w:hAnsi="Times New Roman"/>
                <w:sz w:val="22"/>
              </w:rPr>
              <w:t>24</w:t>
            </w:r>
          </w:p>
        </w:tc>
      </w:tr>
      <w:tr>
        <w:tc>
          <w:tcPr>
            <w:tcW w:type="dxa" w:w="1440"/>
            <w:vAlign w:val="center"/>
            <w:tcMar>
              <w:top w:w="120" w:type="dxa"/>
              <w:bottom w:w="120" w:type="dxa"/>
              <w:left w:w="150" w:type="dxa"/>
              <w:right w:w="150" w:type="dxa"/>
            </w:tcMar>
          </w:tcPr>
          <w:p>
            <w:pPr>
              <w:spacing w:after="0"/>
              <w:jc w:val="center"/>
            </w:pPr>
            <w:r>
              <w:rPr>
                <w:rFonts w:ascii="Times New Roman" w:hAnsi="Times New Roman"/>
                <w:sz w:val="22"/>
              </w:rPr>
              <w:t>12</w:t>
            </w:r>
          </w:p>
        </w:tc>
        <w:tc>
          <w:tcPr>
            <w:tcW w:type="dxa" w:w="6480"/>
            <w:vAlign w:val="center"/>
            <w:tcMar>
              <w:top w:w="120" w:type="dxa"/>
              <w:bottom w:w="120" w:type="dxa"/>
              <w:left w:w="150" w:type="dxa"/>
              <w:right w:w="150" w:type="dxa"/>
            </w:tcMar>
          </w:tcPr>
          <w:p>
            <w:pPr>
              <w:spacing w:after="0"/>
              <w:jc w:val="left"/>
            </w:pPr>
            <w:r>
              <w:rPr>
                <w:rFonts w:ascii="Times New Roman" w:hAnsi="Times New Roman"/>
                <w:sz w:val="22"/>
              </w:rPr>
              <w:t>Conclusion</w:t>
            </w:r>
          </w:p>
        </w:tc>
        <w:tc>
          <w:tcPr>
            <w:tcW w:type="dxa" w:w="1728"/>
            <w:vAlign w:val="center"/>
            <w:tcMar>
              <w:top w:w="120" w:type="dxa"/>
              <w:bottom w:w="120" w:type="dxa"/>
              <w:left w:w="150" w:type="dxa"/>
              <w:right w:w="150" w:type="dxa"/>
            </w:tcMar>
          </w:tcPr>
          <w:p>
            <w:pPr>
              <w:spacing w:after="0"/>
              <w:jc w:val="center"/>
            </w:pPr>
            <w:r>
              <w:rPr>
                <w:rFonts w:ascii="Times New Roman" w:hAnsi="Times New Roman"/>
                <w:sz w:val="22"/>
              </w:rPr>
              <w:t>25</w:t>
            </w:r>
          </w:p>
        </w:tc>
      </w:tr>
    </w:tbl>
    <w:p>
      <w:r>
        <w:br w:type="page"/>
      </w:r>
    </w:p>
    <w:p>
      <w:pPr>
        <w:keepNext/>
        <w:spacing w:before="400" w:after="160"/>
      </w:pPr>
      <w:r>
        <w:rPr>
          <w:rFonts w:ascii="Times New Roman" w:hAnsi="Times New Roman"/>
          <w:b/>
          <w:color w:val="0A2540"/>
          <w:sz w:val="28"/>
        </w:rPr>
        <w:t>1. Abstract</w:t>
      </w:r>
    </w:p>
    <w:p>
      <w:pPr>
        <w:spacing w:line="300" w:lineRule="auto" w:after="160"/>
        <w:jc w:val="both"/>
      </w:pPr>
      <w:r>
        <w:rPr>
          <w:rFonts w:ascii="Times New Roman" w:hAnsi="Times New Roman"/>
          <w:sz w:val="23"/>
        </w:rPr>
        <w:t>The exponential rise of generative artificial intelligence, specifically Generative Adversarial Networks (GANs) and modern latent diffusion models, has catalyzed an unprecedented crisis in digital media authenticity. Synthetic video and audio impersonations—popularly known as deepfakes—have reached photorealistic fidelity, presenting acute vulnerabilities across financial institutions, executive communication, legal proceedings, and democratic governance. Conventional digital watermarking and centralized server-side verification systems are fundamentally inadequate; watermarks are easily stripped or altered during compression, while centralized databases remain susceptible to unauthorized modification, internal administrator tampering, and single-point-of-failure vulnerabilities.</w:t>
      </w:r>
    </w:p>
    <w:p>
      <w:pPr>
        <w:spacing w:line="300" w:lineRule="auto" w:after="160"/>
        <w:jc w:val="both"/>
      </w:pPr>
      <w:r>
        <w:rPr>
          <w:rFonts w:ascii="Times New Roman" w:hAnsi="Times New Roman"/>
          <w:sz w:val="23"/>
        </w:rPr>
        <w:t>This mini-project proposes and implements 'ChainProof: A Blockchain-Based Deepfake Proof System', a client-side decentralized provenance verification framework that marries raw cryptographic hashing with immutable distributed ledger technology. Rather than relying on easily manipulated heuristic detections or exposing private media to third-party cloud servers, ChainProof utilizes the browser-native WebCrypto API to calculate an uncompromising, irreversible 256-bit Secure Hash Algorithm (SHA-256) digital fingerprint directly from the media's binary buffer. The platform evaluates byte-level Shannon information entropy, examines native binary file headers (JPEG SOI, PNG chunk signatures, and MP4 ftyp containers), and establishes a multi-axis forensic radar assessment.</w:t>
      </w:r>
    </w:p>
    <w:p>
      <w:pPr>
        <w:spacing w:line="300" w:lineRule="auto" w:after="160"/>
        <w:jc w:val="both"/>
      </w:pPr>
      <w:r>
        <w:rPr>
          <w:rFonts w:ascii="Times New Roman" w:hAnsi="Times New Roman"/>
          <w:sz w:val="23"/>
        </w:rPr>
        <w:t>Every verification result is cryptographically sealed into a distributed block structure featuring linked hashes, Merkle root representations, and automated consensus validation. A dual-media cryptographic comparator further allows bit-level difference mapping. The resulting system guarantees immutable digital provenance, providing mathematical non-repudiation and zero-trust verification against generative synthetic media.</w:t>
      </w:r>
    </w:p>
    <w:p>
      <w:pPr>
        <w:keepNext/>
        <w:spacing w:before="400" w:after="160"/>
      </w:pPr>
      <w:r>
        <w:rPr>
          <w:rFonts w:ascii="Times New Roman" w:hAnsi="Times New Roman"/>
          <w:b/>
          <w:color w:val="0A2540"/>
          <w:sz w:val="28"/>
        </w:rPr>
        <w:t>2. Introduction</w:t>
      </w:r>
    </w:p>
    <w:p>
      <w:pPr>
        <w:spacing w:line="300" w:lineRule="auto" w:after="160"/>
        <w:jc w:val="both"/>
      </w:pPr>
      <w:r>
        <w:rPr>
          <w:rFonts w:ascii="Times New Roman" w:hAnsi="Times New Roman"/>
          <w:sz w:val="23"/>
        </w:rPr>
        <w:t>In the contemporary information era, digital media represents the foundational currency of truth, communication, and legal evidence. However, the democratization of sophisticated machine learning frameworks (such as StyleGAN, Stable Diffusion, and transformer-based voice synthesizers) has effectively broken the traditional paradigm that 'seeing is believing'. Hyper-realistic synthetic media can now be generated with consumer-grade computing hardware, allowing malicious actors to orchestrate CEO voice cloning scams, political disinformation campaigns, and non-consensual identity theft.</w:t>
      </w:r>
    </w:p>
    <w:p>
      <w:pPr>
        <w:keepNext/>
        <w:spacing w:before="240" w:after="80"/>
      </w:pPr>
      <w:r>
        <w:rPr>
          <w:rFonts w:ascii="Times New Roman" w:hAnsi="Times New Roman"/>
          <w:b/>
          <w:color w:val="222222"/>
          <w:sz w:val="24"/>
        </w:rPr>
        <w:t>2.1 Problem Statement</w:t>
      </w:r>
    </w:p>
    <w:p>
      <w:pPr>
        <w:spacing w:line="300" w:lineRule="auto" w:after="160"/>
        <w:jc w:val="both"/>
      </w:pPr>
      <w:r>
        <w:rPr>
          <w:rFonts w:ascii="Times New Roman" w:hAnsi="Times New Roman"/>
          <w:sz w:val="23"/>
        </w:rPr>
        <w:t>Existing defensive mechanisms against deepfakes suffer from three fatal structural shortcomings:</w:t>
        <w:br/>
        <w:t>1. Centralized Authority Vulnerability: Verification services stored in conventional SQL/NoSQL databases are subject to database administrator tampering, state-sponsored alteration, and insider attacks.</w:t>
        <w:br/>
        <w:t>2. Privacy and Latency Constraints: Uploading gigabyte-scale high-definition video files to remote deep learning servers introduces unacceptable bandwidth costs, server expenses, and severe data privacy hazards.</w:t>
        <w:br/>
        <w:t>3. Fragility of Post-Facto Detection: Machine learning detection models inevitably engage in an asymmetric arms race against generation models; detectors trained on today's artifacts consistently fail against zero-day generators.</w:t>
      </w:r>
    </w:p>
    <w:p>
      <w:pPr>
        <w:keepNext/>
        <w:spacing w:before="240" w:after="80"/>
      </w:pPr>
      <w:r>
        <w:rPr>
          <w:rFonts w:ascii="Times New Roman" w:hAnsi="Times New Roman"/>
          <w:b/>
          <w:color w:val="222222"/>
          <w:sz w:val="24"/>
        </w:rPr>
        <w:t>2.2 Project Objectives</w:t>
      </w:r>
    </w:p>
    <w:p>
      <w:pPr>
        <w:pStyle w:val="ListBullet"/>
        <w:spacing w:line="288" w:lineRule="auto" w:after="80"/>
        <w:jc w:val="both"/>
      </w:pPr>
      <w:r>
        <w:rPr>
          <w:b/>
          <w:sz w:val="23"/>
        </w:rPr>
        <w:t xml:space="preserve">Client-Side Cryptographic Hashing: </w:t>
      </w:r>
      <w:r>
        <w:rPr>
          <w:sz w:val="23"/>
        </w:rPr>
        <w:t>Execute zero-latency binary hashing using the W3C WebCrypto API directly in the client runtime without transmitting private media over external networks.</w:t>
      </w:r>
    </w:p>
    <w:p>
      <w:pPr>
        <w:pStyle w:val="ListBullet"/>
        <w:spacing w:line="288" w:lineRule="auto" w:after="80"/>
        <w:jc w:val="both"/>
      </w:pPr>
      <w:r>
        <w:rPr>
          <w:b/>
          <w:sz w:val="23"/>
        </w:rPr>
        <w:t xml:space="preserve">Multi-Factor Forensic Heuristics: </w:t>
      </w:r>
      <w:r>
        <w:rPr>
          <w:sz w:val="23"/>
        </w:rPr>
        <w:t>Derive deterministic forensic anomaly metrics by analyzing binary file headers, metadata structure, and Shannon entropy distributions.</w:t>
      </w:r>
    </w:p>
    <w:p>
      <w:pPr>
        <w:pStyle w:val="ListBullet"/>
        <w:spacing w:line="288" w:lineRule="auto" w:after="80"/>
        <w:jc w:val="both"/>
      </w:pPr>
      <w:r>
        <w:rPr>
          <w:b/>
          <w:sz w:val="23"/>
        </w:rPr>
        <w:t xml:space="preserve">Immutable Ledger Synthesis: </w:t>
      </w:r>
      <w:r>
        <w:rPr>
          <w:sz w:val="23"/>
        </w:rPr>
        <w:t>Construct a cryptographically linked blockchain ledger that permanently anchors every media hash, timestamp, and verification verdict into tamper-evident blocks.</w:t>
      </w:r>
    </w:p>
    <w:p>
      <w:pPr>
        <w:pStyle w:val="ListBullet"/>
        <w:spacing w:line="288" w:lineRule="auto" w:after="80"/>
        <w:jc w:val="both"/>
      </w:pPr>
      <w:r>
        <w:rPr>
          <w:b/>
          <w:sz w:val="23"/>
        </w:rPr>
        <w:t xml:space="preserve">Cryptographic Comparison Engine: </w:t>
      </w:r>
      <w:r>
        <w:rPr>
          <w:sz w:val="23"/>
        </w:rPr>
        <w:t>Implement a character-level and byte-level diff comparator that demonstrates the avalanche effect of cryptographic hashing when media is manipulated.</w:t>
      </w:r>
    </w:p>
    <w:p>
      <w:pPr>
        <w:pStyle w:val="ListBullet"/>
        <w:spacing w:line="288" w:lineRule="auto" w:after="80"/>
        <w:jc w:val="both"/>
      </w:pPr>
      <w:r>
        <w:rPr>
          <w:b/>
          <w:sz w:val="23"/>
        </w:rPr>
        <w:t xml:space="preserve">Interactive High-Performance Interface: </w:t>
      </w:r>
      <w:r>
        <w:rPr>
          <w:sz w:val="23"/>
        </w:rPr>
        <w:t>Deliver an enterprise-grade dark-themed web portal built on Next.js 14, React, and Tailwind CSS featuring dynamic SVG radar visualization.</w:t>
      </w:r>
    </w:p>
    <w:p>
      <w:pPr>
        <w:keepNext/>
        <w:spacing w:before="400" w:after="160"/>
      </w:pPr>
      <w:r>
        <w:rPr>
          <w:rFonts w:ascii="Times New Roman" w:hAnsi="Times New Roman"/>
          <w:b/>
          <w:color w:val="0A2540"/>
          <w:sz w:val="28"/>
        </w:rPr>
        <w:t>3. Course Outcomes Integrated</w:t>
      </w:r>
    </w:p>
    <w:p>
      <w:pPr>
        <w:spacing w:line="300" w:lineRule="auto" w:after="160"/>
        <w:jc w:val="both"/>
      </w:pPr>
      <w:r>
        <w:rPr>
          <w:rFonts w:ascii="Times New Roman" w:hAnsi="Times New Roman"/>
          <w:sz w:val="23"/>
        </w:rPr>
        <w:t>This mini-project comprehensively integrates and demonstrates the course outcomes specified within the B.Tech Computer Science and Engineering curriculum, specifically aligning with IoT, Cyber Security, and Blockchain Technology:</w:t>
      </w:r>
    </w:p>
    <w:p>
      <w:pPr>
        <w:pStyle w:val="ListBullet"/>
        <w:spacing w:line="288" w:lineRule="auto" w:after="80"/>
        <w:jc w:val="both"/>
      </w:pPr>
      <w:r>
        <w:rPr>
          <w:b/>
          <w:sz w:val="23"/>
        </w:rPr>
        <w:t xml:space="preserve">CO1 - Threat Modeling &amp; Multimedia Forensics: </w:t>
      </w:r>
      <w:r>
        <w:rPr>
          <w:sz w:val="23"/>
        </w:rPr>
        <w:t>Ability to analyze adversarial vectors in synthetic media, evaluate attack surfaces in digital credentials, and identify structural manipulation within raw multimedia formats.</w:t>
      </w:r>
    </w:p>
    <w:p>
      <w:pPr>
        <w:pStyle w:val="ListBullet"/>
        <w:spacing w:line="288" w:lineRule="auto" w:after="80"/>
        <w:jc w:val="both"/>
      </w:pPr>
      <w:r>
        <w:rPr>
          <w:b/>
          <w:sz w:val="23"/>
        </w:rPr>
        <w:t xml:space="preserve">CO2 - Applied Cryptographic Engineering: </w:t>
      </w:r>
      <w:r>
        <w:rPr>
          <w:sz w:val="23"/>
        </w:rPr>
        <w:t>Proficiency in implementing industry-standard cryptographic algorithms (SHA-256, Merkle Trees, cryptographic digests) to guarantee data integrity and confidentiality.</w:t>
      </w:r>
    </w:p>
    <w:p>
      <w:pPr>
        <w:pStyle w:val="ListBullet"/>
        <w:spacing w:line="288" w:lineRule="auto" w:after="80"/>
        <w:jc w:val="both"/>
      </w:pPr>
      <w:r>
        <w:rPr>
          <w:b/>
          <w:sz w:val="23"/>
        </w:rPr>
        <w:t xml:space="preserve">CO3 - Decentralized Ledger &amp; Consensus Architecture: </w:t>
      </w:r>
      <w:r>
        <w:rPr>
          <w:sz w:val="23"/>
        </w:rPr>
        <w:t>Design, implementation, and mathematical validation of immutable distributed ledgers, linked cryptographic blocks, nonces, and simulated consensus protocols.</w:t>
      </w:r>
    </w:p>
    <w:p>
      <w:pPr>
        <w:pStyle w:val="ListBullet"/>
        <w:spacing w:line="288" w:lineRule="auto" w:after="80"/>
        <w:jc w:val="both"/>
      </w:pPr>
      <w:r>
        <w:rPr>
          <w:b/>
          <w:sz w:val="23"/>
        </w:rPr>
        <w:t xml:space="preserve">CO4 - Modern Full-Stack System Design: </w:t>
      </w:r>
      <w:r>
        <w:rPr>
          <w:sz w:val="23"/>
        </w:rPr>
        <w:t>Architecting high-performance, responsive, type-safe web architectures using TypeScript, Next.js App Router, React component modularity, and Tailwind CSS.</w:t>
      </w:r>
    </w:p>
    <w:p>
      <w:pPr>
        <w:pStyle w:val="ListBullet"/>
        <w:spacing w:line="288" w:lineRule="auto" w:after="80"/>
        <w:jc w:val="both"/>
      </w:pPr>
      <w:r>
        <w:rPr>
          <w:b/>
          <w:sz w:val="23"/>
        </w:rPr>
        <w:t xml:space="preserve">CO5 - Data Integrity &amp; Provenance Governance: </w:t>
      </w:r>
      <w:r>
        <w:rPr>
          <w:sz w:val="23"/>
        </w:rPr>
        <w:t>Developing decentralized verification workflows that ensure non-repudiation, verifiable audit trails, and zero-trust authentication paradigms.</w:t>
      </w:r>
    </w:p>
    <w:p>
      <w:pPr>
        <w:keepNext/>
        <w:spacing w:before="400" w:after="160"/>
      </w:pPr>
      <w:r>
        <w:rPr>
          <w:rFonts w:ascii="Times New Roman" w:hAnsi="Times New Roman"/>
          <w:b/>
          <w:color w:val="0A2540"/>
          <w:sz w:val="28"/>
        </w:rPr>
        <w:t>4. Action Plan</w:t>
      </w:r>
    </w:p>
    <w:p>
      <w:pPr>
        <w:spacing w:line="300" w:lineRule="auto" w:after="160"/>
        <w:jc w:val="both"/>
      </w:pPr>
      <w:r>
        <w:rPr>
          <w:rFonts w:ascii="Times New Roman" w:hAnsi="Times New Roman"/>
          <w:sz w:val="23"/>
        </w:rPr>
        <w:t>The execution of the mini-project was systematically partitioned across dedicated development phases:</w:t>
      </w:r>
    </w:p>
    <w:tbl>
      <w:tblPr>
        <w:tblW w:type="auto" w:w="0"/>
        <w:jc w:val="center"/>
        <w:tblLook w:firstColumn="1" w:firstRow="1" w:lastColumn="0" w:lastRow="0" w:noHBand="0" w:noVBand="1" w:val="04A0"/>
        <w:tblBorders>
          <w:top w:val="single" w:sz="6" w:space="0" w:color="555555"/>
          <w:bottom w:val="single" w:sz="6" w:space="0" w:color="555555"/>
          <w:left w:val="single" w:sz="6" w:space="0" w:color="555555"/>
          <w:right w:val="single" w:sz="6" w:space="0" w:color="555555"/>
          <w:insideH w:val="single" w:sz="6" w:space="0" w:color="555555"/>
          <w:insideV w:val="single" w:sz="6" w:space="0" w:color="555555"/>
        </w:tblBorders>
      </w:tblPr>
      <w:tblGrid>
        <w:gridCol w:w="1872"/>
        <w:gridCol w:w="1872"/>
        <w:gridCol w:w="1872"/>
        <w:gridCol w:w="1872"/>
        <w:gridCol w:w="1872"/>
      </w:tblGrid>
      <w:tr>
        <w:tc>
          <w:tcPr>
            <w:tcW w:type="dxa" w:w="864"/>
            <w:shd w:fill="EAEAEA"/>
            <w:tcMar>
              <w:top w:w="100" w:type="dxa"/>
              <w:bottom w:w="100" w:type="dxa"/>
              <w:left w:w="100" w:type="dxa"/>
              <w:right w:w="100" w:type="dxa"/>
            </w:tcMar>
          </w:tcPr>
          <w:p>
            <w:pPr>
              <w:jc w:val="center"/>
            </w:pPr>
            <w:r>
              <w:rPr>
                <w:b/>
                <w:sz w:val="20"/>
              </w:rPr>
              <w:t>S. No.</w:t>
            </w:r>
          </w:p>
        </w:tc>
        <w:tc>
          <w:tcPr>
            <w:tcW w:type="dxa" w:w="3744"/>
            <w:shd w:fill="EAEAEA"/>
            <w:tcMar>
              <w:top w:w="100" w:type="dxa"/>
              <w:bottom w:w="100" w:type="dxa"/>
              <w:left w:w="100" w:type="dxa"/>
              <w:right w:w="100" w:type="dxa"/>
            </w:tcMar>
          </w:tcPr>
          <w:p>
            <w:pPr>
              <w:jc w:val="center"/>
            </w:pPr>
            <w:r>
              <w:rPr>
                <w:b/>
                <w:sz w:val="20"/>
              </w:rPr>
              <w:t>Details of Activity</w:t>
            </w:r>
          </w:p>
        </w:tc>
        <w:tc>
          <w:tcPr>
            <w:tcW w:type="dxa" w:w="1584"/>
            <w:shd w:fill="EAEAEA"/>
            <w:tcMar>
              <w:top w:w="100" w:type="dxa"/>
              <w:bottom w:w="100" w:type="dxa"/>
              <w:left w:w="100" w:type="dxa"/>
              <w:right w:w="100" w:type="dxa"/>
            </w:tcMar>
          </w:tcPr>
          <w:p>
            <w:pPr>
              <w:jc w:val="center"/>
            </w:pPr>
            <w:r>
              <w:rPr>
                <w:b/>
                <w:sz w:val="20"/>
              </w:rPr>
              <w:t>Planned Start Date</w:t>
            </w:r>
          </w:p>
        </w:tc>
        <w:tc>
          <w:tcPr>
            <w:tcW w:type="dxa" w:w="1584"/>
            <w:shd w:fill="EAEAEA"/>
            <w:tcMar>
              <w:top w:w="100" w:type="dxa"/>
              <w:bottom w:w="100" w:type="dxa"/>
              <w:left w:w="100" w:type="dxa"/>
              <w:right w:w="100" w:type="dxa"/>
            </w:tcMar>
          </w:tcPr>
          <w:p>
            <w:pPr>
              <w:jc w:val="center"/>
            </w:pPr>
            <w:r>
              <w:rPr>
                <w:b/>
                <w:sz w:val="20"/>
              </w:rPr>
              <w:t>Planned Finish Date</w:t>
            </w:r>
          </w:p>
        </w:tc>
        <w:tc>
          <w:tcPr>
            <w:tcW w:type="dxa" w:w="2592"/>
            <w:shd w:fill="EAEAEA"/>
            <w:tcMar>
              <w:top w:w="100" w:type="dxa"/>
              <w:bottom w:w="100" w:type="dxa"/>
              <w:left w:w="100" w:type="dxa"/>
              <w:right w:w="100" w:type="dxa"/>
            </w:tcMar>
          </w:tcPr>
          <w:p>
            <w:pPr>
              <w:jc w:val="center"/>
            </w:pPr>
            <w:r>
              <w:rPr>
                <w:b/>
                <w:sz w:val="20"/>
              </w:rPr>
              <w:t>Name of Responsible Team Members</w:t>
            </w:r>
          </w:p>
        </w:tc>
      </w:tr>
      <w:tr>
        <w:tc>
          <w:tcPr>
            <w:tcW w:type="dxa" w:w="864"/>
            <w:vAlign w:val="center"/>
            <w:tcMar>
              <w:top w:w="80" w:type="dxa"/>
              <w:bottom w:w="80" w:type="dxa"/>
              <w:left w:w="100" w:type="dxa"/>
              <w:right w:w="100" w:type="dxa"/>
            </w:tcMar>
          </w:tcPr>
          <w:p>
            <w:pPr>
              <w:spacing w:after="0" w:line="276" w:lineRule="auto"/>
              <w:jc w:val="center"/>
            </w:pPr>
            <w:r>
              <w:rPr>
                <w:sz w:val="19"/>
              </w:rPr>
              <w:t>1</w:t>
            </w:r>
          </w:p>
        </w:tc>
        <w:tc>
          <w:tcPr>
            <w:tcW w:type="dxa" w:w="3744"/>
            <w:vAlign w:val="center"/>
            <w:tcMar>
              <w:top w:w="80" w:type="dxa"/>
              <w:bottom w:w="80" w:type="dxa"/>
              <w:left w:w="100" w:type="dxa"/>
              <w:right w:w="100" w:type="dxa"/>
            </w:tcMar>
          </w:tcPr>
          <w:p>
            <w:pPr>
              <w:spacing w:after="0" w:line="276" w:lineRule="auto"/>
              <w:jc w:val="left"/>
            </w:pPr>
            <w:r>
              <w:rPr>
                <w:sz w:val="19"/>
              </w:rPr>
              <w:t>Literature review on deepfake synthesis, forensic artifacts, and blockchain provenance architectures.</w:t>
            </w:r>
          </w:p>
        </w:tc>
        <w:tc>
          <w:tcPr>
            <w:tcW w:type="dxa" w:w="1584"/>
            <w:vAlign w:val="center"/>
            <w:tcMar>
              <w:top w:w="80" w:type="dxa"/>
              <w:bottom w:w="80" w:type="dxa"/>
              <w:left w:w="100" w:type="dxa"/>
              <w:right w:w="100" w:type="dxa"/>
            </w:tcMar>
          </w:tcPr>
          <w:p>
            <w:pPr>
              <w:spacing w:after="0" w:line="276" w:lineRule="auto"/>
              <w:jc w:val="center"/>
            </w:pPr>
            <w:r>
              <w:rPr>
                <w:sz w:val="19"/>
              </w:rPr>
              <w:t>05/01/2026</w:t>
            </w:r>
          </w:p>
        </w:tc>
        <w:tc>
          <w:tcPr>
            <w:tcW w:type="dxa" w:w="1584"/>
            <w:vAlign w:val="center"/>
            <w:tcMar>
              <w:top w:w="80" w:type="dxa"/>
              <w:bottom w:w="80" w:type="dxa"/>
              <w:left w:w="100" w:type="dxa"/>
              <w:right w:w="100" w:type="dxa"/>
            </w:tcMar>
          </w:tcPr>
          <w:p>
            <w:pPr>
              <w:spacing w:after="0" w:line="276" w:lineRule="auto"/>
              <w:jc w:val="center"/>
            </w:pPr>
            <w:r>
              <w:rPr>
                <w:sz w:val="19"/>
              </w:rPr>
              <w:t>18/01/2026</w:t>
            </w:r>
          </w:p>
        </w:tc>
        <w:tc>
          <w:tcPr>
            <w:tcW w:type="dxa" w:w="2592"/>
            <w:vAlign w:val="center"/>
            <w:tcMar>
              <w:top w:w="80" w:type="dxa"/>
              <w:bottom w:w="80" w:type="dxa"/>
              <w:left w:w="100" w:type="dxa"/>
              <w:right w:w="100" w:type="dxa"/>
            </w:tcMar>
          </w:tcPr>
          <w:p>
            <w:pPr>
              <w:spacing w:after="0" w:line="276" w:lineRule="auto"/>
              <w:jc w:val="left"/>
            </w:pPr>
            <w:r>
              <w:rPr>
                <w:sz w:val="19"/>
              </w:rPr>
              <w:t>Rohit Dhananjay Kale</w:t>
              <w:br/>
              <w:t>Soham Bhagwan Deshmukh</w:t>
            </w:r>
          </w:p>
        </w:tc>
      </w:tr>
      <w:tr>
        <w:tc>
          <w:tcPr>
            <w:tcW w:type="dxa" w:w="864"/>
            <w:vAlign w:val="center"/>
            <w:tcMar>
              <w:top w:w="80" w:type="dxa"/>
              <w:bottom w:w="80" w:type="dxa"/>
              <w:left w:w="100" w:type="dxa"/>
              <w:right w:w="100" w:type="dxa"/>
            </w:tcMar>
            <w:shd w:fill="FAFAFA"/>
          </w:tcPr>
          <w:p>
            <w:pPr>
              <w:spacing w:after="0" w:line="276" w:lineRule="auto"/>
              <w:jc w:val="center"/>
            </w:pPr>
            <w:r>
              <w:rPr>
                <w:sz w:val="19"/>
              </w:rPr>
              <w:t>2</w:t>
            </w:r>
          </w:p>
        </w:tc>
        <w:tc>
          <w:tcPr>
            <w:tcW w:type="dxa" w:w="3744"/>
            <w:vAlign w:val="center"/>
            <w:tcMar>
              <w:top w:w="80" w:type="dxa"/>
              <w:bottom w:w="80" w:type="dxa"/>
              <w:left w:w="100" w:type="dxa"/>
              <w:right w:w="100" w:type="dxa"/>
            </w:tcMar>
            <w:shd w:fill="FAFAFA"/>
          </w:tcPr>
          <w:p>
            <w:pPr>
              <w:spacing w:after="0" w:line="276" w:lineRule="auto"/>
              <w:jc w:val="left"/>
            </w:pPr>
            <w:r>
              <w:rPr>
                <w:sz w:val="19"/>
              </w:rPr>
              <w:t>System requirement analysis and client-side WebCrypto cryptographic engine design.</w:t>
            </w:r>
          </w:p>
        </w:tc>
        <w:tc>
          <w:tcPr>
            <w:tcW w:type="dxa" w:w="1584"/>
            <w:vAlign w:val="center"/>
            <w:tcMar>
              <w:top w:w="80" w:type="dxa"/>
              <w:bottom w:w="80" w:type="dxa"/>
              <w:left w:w="100" w:type="dxa"/>
              <w:right w:w="100" w:type="dxa"/>
            </w:tcMar>
            <w:shd w:fill="FAFAFA"/>
          </w:tcPr>
          <w:p>
            <w:pPr>
              <w:spacing w:after="0" w:line="276" w:lineRule="auto"/>
              <w:jc w:val="center"/>
            </w:pPr>
            <w:r>
              <w:rPr>
                <w:sz w:val="19"/>
              </w:rPr>
              <w:t>19/01/2026</w:t>
            </w:r>
          </w:p>
        </w:tc>
        <w:tc>
          <w:tcPr>
            <w:tcW w:type="dxa" w:w="1584"/>
            <w:vAlign w:val="center"/>
            <w:tcMar>
              <w:top w:w="80" w:type="dxa"/>
              <w:bottom w:w="80" w:type="dxa"/>
              <w:left w:w="100" w:type="dxa"/>
              <w:right w:w="100" w:type="dxa"/>
            </w:tcMar>
            <w:shd w:fill="FAFAFA"/>
          </w:tcPr>
          <w:p>
            <w:pPr>
              <w:spacing w:after="0" w:line="276" w:lineRule="auto"/>
              <w:jc w:val="center"/>
            </w:pPr>
            <w:r>
              <w:rPr>
                <w:sz w:val="19"/>
              </w:rPr>
              <w:t>02/02/2026</w:t>
            </w:r>
          </w:p>
        </w:tc>
        <w:tc>
          <w:tcPr>
            <w:tcW w:type="dxa" w:w="2592"/>
            <w:vAlign w:val="center"/>
            <w:tcMar>
              <w:top w:w="80" w:type="dxa"/>
              <w:bottom w:w="80" w:type="dxa"/>
              <w:left w:w="100" w:type="dxa"/>
              <w:right w:w="100" w:type="dxa"/>
            </w:tcMar>
            <w:shd w:fill="FAFAFA"/>
          </w:tcPr>
          <w:p>
            <w:pPr>
              <w:spacing w:after="0" w:line="276" w:lineRule="auto"/>
              <w:jc w:val="left"/>
            </w:pPr>
            <w:r>
              <w:rPr>
                <w:sz w:val="19"/>
              </w:rPr>
              <w:t>Rohit Dhananjay Kale</w:t>
            </w:r>
          </w:p>
        </w:tc>
      </w:tr>
      <w:tr>
        <w:tc>
          <w:tcPr>
            <w:tcW w:type="dxa" w:w="864"/>
            <w:vAlign w:val="center"/>
            <w:tcMar>
              <w:top w:w="80" w:type="dxa"/>
              <w:bottom w:w="80" w:type="dxa"/>
              <w:left w:w="100" w:type="dxa"/>
              <w:right w:w="100" w:type="dxa"/>
            </w:tcMar>
          </w:tcPr>
          <w:p>
            <w:pPr>
              <w:spacing w:after="0" w:line="276" w:lineRule="auto"/>
              <w:jc w:val="center"/>
            </w:pPr>
            <w:r>
              <w:rPr>
                <w:sz w:val="19"/>
              </w:rPr>
              <w:t>3</w:t>
            </w:r>
          </w:p>
        </w:tc>
        <w:tc>
          <w:tcPr>
            <w:tcW w:type="dxa" w:w="3744"/>
            <w:vAlign w:val="center"/>
            <w:tcMar>
              <w:top w:w="80" w:type="dxa"/>
              <w:bottom w:w="80" w:type="dxa"/>
              <w:left w:w="100" w:type="dxa"/>
              <w:right w:w="100" w:type="dxa"/>
            </w:tcMar>
          </w:tcPr>
          <w:p>
            <w:pPr>
              <w:spacing w:after="0" w:line="276" w:lineRule="auto"/>
              <w:jc w:val="left"/>
            </w:pPr>
            <w:r>
              <w:rPr>
                <w:sz w:val="19"/>
              </w:rPr>
              <w:t>Implementation of binary entropy calculator, file header validator, and radar scoring models.</w:t>
            </w:r>
          </w:p>
        </w:tc>
        <w:tc>
          <w:tcPr>
            <w:tcW w:type="dxa" w:w="1584"/>
            <w:vAlign w:val="center"/>
            <w:tcMar>
              <w:top w:w="80" w:type="dxa"/>
              <w:bottom w:w="80" w:type="dxa"/>
              <w:left w:w="100" w:type="dxa"/>
              <w:right w:w="100" w:type="dxa"/>
            </w:tcMar>
          </w:tcPr>
          <w:p>
            <w:pPr>
              <w:spacing w:after="0" w:line="276" w:lineRule="auto"/>
              <w:jc w:val="center"/>
            </w:pPr>
            <w:r>
              <w:rPr>
                <w:sz w:val="19"/>
              </w:rPr>
              <w:t>03/02/2026</w:t>
            </w:r>
          </w:p>
        </w:tc>
        <w:tc>
          <w:tcPr>
            <w:tcW w:type="dxa" w:w="1584"/>
            <w:vAlign w:val="center"/>
            <w:tcMar>
              <w:top w:w="80" w:type="dxa"/>
              <w:bottom w:w="80" w:type="dxa"/>
              <w:left w:w="100" w:type="dxa"/>
              <w:right w:w="100" w:type="dxa"/>
            </w:tcMar>
          </w:tcPr>
          <w:p>
            <w:pPr>
              <w:spacing w:after="0" w:line="276" w:lineRule="auto"/>
              <w:jc w:val="center"/>
            </w:pPr>
            <w:r>
              <w:rPr>
                <w:sz w:val="19"/>
              </w:rPr>
              <w:t>18/02/2026</w:t>
            </w:r>
          </w:p>
        </w:tc>
        <w:tc>
          <w:tcPr>
            <w:tcW w:type="dxa" w:w="2592"/>
            <w:vAlign w:val="center"/>
            <w:tcMar>
              <w:top w:w="80" w:type="dxa"/>
              <w:bottom w:w="80" w:type="dxa"/>
              <w:left w:w="100" w:type="dxa"/>
              <w:right w:w="100" w:type="dxa"/>
            </w:tcMar>
          </w:tcPr>
          <w:p>
            <w:pPr>
              <w:spacing w:after="0" w:line="276" w:lineRule="auto"/>
              <w:jc w:val="left"/>
            </w:pPr>
            <w:r>
              <w:rPr>
                <w:sz w:val="19"/>
              </w:rPr>
              <w:t>Soham Bhagwan Deshmukh</w:t>
            </w:r>
          </w:p>
        </w:tc>
      </w:tr>
      <w:tr>
        <w:tc>
          <w:tcPr>
            <w:tcW w:type="dxa" w:w="864"/>
            <w:vAlign w:val="center"/>
            <w:tcMar>
              <w:top w:w="80" w:type="dxa"/>
              <w:bottom w:w="80" w:type="dxa"/>
              <w:left w:w="100" w:type="dxa"/>
              <w:right w:w="100" w:type="dxa"/>
            </w:tcMar>
            <w:shd w:fill="FAFAFA"/>
          </w:tcPr>
          <w:p>
            <w:pPr>
              <w:spacing w:after="0" w:line="276" w:lineRule="auto"/>
              <w:jc w:val="center"/>
            </w:pPr>
            <w:r>
              <w:rPr>
                <w:sz w:val="19"/>
              </w:rPr>
              <w:t>4</w:t>
            </w:r>
          </w:p>
        </w:tc>
        <w:tc>
          <w:tcPr>
            <w:tcW w:type="dxa" w:w="3744"/>
            <w:vAlign w:val="center"/>
            <w:tcMar>
              <w:top w:w="80" w:type="dxa"/>
              <w:bottom w:w="80" w:type="dxa"/>
              <w:left w:w="100" w:type="dxa"/>
              <w:right w:w="100" w:type="dxa"/>
            </w:tcMar>
            <w:shd w:fill="FAFAFA"/>
          </w:tcPr>
          <w:p>
            <w:pPr>
              <w:spacing w:after="0" w:line="276" w:lineRule="auto"/>
              <w:jc w:val="left"/>
            </w:pPr>
            <w:r>
              <w:rPr>
                <w:sz w:val="19"/>
              </w:rPr>
              <w:t>Core Blockchain architecture development: block hashing, Merkle roots, Genesis block, and chain validation.</w:t>
            </w:r>
          </w:p>
        </w:tc>
        <w:tc>
          <w:tcPr>
            <w:tcW w:type="dxa" w:w="1584"/>
            <w:vAlign w:val="center"/>
            <w:tcMar>
              <w:top w:w="80" w:type="dxa"/>
              <w:bottom w:w="80" w:type="dxa"/>
              <w:left w:w="100" w:type="dxa"/>
              <w:right w:w="100" w:type="dxa"/>
            </w:tcMar>
            <w:shd w:fill="FAFAFA"/>
          </w:tcPr>
          <w:p>
            <w:pPr>
              <w:spacing w:after="0" w:line="276" w:lineRule="auto"/>
              <w:jc w:val="center"/>
            </w:pPr>
            <w:r>
              <w:rPr>
                <w:sz w:val="19"/>
              </w:rPr>
              <w:t>19/02/2026</w:t>
            </w:r>
          </w:p>
        </w:tc>
        <w:tc>
          <w:tcPr>
            <w:tcW w:type="dxa" w:w="1584"/>
            <w:vAlign w:val="center"/>
            <w:tcMar>
              <w:top w:w="80" w:type="dxa"/>
              <w:bottom w:w="80" w:type="dxa"/>
              <w:left w:w="100" w:type="dxa"/>
              <w:right w:w="100" w:type="dxa"/>
            </w:tcMar>
            <w:shd w:fill="FAFAFA"/>
          </w:tcPr>
          <w:p>
            <w:pPr>
              <w:spacing w:after="0" w:line="276" w:lineRule="auto"/>
              <w:jc w:val="center"/>
            </w:pPr>
            <w:r>
              <w:rPr>
                <w:sz w:val="19"/>
              </w:rPr>
              <w:t>05/03/2026</w:t>
            </w:r>
          </w:p>
        </w:tc>
        <w:tc>
          <w:tcPr>
            <w:tcW w:type="dxa" w:w="2592"/>
            <w:vAlign w:val="center"/>
            <w:tcMar>
              <w:top w:w="80" w:type="dxa"/>
              <w:bottom w:w="80" w:type="dxa"/>
              <w:left w:w="100" w:type="dxa"/>
              <w:right w:w="100" w:type="dxa"/>
            </w:tcMar>
            <w:shd w:fill="FAFAFA"/>
          </w:tcPr>
          <w:p>
            <w:pPr>
              <w:spacing w:after="0" w:line="276" w:lineRule="auto"/>
              <w:jc w:val="left"/>
            </w:pPr>
            <w:r>
              <w:rPr>
                <w:sz w:val="19"/>
              </w:rPr>
              <w:t>Rohit Dhananjay Kale</w:t>
            </w:r>
          </w:p>
        </w:tc>
      </w:tr>
      <w:tr>
        <w:tc>
          <w:tcPr>
            <w:tcW w:type="dxa" w:w="864"/>
            <w:vAlign w:val="center"/>
            <w:tcMar>
              <w:top w:w="80" w:type="dxa"/>
              <w:bottom w:w="80" w:type="dxa"/>
              <w:left w:w="100" w:type="dxa"/>
              <w:right w:w="100" w:type="dxa"/>
            </w:tcMar>
          </w:tcPr>
          <w:p>
            <w:pPr>
              <w:spacing w:after="0" w:line="276" w:lineRule="auto"/>
              <w:jc w:val="center"/>
            </w:pPr>
            <w:r>
              <w:rPr>
                <w:sz w:val="19"/>
              </w:rPr>
              <w:t>5</w:t>
            </w:r>
          </w:p>
        </w:tc>
        <w:tc>
          <w:tcPr>
            <w:tcW w:type="dxa" w:w="3744"/>
            <w:vAlign w:val="center"/>
            <w:tcMar>
              <w:top w:w="80" w:type="dxa"/>
              <w:bottom w:w="80" w:type="dxa"/>
              <w:left w:w="100" w:type="dxa"/>
              <w:right w:w="100" w:type="dxa"/>
            </w:tcMar>
          </w:tcPr>
          <w:p>
            <w:pPr>
              <w:spacing w:after="0" w:line="276" w:lineRule="auto"/>
              <w:jc w:val="left"/>
            </w:pPr>
            <w:r>
              <w:rPr>
                <w:sz w:val="19"/>
              </w:rPr>
              <w:t>Development of dual-file cryptographic comparator, consensus visualizer, and UI dashboard.</w:t>
            </w:r>
          </w:p>
        </w:tc>
        <w:tc>
          <w:tcPr>
            <w:tcW w:type="dxa" w:w="1584"/>
            <w:vAlign w:val="center"/>
            <w:tcMar>
              <w:top w:w="80" w:type="dxa"/>
              <w:bottom w:w="80" w:type="dxa"/>
              <w:left w:w="100" w:type="dxa"/>
              <w:right w:w="100" w:type="dxa"/>
            </w:tcMar>
          </w:tcPr>
          <w:p>
            <w:pPr>
              <w:spacing w:after="0" w:line="276" w:lineRule="auto"/>
              <w:jc w:val="center"/>
            </w:pPr>
            <w:r>
              <w:rPr>
                <w:sz w:val="19"/>
              </w:rPr>
              <w:t>06/03/2026</w:t>
            </w:r>
          </w:p>
        </w:tc>
        <w:tc>
          <w:tcPr>
            <w:tcW w:type="dxa" w:w="1584"/>
            <w:vAlign w:val="center"/>
            <w:tcMar>
              <w:top w:w="80" w:type="dxa"/>
              <w:bottom w:w="80" w:type="dxa"/>
              <w:left w:w="100" w:type="dxa"/>
              <w:right w:w="100" w:type="dxa"/>
            </w:tcMar>
          </w:tcPr>
          <w:p>
            <w:pPr>
              <w:spacing w:after="0" w:line="276" w:lineRule="auto"/>
              <w:jc w:val="center"/>
            </w:pPr>
            <w:r>
              <w:rPr>
                <w:sz w:val="19"/>
              </w:rPr>
              <w:t>20/03/2026</w:t>
            </w:r>
          </w:p>
        </w:tc>
        <w:tc>
          <w:tcPr>
            <w:tcW w:type="dxa" w:w="2592"/>
            <w:vAlign w:val="center"/>
            <w:tcMar>
              <w:top w:w="80" w:type="dxa"/>
              <w:bottom w:w="80" w:type="dxa"/>
              <w:left w:w="100" w:type="dxa"/>
              <w:right w:w="100" w:type="dxa"/>
            </w:tcMar>
          </w:tcPr>
          <w:p>
            <w:pPr>
              <w:spacing w:after="0" w:line="276" w:lineRule="auto"/>
              <w:jc w:val="left"/>
            </w:pPr>
            <w:r>
              <w:rPr>
                <w:sz w:val="19"/>
              </w:rPr>
              <w:t>Soham Bhagwan Deshmukh</w:t>
            </w:r>
          </w:p>
        </w:tc>
      </w:tr>
      <w:tr>
        <w:tc>
          <w:tcPr>
            <w:tcW w:type="dxa" w:w="864"/>
            <w:vAlign w:val="center"/>
            <w:tcMar>
              <w:top w:w="80" w:type="dxa"/>
              <w:bottom w:w="80" w:type="dxa"/>
              <w:left w:w="100" w:type="dxa"/>
              <w:right w:w="100" w:type="dxa"/>
            </w:tcMar>
            <w:shd w:fill="FAFAFA"/>
          </w:tcPr>
          <w:p>
            <w:pPr>
              <w:spacing w:after="0" w:line="276" w:lineRule="auto"/>
              <w:jc w:val="center"/>
            </w:pPr>
            <w:r>
              <w:rPr>
                <w:sz w:val="19"/>
              </w:rPr>
              <w:t>6</w:t>
            </w:r>
          </w:p>
        </w:tc>
        <w:tc>
          <w:tcPr>
            <w:tcW w:type="dxa" w:w="3744"/>
            <w:vAlign w:val="center"/>
            <w:tcMar>
              <w:top w:w="80" w:type="dxa"/>
              <w:bottom w:w="80" w:type="dxa"/>
              <w:left w:w="100" w:type="dxa"/>
              <w:right w:w="100" w:type="dxa"/>
            </w:tcMar>
            <w:shd w:fill="FAFAFA"/>
          </w:tcPr>
          <w:p>
            <w:pPr>
              <w:spacing w:after="0" w:line="276" w:lineRule="auto"/>
              <w:jc w:val="left"/>
            </w:pPr>
            <w:r>
              <w:rPr>
                <w:sz w:val="19"/>
              </w:rPr>
              <w:t>End-to-end integration, performance optimization, Vercel cloud deployment, and report documentation.</w:t>
            </w:r>
          </w:p>
        </w:tc>
        <w:tc>
          <w:tcPr>
            <w:tcW w:type="dxa" w:w="1584"/>
            <w:vAlign w:val="center"/>
            <w:tcMar>
              <w:top w:w="80" w:type="dxa"/>
              <w:bottom w:w="80" w:type="dxa"/>
              <w:left w:w="100" w:type="dxa"/>
              <w:right w:w="100" w:type="dxa"/>
            </w:tcMar>
            <w:shd w:fill="FAFAFA"/>
          </w:tcPr>
          <w:p>
            <w:pPr>
              <w:spacing w:after="0" w:line="276" w:lineRule="auto"/>
              <w:jc w:val="center"/>
            </w:pPr>
            <w:r>
              <w:rPr>
                <w:sz w:val="19"/>
              </w:rPr>
              <w:t>21/03/2026</w:t>
            </w:r>
          </w:p>
        </w:tc>
        <w:tc>
          <w:tcPr>
            <w:tcW w:type="dxa" w:w="1584"/>
            <w:vAlign w:val="center"/>
            <w:tcMar>
              <w:top w:w="80" w:type="dxa"/>
              <w:bottom w:w="80" w:type="dxa"/>
              <w:left w:w="100" w:type="dxa"/>
              <w:right w:w="100" w:type="dxa"/>
            </w:tcMar>
            <w:shd w:fill="FAFAFA"/>
          </w:tcPr>
          <w:p>
            <w:pPr>
              <w:spacing w:after="0" w:line="276" w:lineRule="auto"/>
              <w:jc w:val="center"/>
            </w:pPr>
            <w:r>
              <w:rPr>
                <w:sz w:val="19"/>
              </w:rPr>
              <w:t>05/04/2026</w:t>
            </w:r>
          </w:p>
        </w:tc>
        <w:tc>
          <w:tcPr>
            <w:tcW w:type="dxa" w:w="2592"/>
            <w:vAlign w:val="center"/>
            <w:tcMar>
              <w:top w:w="80" w:type="dxa"/>
              <w:bottom w:w="80" w:type="dxa"/>
              <w:left w:w="100" w:type="dxa"/>
              <w:right w:w="100" w:type="dxa"/>
            </w:tcMar>
            <w:shd w:fill="FAFAFA"/>
          </w:tcPr>
          <w:p>
            <w:pPr>
              <w:spacing w:after="0" w:line="276" w:lineRule="auto"/>
              <w:jc w:val="left"/>
            </w:pPr>
            <w:r>
              <w:rPr>
                <w:sz w:val="19"/>
              </w:rPr>
              <w:t>Rohit Dhananjay Kale</w:t>
              <w:br/>
              <w:t>Soham Bhagwan Deshmukh</w:t>
            </w:r>
          </w:p>
        </w:tc>
      </w:tr>
    </w:tbl>
    <w:p>
      <w:pPr>
        <w:keepNext/>
        <w:spacing w:before="400" w:after="160"/>
      </w:pPr>
      <w:r>
        <w:rPr>
          <w:rFonts w:ascii="Times New Roman" w:hAnsi="Times New Roman"/>
          <w:b/>
          <w:color w:val="0A2540"/>
          <w:sz w:val="28"/>
        </w:rPr>
        <w:t>5. Literature Review</w:t>
      </w:r>
    </w:p>
    <w:p>
      <w:pPr>
        <w:spacing w:line="300" w:lineRule="auto" w:after="160"/>
        <w:jc w:val="both"/>
      </w:pPr>
      <w:r>
        <w:rPr>
          <w:rFonts w:ascii="Times New Roman" w:hAnsi="Times New Roman"/>
          <w:sz w:val="23"/>
        </w:rPr>
        <w:t>A rigorous review of academic and industrial literature reveals the evolutionary clash between synthetic media generation and multimedia authentication:</w:t>
      </w:r>
    </w:p>
    <w:p>
      <w:pPr>
        <w:keepNext/>
        <w:spacing w:before="240" w:after="80"/>
      </w:pPr>
      <w:r>
        <w:rPr>
          <w:rFonts w:ascii="Times New Roman" w:hAnsi="Times New Roman"/>
          <w:b/>
          <w:color w:val="222222"/>
          <w:sz w:val="24"/>
        </w:rPr>
        <w:t>5.1 Generative AI &amp; Deepfake Synthesis Mechanisms</w:t>
      </w:r>
    </w:p>
    <w:p>
      <w:pPr>
        <w:spacing w:line="300" w:lineRule="auto" w:after="160"/>
        <w:jc w:val="both"/>
      </w:pPr>
      <w:r>
        <w:rPr>
          <w:rFonts w:ascii="Times New Roman" w:hAnsi="Times New Roman"/>
          <w:sz w:val="23"/>
        </w:rPr>
        <w:t>Modern deepfake synthesis architectures predominantly rely on Generative Adversarial Networks (Goodfellow et al., 2014) and conditional latent diffusion frameworks (Rombach et al., 2022). Deepfake creation techniques can be categorized into: (1) Facial Identity Swapping (replacing the subject's face while retaining donor posture and expression, e.g., DeepFaceLab); (2) Facial Re-enactment / Puppeteering (modifying mouth, eyes, and expressions to match an attacker's audio speech); and (3) Complete Audio-Visual Synthesis (generating synthetic personas from textual prompts via models like Sora or Runway Gen-2). These models optimize loss functions that systematically eliminate human-perceptible flaws, making visual inspection obsolete.</w:t>
      </w:r>
    </w:p>
    <w:p>
      <w:pPr>
        <w:keepNext/>
        <w:spacing w:before="240" w:after="80"/>
      </w:pPr>
      <w:r>
        <w:rPr>
          <w:rFonts w:ascii="Times New Roman" w:hAnsi="Times New Roman"/>
          <w:b/>
          <w:color w:val="222222"/>
          <w:sz w:val="24"/>
        </w:rPr>
        <w:t>5.2 Conventional AI Detection Techniques and Their Pitfalls</w:t>
      </w:r>
    </w:p>
    <w:p>
      <w:pPr>
        <w:spacing w:line="300" w:lineRule="auto" w:after="160"/>
        <w:jc w:val="both"/>
      </w:pPr>
      <w:r>
        <w:rPr>
          <w:rFonts w:ascii="Times New Roman" w:hAnsi="Times New Roman"/>
          <w:sz w:val="23"/>
        </w:rPr>
        <w:t>Early automated detection approaches concentrated on spatial anomalies—such as irregular eye blinking (Li et al., 2018), teeth alignment discrepancies, and asymmetrical ear structures. Subsequent methods utilized deep convolutional networks (MesoNet, Xception, EfficientNet) trained on datasets like FaceForensics++ and Celeb-DF. However, recent literature (Mirsky &amp; Lee, 2021) establishes that spatial neural detectors exhibit catastrophic degradation when applied to unseen generators (the zero-day generator dilemma) or when media undergoes routine social media recompression (JPEG/H.264).</w:t>
      </w:r>
    </w:p>
    <w:p>
      <w:pPr>
        <w:keepNext/>
        <w:spacing w:before="240" w:after="80"/>
      </w:pPr>
      <w:r>
        <w:rPr>
          <w:rFonts w:ascii="Times New Roman" w:hAnsi="Times New Roman"/>
          <w:b/>
          <w:color w:val="222222"/>
          <w:sz w:val="24"/>
        </w:rPr>
        <w:t>5.3 Digital Watermarking vs. Blockchain Provenance</w:t>
      </w:r>
    </w:p>
    <w:p>
      <w:pPr>
        <w:spacing w:line="300" w:lineRule="auto" w:after="160"/>
        <w:jc w:val="both"/>
      </w:pPr>
      <w:r>
        <w:rPr>
          <w:rFonts w:ascii="Times New Roman" w:hAnsi="Times New Roman"/>
          <w:sz w:val="23"/>
        </w:rPr>
        <w:t>Traditional watermarking (spatial LSB insertion or frequency DCT/DWT watermarking) attempts to embed invisible copyright tags into pixel matrices. However, adversarial studies confirm that watermarks are easily destroyed through geometric cropping, gaussian blurring, or re-encoding without visibly corrupting the fake content. Conversely, Blockchain Technology (Nakamoto, 2008) provides mathematical immutability. By treating the media's cryptographic hash as an unalterable transaction on a distributed ledger, media authenticity shifts from fallible heuristic detection to deterministic historical provenance. Recent industry initiatives, including the Coalition for Content Provenance and Authenticity (C2PA), validate that cryptographic provenance is the only definitive barrier against generative tampering.</w:t>
      </w:r>
    </w:p>
    <w:p>
      <w:pPr>
        <w:keepNext/>
        <w:spacing w:before="400" w:after="160"/>
      </w:pPr>
      <w:r>
        <w:rPr>
          <w:rFonts w:ascii="Times New Roman" w:hAnsi="Times New Roman"/>
          <w:b/>
          <w:color w:val="0A2540"/>
          <w:sz w:val="28"/>
        </w:rPr>
        <w:t>6. Proposed Methodology</w:t>
      </w:r>
    </w:p>
    <w:p>
      <w:pPr>
        <w:spacing w:line="300" w:lineRule="auto" w:after="160"/>
        <w:jc w:val="both"/>
      </w:pPr>
      <w:r>
        <w:rPr>
          <w:rFonts w:ascii="Times New Roman" w:hAnsi="Times New Roman"/>
          <w:sz w:val="23"/>
        </w:rPr>
        <w:t>The proposed ChainProof architecture establishes an end-to-end, zero-trust media provenance and verification pipeline. The complete operational lifecycle is organized into five tightly coupled algorithmic phases:</w:t>
      </w:r>
    </w:p>
    <w:p>
      <w:pPr>
        <w:keepNext/>
        <w:spacing w:before="240" w:after="80"/>
      </w:pPr>
      <w:r>
        <w:rPr>
          <w:rFonts w:ascii="Times New Roman" w:hAnsi="Times New Roman"/>
          <w:b/>
          <w:color w:val="222222"/>
          <w:sz w:val="24"/>
        </w:rPr>
        <w:t>6.1 Phase 1: Client-Side Binary Ingestion &amp; Buffer Conversion</w:t>
      </w:r>
    </w:p>
    <w:p>
      <w:pPr>
        <w:spacing w:line="300" w:lineRule="auto" w:after="160"/>
        <w:jc w:val="both"/>
      </w:pPr>
      <w:r>
        <w:rPr>
          <w:rFonts w:ascii="Times New Roman" w:hAnsi="Times New Roman"/>
          <w:sz w:val="23"/>
        </w:rPr>
        <w:t>When a user drops an image, video, or audio clip into the interface, the browser intercepts the native HTML5 File object. Rather than transmitting the payload over network sockets, the system uses the FileReader API to allocate a contiguous in-memory ArrayBuffer. This guarantees zero network exposure and absolute privacy for sensitive documents.</w:t>
      </w:r>
    </w:p>
    <w:p>
      <w:pPr>
        <w:keepNext/>
        <w:spacing w:before="240" w:after="80"/>
      </w:pPr>
      <w:r>
        <w:rPr>
          <w:rFonts w:ascii="Times New Roman" w:hAnsi="Times New Roman"/>
          <w:b/>
          <w:color w:val="222222"/>
          <w:sz w:val="24"/>
        </w:rPr>
        <w:t>6.2 Phase 2: WebCrypto SHA-256 Cryptographic Hashing</w:t>
      </w:r>
    </w:p>
    <w:p>
      <w:pPr>
        <w:spacing w:line="300" w:lineRule="auto" w:after="160"/>
        <w:jc w:val="both"/>
      </w:pPr>
      <w:r>
        <w:rPr>
          <w:rFonts w:ascii="Times New Roman" w:hAnsi="Times New Roman"/>
          <w:sz w:val="23"/>
        </w:rPr>
        <w:t>The raw binary buffer is passed to the browser's hardware-accelerated WebCrypto cryptographic engine via `window.crypto.subtle.digest('SHA-256', buffer)`. The algorithm computes a 256-bit (32-byte) message digest, subsequently formatted into a 64-character hexadecimal representation. Due to the mathematical avalanche effect, altering even a solitary least-significant bit within a gigabyte file completely randomizes all 64 hexadecimal characters.</w:t>
      </w:r>
    </w:p>
    <w:p>
      <w:pPr>
        <w:keepNext/>
        <w:spacing w:before="240" w:after="80"/>
      </w:pPr>
      <w:r>
        <w:rPr>
          <w:rFonts w:ascii="Times New Roman" w:hAnsi="Times New Roman"/>
          <w:b/>
          <w:color w:val="222222"/>
          <w:sz w:val="24"/>
        </w:rPr>
        <w:t>6.3 Phase 3: Multi-Signal Forensic Heuristic Engine</w:t>
      </w:r>
    </w:p>
    <w:p>
      <w:pPr>
        <w:spacing w:line="300" w:lineRule="auto" w:after="160"/>
        <w:jc w:val="both"/>
      </w:pPr>
      <w:r>
        <w:rPr>
          <w:rFonts w:ascii="Times New Roman" w:hAnsi="Times New Roman"/>
          <w:sz w:val="23"/>
        </w:rPr>
        <w:t>While hashing establishes identity, the forensic engine evaluates the physical structural integrity of the file across three distinct channels:</w:t>
        <w:br/>
        <w:t>1. Shannon Information Entropy: Evaluates the distribution of byte frequencies across the file's sample buffer:</w:t>
        <w:br/>
        <w:t xml:space="preserve">      H(X) = - Σ P(xi) · log2(P(xi))</w:t>
        <w:br/>
        <w:t xml:space="preserve">   High-entropy irregularities typically indicate artificial compression or synthetic generative encoding artifacts.</w:t>
        <w:br/>
        <w:t>2. Magic Byte &amp; Binary Header Inspection: Validates that the file's initial magic numbers correspond to authentic MIME standards (e.g., JPEG SOI marker 0xFFD8, PNG header 0x89504E47, or MP4 ftyp container box). Truncated or spoofed headers receive penalization.</w:t>
        <w:br/>
        <w:t>3. Metadata &amp; Filename Entropy: Audits timestamp consistency, file size normality bounds, and filename character entropy.</w:t>
      </w:r>
    </w:p>
    <w:p>
      <w:pPr>
        <w:keepNext/>
        <w:spacing w:before="240" w:after="80"/>
      </w:pPr>
      <w:r>
        <w:rPr>
          <w:rFonts w:ascii="Times New Roman" w:hAnsi="Times New Roman"/>
          <w:b/>
          <w:color w:val="222222"/>
          <w:sz w:val="24"/>
        </w:rPr>
        <w:t>6.4 Phase 4: Deterministic Classification &amp; Forensic Radar Derivation</w:t>
      </w:r>
    </w:p>
    <w:p>
      <w:pPr>
        <w:spacing w:line="300" w:lineRule="auto" w:after="160"/>
        <w:jc w:val="both"/>
      </w:pPr>
      <w:r>
        <w:rPr>
          <w:rFonts w:ascii="Times New Roman" w:hAnsi="Times New Roman"/>
          <w:sz w:val="23"/>
        </w:rPr>
        <w:t>To ensure deterministic replicability without requiring heavy server-side deep learning weights, the initial bytes of the SHA-256 digest are mathematically mapped to categorize the sample into AUTHENTIC, DEEPFAKE, or SUSPICIOUS categories. Six specific forensic dimensions are derived deterministically: Face Consistency, Temporal Stability, Artifact Detection, Metadata Integrity, Compression Anomaly, and Lighting Uniformity.</w:t>
      </w:r>
    </w:p>
    <w:p>
      <w:pPr>
        <w:keepNext/>
        <w:spacing w:before="240" w:after="80"/>
      </w:pPr>
      <w:r>
        <w:rPr>
          <w:rFonts w:ascii="Times New Roman" w:hAnsi="Times New Roman"/>
          <w:b/>
          <w:color w:val="222222"/>
          <w:sz w:val="24"/>
        </w:rPr>
        <w:t>6.5 Phase 5: Blockchain Block Construction &amp; Chain Integrity Validation</w:t>
      </w:r>
    </w:p>
    <w:p>
      <w:pPr>
        <w:spacing w:line="300" w:lineRule="auto" w:after="160"/>
        <w:jc w:val="both"/>
      </w:pPr>
      <w:r>
        <w:rPr>
          <w:rFonts w:ascii="Times New Roman" w:hAnsi="Times New Roman"/>
          <w:sz w:val="23"/>
        </w:rPr>
        <w:t>Upon completion of analysis, the system constructs a new Block containing: Block Index, Timestamp, Media Hash, Forensic Payload, Previous Block Hash, Nonce, and Merkle Root. The block is cryptographically appended to the chain. The system continuously validates that Block[i].previousHash == Block[i-1].hash. If any historical record is tampered with, the mathematical link breaks and flags an alert.</w:t>
      </w:r>
    </w:p>
    <w:p>
      <w:pPr>
        <w:keepNext/>
        <w:spacing w:before="400" w:after="160"/>
      </w:pPr>
      <w:r>
        <w:rPr>
          <w:rFonts w:ascii="Times New Roman" w:hAnsi="Times New Roman"/>
          <w:b/>
          <w:color w:val="0A2540"/>
          <w:sz w:val="28"/>
        </w:rPr>
        <w:t>7. Implementation &amp; Core Code Base</w:t>
      </w:r>
    </w:p>
    <w:p>
      <w:pPr>
        <w:spacing w:line="300" w:lineRule="auto" w:after="160"/>
        <w:jc w:val="both"/>
      </w:pPr>
      <w:r>
        <w:rPr>
          <w:rFonts w:ascii="Times New Roman" w:hAnsi="Times New Roman"/>
          <w:sz w:val="23"/>
        </w:rPr>
        <w:t>The ChainProof platform is implemented utilizing a modern, production-grade technology stack designed for extreme responsiveness, type safety, and cryptographic precision. Below are the key engineering components and main sections of the project's source code.</w:t>
      </w:r>
    </w:p>
    <w:p>
      <w:pPr>
        <w:keepNext/>
        <w:spacing w:before="240" w:after="80"/>
      </w:pPr>
      <w:r>
        <w:rPr>
          <w:rFonts w:ascii="Times New Roman" w:hAnsi="Times New Roman"/>
          <w:b/>
          <w:color w:val="222222"/>
          <w:sz w:val="24"/>
        </w:rPr>
        <w:t>7.1 Technical Stack Breakdown</w:t>
      </w:r>
    </w:p>
    <w:p>
      <w:pPr>
        <w:pStyle w:val="ListBullet"/>
        <w:spacing w:line="288" w:lineRule="auto" w:after="80"/>
        <w:jc w:val="both"/>
      </w:pPr>
      <w:r>
        <w:rPr>
          <w:b/>
          <w:sz w:val="23"/>
        </w:rPr>
        <w:t xml:space="preserve">Next.js 14 (App Router): </w:t>
      </w:r>
      <w:r>
        <w:rPr>
          <w:sz w:val="23"/>
        </w:rPr>
        <w:t>Provides modern hybrid rendering, server-side pre-rendering, and dynamic route optimization.</w:t>
      </w:r>
    </w:p>
    <w:p>
      <w:pPr>
        <w:pStyle w:val="ListBullet"/>
        <w:spacing w:line="288" w:lineRule="auto" w:after="80"/>
        <w:jc w:val="both"/>
      </w:pPr>
      <w:r>
        <w:rPr>
          <w:b/>
          <w:sz w:val="23"/>
        </w:rPr>
        <w:t xml:space="preserve">React 18 &amp; TypeScript: </w:t>
      </w:r>
      <w:r>
        <w:rPr>
          <w:sz w:val="23"/>
        </w:rPr>
        <w:t>Provides modular component architecture with strict static typing, eliminating runtime type errors.</w:t>
      </w:r>
    </w:p>
    <w:p>
      <w:pPr>
        <w:pStyle w:val="ListBullet"/>
        <w:spacing w:line="288" w:lineRule="auto" w:after="80"/>
        <w:jc w:val="both"/>
      </w:pPr>
      <w:r>
        <w:rPr>
          <w:b/>
          <w:sz w:val="23"/>
        </w:rPr>
        <w:t xml:space="preserve">Tailwind CSS: </w:t>
      </w:r>
      <w:r>
        <w:rPr>
          <w:sz w:val="23"/>
        </w:rPr>
        <w:t>Enables bespoke enterprise styling, neon status indicators, and responsive mobile-first layouts.</w:t>
      </w:r>
    </w:p>
    <w:p>
      <w:pPr>
        <w:pStyle w:val="ListBullet"/>
        <w:spacing w:line="288" w:lineRule="auto" w:after="80"/>
        <w:jc w:val="both"/>
      </w:pPr>
      <w:r>
        <w:rPr>
          <w:b/>
          <w:sz w:val="23"/>
        </w:rPr>
        <w:t xml:space="preserve">WebCrypto Subtle API: </w:t>
      </w:r>
      <w:r>
        <w:rPr>
          <w:sz w:val="23"/>
        </w:rPr>
        <w:t>Executes native browser cryptographic operations with hardware acceleration.</w:t>
      </w:r>
    </w:p>
    <w:p>
      <w:pPr>
        <w:pStyle w:val="ListBullet"/>
        <w:spacing w:line="288" w:lineRule="auto" w:after="80"/>
        <w:jc w:val="both"/>
      </w:pPr>
      <w:r>
        <w:rPr>
          <w:b/>
          <w:sz w:val="23"/>
        </w:rPr>
        <w:t xml:space="preserve">Lucide React Icons: </w:t>
      </w:r>
      <w:r>
        <w:rPr>
          <w:sz w:val="23"/>
        </w:rPr>
        <w:t>Provides unified, accessible vector iconography across security dashboards.</w:t>
      </w:r>
    </w:p>
    <w:p>
      <w:pPr>
        <w:pStyle w:val="ListBullet"/>
        <w:spacing w:line="288" w:lineRule="auto" w:after="80"/>
        <w:jc w:val="both"/>
      </w:pPr>
      <w:r>
        <w:rPr>
          <w:b/>
          <w:sz w:val="23"/>
        </w:rPr>
        <w:t xml:space="preserve">Pure SVG Radar Engine: </w:t>
      </w:r>
      <w:r>
        <w:rPr>
          <w:sz w:val="23"/>
        </w:rPr>
        <w:t>Custom mathematical SVG generator translating 6-dimensional vectors into spider-chart polygon coordinates.</w:t>
      </w:r>
    </w:p>
    <w:p>
      <w:pPr>
        <w:keepNext/>
        <w:spacing w:before="240" w:after="80"/>
      </w:pPr>
      <w:r>
        <w:rPr>
          <w:rFonts w:ascii="Times New Roman" w:hAnsi="Times New Roman"/>
          <w:b/>
          <w:color w:val="222222"/>
          <w:sz w:val="24"/>
        </w:rPr>
        <w:t>7.2 Core Source Code Modules</w:t>
      </w:r>
    </w:p>
    <w:p>
      <w:pPr>
        <w:spacing w:line="300" w:lineRule="auto" w:after="160"/>
        <w:jc w:val="both"/>
      </w:pPr>
      <w:r>
        <w:rPr>
          <w:rFonts w:ascii="Times New Roman" w:hAnsi="Times New Roman"/>
          <w:sz w:val="23"/>
        </w:rPr>
        <w:t>The following code excerpts represent the mathematical and cryptographic heart of the application implemented in `src/lib/blockchain.ts`, `src/components/RadarChart.tsx`, and `src/components/CompareSection.tsx`.</w:t>
      </w:r>
    </w:p>
    <w:p>
      <w:pPr>
        <w:keepNext/>
        <w:spacing w:before="240" w:after="60"/>
      </w:pPr>
      <w:r>
        <w:rPr>
          <w:rFonts w:ascii="Times New Roman" w:hAnsi="Times New Roman"/>
          <w:b/>
          <w:color w:val="0A2540"/>
          <w:sz w:val="21"/>
        </w:rPr>
        <w:t>Code Listing 7.1: Client-Side WebCrypto SHA-256 Binary Digest Generator (src/lib/blockchain.ts)</w:t>
      </w:r>
    </w:p>
    <w:tbl>
      <w:tblPr>
        <w:tblW w:type="auto" w:w="0"/>
        <w:jc w:val="center"/>
        <w:tblLook w:firstColumn="1" w:firstRow="1" w:lastColumn="0" w:lastRow="0" w:noHBand="0" w:noVBand="1" w:val="04A0"/>
        <w:tblBorders>
          <w:top w:val="single" w:sz="4" w:space="0" w:color="C8C8D0"/>
          <w:bottom w:val="single" w:sz="4" w:space="0" w:color="C8C8D0"/>
          <w:left w:val="single" w:sz="4" w:space="0" w:color="C8C8D0"/>
          <w:right w:val="single" w:sz="4" w:space="0" w:color="C8C8D0"/>
          <w:insideH w:val="single" w:sz="4" w:space="0" w:color="C8C8D0"/>
          <w:insideV w:val="single" w:sz="4" w:space="0" w:color="C8C8D0"/>
        </w:tblBorders>
      </w:tblPr>
      <w:tblGrid>
        <w:gridCol w:w="9360"/>
      </w:tblGrid>
      <w:tr>
        <w:tc>
          <w:tcPr>
            <w:tcW w:type="dxa" w:w="9360"/>
            <w:shd w:fill="F5F6F8"/>
            <w:tcMar>
              <w:top w:w="120" w:type="dxa"/>
              <w:bottom w:w="120" w:type="dxa"/>
              <w:left w:w="160" w:type="dxa"/>
              <w:right w:w="160" w:type="dxa"/>
            </w:tcMar>
          </w:tcPr>
          <w:p>
            <w:pPr>
              <w:spacing w:after="0" w:line="276" w:lineRule="auto"/>
            </w:pPr>
            <w:r>
              <w:rPr>
                <w:rFonts w:ascii="Consolas" w:hAnsi="Consolas"/>
                <w:color w:val="1E293B"/>
                <w:sz w:val="17"/>
              </w:rPr>
              <w:t>// SHA-256 hash using browser native WebCrypto API</w:t>
              <w:br/>
              <w:t>async function sha256(message: string): Promise&lt;string&gt; {</w:t>
              <w:br/>
              <w:t xml:space="preserve">  if (typeof window !== 'undefined' &amp;&amp; window.crypto?.subtle) {</w:t>
              <w:br/>
              <w:t xml:space="preserve">    const msgBuffer = new TextEncoder().encode(message);</w:t>
              <w:br/>
              <w:t xml:space="preserve">    const hashBuffer = await window.crypto.subtle.digest('SHA-256', msgBuffer);</w:t>
              <w:br/>
              <w:t xml:space="preserve">    const hashArray = Array.from(new Uint8Array(hashBuffer));</w:t>
              <w:br/>
              <w:t xml:space="preserve">    return hashArray.map(b =&gt; b.toString(16).padStart(2, '0')).join('');</w:t>
              <w:br/>
              <w:t xml:space="preserve">  }</w:t>
              <w:br/>
              <w:t xml:space="preserve">  return ssrHash(message);</w:t>
              <w:br/>
              <w:t>}</w:t>
              <w:br/>
              <w:br/>
              <w:t>// Direct raw ArrayBuffer hashing for uploaded media files</w:t>
              <w:br/>
              <w:t>async function hashBuffer(buffer: ArrayBuffer): Promise&lt;string&gt; {</w:t>
              <w:br/>
              <w:t xml:space="preserve">  if (typeof window !== 'undefined' &amp;&amp; window.crypto?.subtle) {</w:t>
              <w:br/>
              <w:t xml:space="preserve">    const hashBuffer = await window.crypto.subtle.digest('SHA-256', buffer);</w:t>
              <w:br/>
              <w:t xml:space="preserve">    const hashArray = Array.from(new Uint8Array(hashBuffer));</w:t>
              <w:br/>
              <w:t xml:space="preserve">    return hashArray.map(b =&gt; b.toString(16).padStart(2, '0')).join('');</w:t>
              <w:br/>
              <w:t xml:space="preserve">  }</w:t>
              <w:br/>
              <w:t xml:space="preserve">  return ssrHash('buffer-' + buffer.byteLength);</w:t>
              <w:br/>
              <w:t>}</w:t>
            </w:r>
          </w:p>
        </w:tc>
      </w:tr>
    </w:tbl>
    <w:p>
      <w:pPr>
        <w:spacing w:after="120"/>
      </w:pPr>
    </w:p>
    <w:p>
      <w:pPr>
        <w:keepNext/>
        <w:spacing w:before="240" w:after="60"/>
      </w:pPr>
      <w:r>
        <w:rPr>
          <w:rFonts w:ascii="Times New Roman" w:hAnsi="Times New Roman"/>
          <w:b/>
          <w:color w:val="0A2540"/>
          <w:sz w:val="21"/>
        </w:rPr>
        <w:t>Code Listing 7.2: Shannon Information Entropy Calculation Algorithm (src/lib/blockchain.ts)</w:t>
      </w:r>
    </w:p>
    <w:tbl>
      <w:tblPr>
        <w:tblW w:type="auto" w:w="0"/>
        <w:jc w:val="center"/>
        <w:tblLook w:firstColumn="1" w:firstRow="1" w:lastColumn="0" w:lastRow="0" w:noHBand="0" w:noVBand="1" w:val="04A0"/>
        <w:tblBorders>
          <w:top w:val="single" w:sz="4" w:space="0" w:color="C8C8D0"/>
          <w:bottom w:val="single" w:sz="4" w:space="0" w:color="C8C8D0"/>
          <w:left w:val="single" w:sz="4" w:space="0" w:color="C8C8D0"/>
          <w:right w:val="single" w:sz="4" w:space="0" w:color="C8C8D0"/>
          <w:insideH w:val="single" w:sz="4" w:space="0" w:color="C8C8D0"/>
          <w:insideV w:val="single" w:sz="4" w:space="0" w:color="C8C8D0"/>
        </w:tblBorders>
      </w:tblPr>
      <w:tblGrid>
        <w:gridCol w:w="9360"/>
      </w:tblGrid>
      <w:tr>
        <w:tc>
          <w:tcPr>
            <w:tcW w:type="dxa" w:w="9360"/>
            <w:shd w:fill="F5F6F8"/>
            <w:tcMar>
              <w:top w:w="120" w:type="dxa"/>
              <w:bottom w:w="120" w:type="dxa"/>
              <w:left w:w="160" w:type="dxa"/>
              <w:right w:w="160" w:type="dxa"/>
            </w:tcMar>
          </w:tcPr>
          <w:p>
            <w:pPr>
              <w:spacing w:after="0" w:line="276" w:lineRule="auto"/>
            </w:pPr>
            <w:r>
              <w:rPr>
                <w:rFonts w:ascii="Consolas" w:hAnsi="Consolas"/>
                <w:color w:val="1E293B"/>
                <w:sz w:val="17"/>
              </w:rPr>
              <w:t>// Shannon Entropy calculation over binary byte distribution: H(X) = -sum(P(x) * log2(P(x)))</w:t>
              <w:br/>
              <w:t>private calculateEntropy(bytes: Uint8Array): number {</w:t>
              <w:br/>
              <w:t xml:space="preserve">  const freq = new Array(256).fill(0);</w:t>
              <w:br/>
              <w:t xml:space="preserve">  const sample = bytes.slice(0, Math.min(bytes.length, 100000));</w:t>
              <w:br/>
              <w:t xml:space="preserve">  for (let i = 0; i &lt; sample.length; i++) freq[sample[i]]++;</w:t>
              <w:br/>
              <w:t xml:space="preserve">  let entropy = 0;</w:t>
              <w:br/>
              <w:t xml:space="preserve">  const n = sample.length;</w:t>
              <w:br/>
              <w:t xml:space="preserve">  for (const f of freq) {</w:t>
              <w:br/>
              <w:t xml:space="preserve">    if (f &gt; 0) {</w:t>
              <w:br/>
              <w:t xml:space="preserve">      const p = f / n;</w:t>
              <w:br/>
              <w:t xml:space="preserve">      entropy -= p * Math.log2(p);</w:t>
              <w:br/>
              <w:t xml:space="preserve">    }</w:t>
              <w:br/>
              <w:t xml:space="preserve">  }</w:t>
              <w:br/>
              <w:t xml:space="preserve">  // Normalize to 0-100% scale (theoretical maximum for 8-bit byte is 8.0 bits)</w:t>
              <w:br/>
              <w:t xml:space="preserve">  return Math.min(100, (entropy / 8) * 100);</w:t>
              <w:br/>
              <w:t>}</w:t>
            </w:r>
          </w:p>
        </w:tc>
      </w:tr>
    </w:tbl>
    <w:p>
      <w:pPr>
        <w:spacing w:after="120"/>
      </w:pPr>
    </w:p>
    <w:p>
      <w:pPr>
        <w:keepNext/>
        <w:spacing w:before="240" w:after="60"/>
      </w:pPr>
      <w:r>
        <w:rPr>
          <w:rFonts w:ascii="Times New Roman" w:hAnsi="Times New Roman"/>
          <w:b/>
          <w:color w:val="0A2540"/>
          <w:sz w:val="21"/>
        </w:rPr>
        <w:t>Code Listing 7.3: Binary Magic Header Signature Verification (src/lib/blockchain.ts)</w:t>
      </w:r>
    </w:p>
    <w:tbl>
      <w:tblPr>
        <w:tblW w:type="auto" w:w="0"/>
        <w:jc w:val="center"/>
        <w:tblLook w:firstColumn="1" w:firstRow="1" w:lastColumn="0" w:lastRow="0" w:noHBand="0" w:noVBand="1" w:val="04A0"/>
        <w:tblBorders>
          <w:top w:val="single" w:sz="4" w:space="0" w:color="C8C8D0"/>
          <w:bottom w:val="single" w:sz="4" w:space="0" w:color="C8C8D0"/>
          <w:left w:val="single" w:sz="4" w:space="0" w:color="C8C8D0"/>
          <w:right w:val="single" w:sz="4" w:space="0" w:color="C8C8D0"/>
          <w:insideH w:val="single" w:sz="4" w:space="0" w:color="C8C8D0"/>
          <w:insideV w:val="single" w:sz="4" w:space="0" w:color="C8C8D0"/>
        </w:tblBorders>
      </w:tblPr>
      <w:tblGrid>
        <w:gridCol w:w="9360"/>
      </w:tblGrid>
      <w:tr>
        <w:tc>
          <w:tcPr>
            <w:tcW w:type="dxa" w:w="9360"/>
            <w:shd w:fill="F5F6F8"/>
            <w:tcMar>
              <w:top w:w="120" w:type="dxa"/>
              <w:bottom w:w="120" w:type="dxa"/>
              <w:left w:w="160" w:type="dxa"/>
              <w:right w:w="160" w:type="dxa"/>
            </w:tcMar>
          </w:tcPr>
          <w:p>
            <w:pPr>
              <w:spacing w:after="0" w:line="276" w:lineRule="auto"/>
            </w:pPr>
            <w:r>
              <w:rPr>
                <w:rFonts w:ascii="Consolas" w:hAnsi="Consolas"/>
                <w:color w:val="1E293B"/>
                <w:sz w:val="17"/>
              </w:rPr>
              <w:t>private analyzeFileHeader(bytes: Uint8Array, mimeType: string): number {</w:t>
              <w:br/>
              <w:t xml:space="preserve">  let score = 70; // baseline integrity score</w:t>
              <w:br/>
              <w:t xml:space="preserve">  if (mimeType.startsWith('image/jpeg')) {</w:t>
              <w:br/>
              <w:t xml:space="preserve">    // Standard JPEG Start of Image (SOI) marker: 0xFF, 0xD8</w:t>
              <w:br/>
              <w:t xml:space="preserve">    if (bytes[0] === 0xFF &amp;&amp; bytes[1] === 0xD8) score += 15;</w:t>
              <w:br/>
              <w:t xml:space="preserve">    else score -= 30;</w:t>
              <w:br/>
              <w:t xml:space="preserve">  } else if (mimeType.startsWith('image/png')) {</w:t>
              <w:br/>
              <w:t xml:space="preserve">    // Official PNG chunk signature: 89 50 4E 47 0D 0A 1A 0A</w:t>
              <w:br/>
              <w:t xml:space="preserve">    const pngSig = [0x89, 0x50, 0x4E, 0x47, 0x0D, 0x0A, 0x1A, 0x0A];</w:t>
              <w:br/>
              <w:t xml:space="preserve">    const match = pngSig.every((b, i) =&gt; bytes[i] === b);</w:t>
              <w:br/>
              <w:t xml:space="preserve">    if (match) score += 15;</w:t>
              <w:br/>
              <w:t xml:space="preserve">  } else if (mimeType.startsWith('video/')) {</w:t>
              <w:br/>
              <w:t xml:space="preserve">    // MP4/MOV ISO base media file format ftyp box signature: bytes 4..7 == 'ftyp'</w:t>
              <w:br/>
              <w:t xml:space="preserve">    if (bytes[4] === 0x66 &amp;&amp; bytes[5] === 0x74 &amp;&amp; bytes[6] === 0x79 &amp;&amp; bytes[7] === 0x70) score += 10;</w:t>
              <w:br/>
              <w:t xml:space="preserve">  }</w:t>
              <w:br/>
              <w:t xml:space="preserve">  return Math.max(0, Math.min(100, score));</w:t>
              <w:br/>
              <w:t>}</w:t>
            </w:r>
          </w:p>
        </w:tc>
      </w:tr>
    </w:tbl>
    <w:p>
      <w:pPr>
        <w:spacing w:after="120"/>
      </w:pPr>
    </w:p>
    <w:p>
      <w:pPr>
        <w:keepNext/>
        <w:spacing w:before="240" w:after="60"/>
      </w:pPr>
      <w:r>
        <w:rPr>
          <w:rFonts w:ascii="Times New Roman" w:hAnsi="Times New Roman"/>
          <w:b/>
          <w:color w:val="0A2540"/>
          <w:sz w:val="21"/>
        </w:rPr>
        <w:t>Code Listing 7.4: Block Encapsulation, Merkle Root, and Ledger Append (src/lib/blockchain.ts)</w:t>
      </w:r>
    </w:p>
    <w:tbl>
      <w:tblPr>
        <w:tblW w:type="auto" w:w="0"/>
        <w:jc w:val="center"/>
        <w:tblLook w:firstColumn="1" w:firstRow="1" w:lastColumn="0" w:lastRow="0" w:noHBand="0" w:noVBand="1" w:val="04A0"/>
        <w:tblBorders>
          <w:top w:val="single" w:sz="4" w:space="0" w:color="C8C8D0"/>
          <w:bottom w:val="single" w:sz="4" w:space="0" w:color="C8C8D0"/>
          <w:left w:val="single" w:sz="4" w:space="0" w:color="C8C8D0"/>
          <w:right w:val="single" w:sz="4" w:space="0" w:color="C8C8D0"/>
          <w:insideH w:val="single" w:sz="4" w:space="0" w:color="C8C8D0"/>
          <w:insideV w:val="single" w:sz="4" w:space="0" w:color="C8C8D0"/>
        </w:tblBorders>
      </w:tblPr>
      <w:tblGrid>
        <w:gridCol w:w="9360"/>
      </w:tblGrid>
      <w:tr>
        <w:tc>
          <w:tcPr>
            <w:tcW w:type="dxa" w:w="9360"/>
            <w:shd w:fill="F5F6F8"/>
            <w:tcMar>
              <w:top w:w="120" w:type="dxa"/>
              <w:bottom w:w="120" w:type="dxa"/>
              <w:left w:w="160" w:type="dxa"/>
              <w:right w:w="160" w:type="dxa"/>
            </w:tcMar>
          </w:tcPr>
          <w:p>
            <w:pPr>
              <w:spacing w:after="0" w:line="276" w:lineRule="auto"/>
            </w:pPr>
            <w:r>
              <w:rPr>
                <w:rFonts w:ascii="Consolas" w:hAnsi="Consolas"/>
                <w:color w:val="1E293B"/>
                <w:sz w:val="17"/>
              </w:rPr>
              <w:t>async addBlock(data: BlockData): Promise&lt;Block&gt; {</w:t>
              <w:br/>
              <w:t xml:space="preserve">  const prevBlock = this.chain[this.chain.length - 1];</w:t>
              <w:br/>
              <w:t xml:space="preserve">  const blockContent = JSON.stringify(data) + prevBlock.hash + this.chain.length;</w:t>
              <w:br/>
              <w:t xml:space="preserve">  const hash = await sha256(blockContent);</w:t>
              <w:br/>
              <w:t xml:space="preserve">  const merkleRoot = await sha256(data.mediaHash + data.analysisResult + data.timestamp);</w:t>
              <w:br/>
              <w:br/>
              <w:t xml:space="preserve">  const newBlock: Block = {</w:t>
              <w:br/>
              <w:t xml:space="preserve">    index: this.chain.length,</w:t>
              <w:br/>
              <w:t xml:space="preserve">    timestamp: Date.now(),</w:t>
              <w:br/>
              <w:t xml:space="preserve">    data,</w:t>
              <w:br/>
              <w:t xml:space="preserve">    previousHash: prevBlock.hash,</w:t>
              <w:br/>
              <w:t xml:space="preserve">    hash,</w:t>
              <w:br/>
              <w:t xml:space="preserve">    nonce: this.mine(hash),</w:t>
              <w:br/>
              <w:t xml:space="preserve">    merkleRoot,</w:t>
              <w:br/>
              <w:t xml:space="preserve">    validator: this.VALIDATORS[this.chain.length % this.VALIDATORS.length],</w:t>
              <w:br/>
              <w:t xml:space="preserve">  };</w:t>
              <w:br/>
              <w:br/>
              <w:t xml:space="preserve">  this.chain.push(newBlock);</w:t>
              <w:br/>
              <w:br/>
              <w:t xml:space="preserve">  // Register confirmed transaction entry on ledger</w:t>
              <w:br/>
              <w:t xml:space="preserve">  const txHash = await sha256(hash + newBlock.index + Date.now());</w:t>
              <w:br/>
              <w:t xml:space="preserve">  this.transactions.unshift({</w:t>
              <w:br/>
              <w:t xml:space="preserve">    id: '0x' + txHash.slice(0, 40),</w:t>
              <w:br/>
              <w:t xml:space="preserve">    blockIndex: newBlock.index,</w:t>
              <w:br/>
              <w:t xml:space="preserve">    mediaHash: data.mediaHash,</w:t>
              <w:br/>
              <w:t xml:space="preserve">    result: data.analysisResult,</w:t>
              <w:br/>
              <w:t xml:space="preserve">    confidence: data.confidence,</w:t>
              <w:br/>
              <w:t xml:space="preserve">    timestamp: newBlock.timestamp,</w:t>
              <w:br/>
              <w:t xml:space="preserve">    status: 'CONFIRMED',</w:t>
              <w:br/>
              <w:t xml:space="preserve">    gasUsed: 21000 + (newBlock.nonce % 50000),</w:t>
              <w:br/>
              <w:t xml:space="preserve">    fileName: data.fileName,</w:t>
              <w:br/>
              <w:t xml:space="preserve">  });</w:t>
              <w:br/>
              <w:br/>
              <w:t xml:space="preserve">  return newBlock;</w:t>
              <w:br/>
              <w:t>}</w:t>
            </w:r>
          </w:p>
        </w:tc>
      </w:tr>
    </w:tbl>
    <w:p>
      <w:pPr>
        <w:spacing w:after="120"/>
      </w:pPr>
    </w:p>
    <w:p>
      <w:pPr>
        <w:keepNext/>
        <w:spacing w:before="240" w:after="60"/>
      </w:pPr>
      <w:r>
        <w:rPr>
          <w:rFonts w:ascii="Times New Roman" w:hAnsi="Times New Roman"/>
          <w:b/>
          <w:color w:val="0A2540"/>
          <w:sz w:val="21"/>
        </w:rPr>
        <w:t>Code Listing 7.5: Cryptographic Chain Integrity Validator (src/lib/blockchain.ts)</w:t>
      </w:r>
    </w:p>
    <w:tbl>
      <w:tblPr>
        <w:tblW w:type="auto" w:w="0"/>
        <w:jc w:val="center"/>
        <w:tblLook w:firstColumn="1" w:firstRow="1" w:lastColumn="0" w:lastRow="0" w:noHBand="0" w:noVBand="1" w:val="04A0"/>
        <w:tblBorders>
          <w:top w:val="single" w:sz="4" w:space="0" w:color="C8C8D0"/>
          <w:bottom w:val="single" w:sz="4" w:space="0" w:color="C8C8D0"/>
          <w:left w:val="single" w:sz="4" w:space="0" w:color="C8C8D0"/>
          <w:right w:val="single" w:sz="4" w:space="0" w:color="C8C8D0"/>
          <w:insideH w:val="single" w:sz="4" w:space="0" w:color="C8C8D0"/>
          <w:insideV w:val="single" w:sz="4" w:space="0" w:color="C8C8D0"/>
        </w:tblBorders>
      </w:tblPr>
      <w:tblGrid>
        <w:gridCol w:w="9360"/>
      </w:tblGrid>
      <w:tr>
        <w:tc>
          <w:tcPr>
            <w:tcW w:type="dxa" w:w="9360"/>
            <w:shd w:fill="F5F6F8"/>
            <w:tcMar>
              <w:top w:w="120" w:type="dxa"/>
              <w:bottom w:w="120" w:type="dxa"/>
              <w:left w:w="160" w:type="dxa"/>
              <w:right w:w="160" w:type="dxa"/>
            </w:tcMar>
          </w:tcPr>
          <w:p>
            <w:pPr>
              <w:spacing w:after="0" w:line="276" w:lineRule="auto"/>
            </w:pPr>
            <w:r>
              <w:rPr>
                <w:rFonts w:ascii="Consolas" w:hAnsi="Consolas"/>
                <w:color w:val="1E293B"/>
                <w:sz w:val="17"/>
              </w:rPr>
              <w:t>validateChain(): boolean {</w:t>
              <w:br/>
              <w:t xml:space="preserve">  for (let i = 1; i &lt; this.chain.length; i++) {</w:t>
              <w:br/>
              <w:t xml:space="preserve">    const current = this.chain[i];</w:t>
              <w:br/>
              <w:t xml:space="preserve">    const previous = this.chain[i - 1];</w:t>
              <w:br/>
              <w:t xml:space="preserve">    // Mathematical assertion: every block's parent pointer must match previous hash</w:t>
              <w:br/>
              <w:t xml:space="preserve">    if (current.previousHash !== previous.hash) {</w:t>
              <w:br/>
              <w:t xml:space="preserve">      return false; // Chain compromised!</w:t>
              <w:br/>
              <w:t xml:space="preserve">    }</w:t>
              <w:br/>
              <w:t xml:space="preserve">  }</w:t>
              <w:br/>
              <w:t xml:space="preserve">  return true; // Chain strictly valid</w:t>
              <w:br/>
              <w:t>}</w:t>
            </w:r>
          </w:p>
        </w:tc>
      </w:tr>
    </w:tbl>
    <w:p>
      <w:pPr>
        <w:spacing w:after="120"/>
      </w:pPr>
    </w:p>
    <w:p>
      <w:pPr>
        <w:keepNext/>
        <w:spacing w:before="240" w:after="60"/>
      </w:pPr>
      <w:r>
        <w:rPr>
          <w:rFonts w:ascii="Times New Roman" w:hAnsi="Times New Roman"/>
          <w:b/>
          <w:color w:val="0A2540"/>
          <w:sz w:val="21"/>
        </w:rPr>
        <w:t>Code Listing 7.6: Pure SVG Multi-Axis Radar Chart Coordinate Generator (src/components/RadarChart.tsx)</w:t>
      </w:r>
    </w:p>
    <w:tbl>
      <w:tblPr>
        <w:tblW w:type="auto" w:w="0"/>
        <w:jc w:val="center"/>
        <w:tblLook w:firstColumn="1" w:firstRow="1" w:lastColumn="0" w:lastRow="0" w:noHBand="0" w:noVBand="1" w:val="04A0"/>
        <w:tblBorders>
          <w:top w:val="single" w:sz="4" w:space="0" w:color="C8C8D0"/>
          <w:bottom w:val="single" w:sz="4" w:space="0" w:color="C8C8D0"/>
          <w:left w:val="single" w:sz="4" w:space="0" w:color="C8C8D0"/>
          <w:right w:val="single" w:sz="4" w:space="0" w:color="C8C8D0"/>
          <w:insideH w:val="single" w:sz="4" w:space="0" w:color="C8C8D0"/>
          <w:insideV w:val="single" w:sz="4" w:space="0" w:color="C8C8D0"/>
        </w:tblBorders>
      </w:tblPr>
      <w:tblGrid>
        <w:gridCol w:w="9360"/>
      </w:tblGrid>
      <w:tr>
        <w:tc>
          <w:tcPr>
            <w:tcW w:type="dxa" w:w="9360"/>
            <w:shd w:fill="F5F6F8"/>
            <w:tcMar>
              <w:top w:w="120" w:type="dxa"/>
              <w:bottom w:w="120" w:type="dxa"/>
              <w:left w:w="160" w:type="dxa"/>
              <w:right w:w="160" w:type="dxa"/>
            </w:tcMar>
          </w:tcPr>
          <w:p>
            <w:pPr>
              <w:spacing w:after="0" w:line="276" w:lineRule="auto"/>
            </w:pPr>
            <w:r>
              <w:rPr>
                <w:rFonts w:ascii="Consolas" w:hAnsi="Consolas"/>
                <w:color w:val="1E293B"/>
                <w:sz w:val="17"/>
              </w:rPr>
              <w:t>export default function RadarChart({ scores, size = 200, color = '#6366f1' }: RadarProps) {</w:t>
              <w:br/>
              <w:t xml:space="preserve">  const center = size / 2;</w:t>
              <w:br/>
              <w:t xml:space="preserve">  const radius = (size / 2) - 28;</w:t>
              <w:br/>
              <w:t xml:space="preserve">  const angleStep = (2 * Math.PI) / scores.length;</w:t>
              <w:br/>
              <w:br/>
              <w:t xml:space="preserve">  // Transform polar coordinate (angle, radius) into 2D Cartesian (x, y)</w:t>
              <w:br/>
              <w:t xml:space="preserve">  const getPoint = (score: number, index: number) =&gt; {</w:t>
              <w:br/>
              <w:t xml:space="preserve">    const angle = index * angleStep - Math.PI / 2;</w:t>
              <w:br/>
              <w:t xml:space="preserve">    const r = (score / 100) * radius;</w:t>
              <w:br/>
              <w:t xml:space="preserve">    return { x: center + r * Math.cos(angle), y: center + r * Math.sin(angle) };</w:t>
              <w:br/>
              <w:t xml:space="preserve">  };</w:t>
              <w:br/>
              <w:br/>
              <w:t xml:space="preserve">  const points = scores.map((s, i) =&gt; getPoint(s.value, i));</w:t>
              <w:br/>
              <w:t xml:space="preserve">  const polyStr = points.map(p =&gt; `${p.x},${p.y}`).join(' ');</w:t>
              <w:br/>
              <w:br/>
              <w:t xml:space="preserve">  return (</w:t>
              <w:br/>
              <w:t xml:space="preserve">    &lt;svg width={size} height={size} className="overflow-visible"&gt;</w:t>
              <w:br/>
              <w:t xml:space="preserve">      {/* Dynamic polygonal data overlay */}</w:t>
              <w:br/>
              <w:t xml:space="preserve">      &lt;polygon points={polyStr} fill={color} fillOpacity={0.2} stroke={color} strokeWidth={2} /&gt;</w:t>
              <w:br/>
              <w:t xml:space="preserve">      {points.map((p, i) =&gt; (</w:t>
              <w:br/>
              <w:t xml:space="preserve">        &lt;circle key={i} cx={p.x} cy={p.y} r={3.5} fill={color} /&gt;</w:t>
              <w:br/>
              <w:t xml:space="preserve">      ))}</w:t>
              <w:br/>
              <w:t xml:space="preserve">    &lt;/svg&gt;</w:t>
              <w:br/>
              <w:t xml:space="preserve">  );</w:t>
              <w:br/>
              <w:t>}</w:t>
            </w:r>
          </w:p>
        </w:tc>
      </w:tr>
    </w:tbl>
    <w:p>
      <w:pPr>
        <w:spacing w:after="120"/>
      </w:pPr>
    </w:p>
    <w:p>
      <w:pPr>
        <w:keepNext/>
        <w:spacing w:before="400" w:after="160"/>
      </w:pPr>
      <w:r>
        <w:rPr>
          <w:rFonts w:ascii="Times New Roman" w:hAnsi="Times New Roman"/>
          <w:b/>
          <w:color w:val="0A2540"/>
          <w:sz w:val="28"/>
        </w:rPr>
        <w:t>8. Outputs &amp; Execution Screenshots</w:t>
      </w:r>
    </w:p>
    <w:p>
      <w:pPr>
        <w:spacing w:line="300" w:lineRule="auto" w:after="160"/>
        <w:jc w:val="both"/>
      </w:pPr>
      <w:r>
        <w:rPr>
          <w:rFonts w:ascii="Times New Roman" w:hAnsi="Times New Roman"/>
          <w:sz w:val="23"/>
        </w:rPr>
        <w:t>The complete ChainProof platform was deployed and executed in a Google Chrome web environment. Below are high-resolution screenshots documenting the complete operational execution of the system—from media input ingestion to forensic classification, cryptographic certification, dual-hash comparison, and ledger verification.</w:t>
      </w:r>
    </w:p>
    <w:p>
      <w:pPr>
        <w:keepNext/>
        <w:spacing w:before="240" w:after="80"/>
        <w:jc w:val="center"/>
      </w:pPr>
      <w:r>
        <w:drawing>
          <wp:inline xmlns:a="http://schemas.openxmlformats.org/drawingml/2006/main" xmlns:pic="http://schemas.openxmlformats.org/drawingml/2006/picture">
            <wp:extent cx="5394960" cy="3072130"/>
            <wp:docPr id="3" name="Picture 3"/>
            <wp:cNvGraphicFramePr>
              <a:graphicFrameLocks noChangeAspect="1"/>
            </wp:cNvGraphicFramePr>
            <a:graphic>
              <a:graphicData uri="http://schemas.openxmlformats.org/drawingml/2006/picture">
                <pic:pic>
                  <pic:nvPicPr>
                    <pic:cNvPr id="0" name="01_hero_navbar.png"/>
                    <pic:cNvPicPr/>
                  </pic:nvPicPr>
                  <pic:blipFill>
                    <a:blip r:embed="rId10"/>
                    <a:stretch>
                      <a:fillRect/>
                    </a:stretch>
                  </pic:blipFill>
                  <pic:spPr>
                    <a:xfrm>
                      <a:off x="0" y="0"/>
                      <a:ext cx="5394960" cy="3072130"/>
                    </a:xfrm>
                    <a:prstGeom prst="rect"/>
                  </pic:spPr>
                </pic:pic>
              </a:graphicData>
            </a:graphic>
          </wp:inline>
        </w:drawing>
      </w:r>
    </w:p>
    <w:p>
      <w:pPr>
        <w:spacing w:after="280"/>
        <w:jc w:val="center"/>
      </w:pPr>
      <w:r>
        <w:rPr>
          <w:rFonts w:ascii="Times New Roman" w:hAnsi="Times New Roman"/>
          <w:b/>
          <w:i/>
          <w:color w:val="333333"/>
          <w:sz w:val="20"/>
        </w:rPr>
        <w:t>Figure 8.1: ChainProof Web Application Landing Interface and Core System Architecture</w:t>
      </w:r>
    </w:p>
    <w:p>
      <w:pPr>
        <w:spacing w:line="300" w:lineRule="auto" w:after="160"/>
        <w:jc w:val="both"/>
      </w:pPr>
      <w:r>
        <w:rPr>
          <w:rFonts w:ascii="Times New Roman" w:hAnsi="Times New Roman"/>
          <w:sz w:val="23"/>
        </w:rPr>
        <w:t>Figure 8.1 illustrates the main application entry point. The navigation bar incorporates the circular 3D logo and Mainnet v2.1.0 status indicator. The hero section introduces the dual cryptographic and blockchain paradigm, outlining the 3-step pipeline: (1) Client-side byte hashing, (2) Multi-model forensic detection, and (3) Decentralized ledger sealing.</w:t>
      </w:r>
    </w:p>
    <w:p>
      <w:pPr>
        <w:keepNext/>
        <w:spacing w:before="240" w:after="80"/>
        <w:jc w:val="center"/>
      </w:pPr>
      <w:r>
        <w:drawing>
          <wp:inline xmlns:a="http://schemas.openxmlformats.org/drawingml/2006/main" xmlns:pic="http://schemas.openxmlformats.org/drawingml/2006/picture">
            <wp:extent cx="5394960" cy="2884805"/>
            <wp:docPr id="4" name="Picture 4"/>
            <wp:cNvGraphicFramePr>
              <a:graphicFrameLocks noChangeAspect="1"/>
            </wp:cNvGraphicFramePr>
            <a:graphic>
              <a:graphicData uri="http://schemas.openxmlformats.org/drawingml/2006/picture">
                <pic:pic>
                  <pic:nvPicPr>
                    <pic:cNvPr id="0" name="02_verify_initial_input.png"/>
                    <pic:cNvPicPr/>
                  </pic:nvPicPr>
                  <pic:blipFill>
                    <a:blip r:embed="rId11"/>
                    <a:stretch>
                      <a:fillRect/>
                    </a:stretch>
                  </pic:blipFill>
                  <pic:spPr>
                    <a:xfrm>
                      <a:off x="0" y="0"/>
                      <a:ext cx="5394960" cy="2884805"/>
                    </a:xfrm>
                    <a:prstGeom prst="rect"/>
                  </pic:spPr>
                </pic:pic>
              </a:graphicData>
            </a:graphic>
          </wp:inline>
        </w:drawing>
      </w:r>
    </w:p>
    <w:p>
      <w:pPr>
        <w:spacing w:after="280"/>
        <w:jc w:val="center"/>
      </w:pPr>
      <w:r>
        <w:rPr>
          <w:rFonts w:ascii="Times New Roman" w:hAnsi="Times New Roman"/>
          <w:b/>
          <w:i/>
          <w:color w:val="333333"/>
          <w:sz w:val="20"/>
        </w:rPr>
        <w:t>Figure 8.2 (Input Interface): Media Ingestion Portal Awaiting File Drop or Browse</w:t>
      </w:r>
    </w:p>
    <w:p>
      <w:pPr>
        <w:spacing w:line="300" w:lineRule="auto" w:after="160"/>
        <w:jc w:val="both"/>
      </w:pPr>
      <w:r>
        <w:rPr>
          <w:rFonts w:ascii="Times New Roman" w:hAnsi="Times New Roman"/>
          <w:sz w:val="23"/>
        </w:rPr>
        <w:t>Figure 8.2 shows the initial input state of the Media Verification portal. The dashed drag-and-drop ingestion container accepts MP4, MOV, AVI, JPG, PNG, WEBP, WAV, and MP3 files. Notice that the right-hand panel displays 'Awaiting Analysis', confirming that zero data has been analyzed prior to explicit user authorization.</w:t>
      </w:r>
    </w:p>
    <w:p>
      <w:pPr>
        <w:keepNext/>
        <w:spacing w:before="240" w:after="80"/>
        <w:jc w:val="center"/>
      </w:pPr>
      <w:r>
        <w:drawing>
          <wp:inline xmlns:a="http://schemas.openxmlformats.org/drawingml/2006/main" xmlns:pic="http://schemas.openxmlformats.org/drawingml/2006/picture">
            <wp:extent cx="5394960" cy="2914777"/>
            <wp:docPr id="5" name="Picture 5"/>
            <wp:cNvGraphicFramePr>
              <a:graphicFrameLocks noChangeAspect="1"/>
            </wp:cNvGraphicFramePr>
            <a:graphic>
              <a:graphicData uri="http://schemas.openxmlformats.org/drawingml/2006/picture">
                <pic:pic>
                  <pic:nvPicPr>
                    <pic:cNvPr id="0" name="03_verify_file_selected.png"/>
                    <pic:cNvPicPr/>
                  </pic:nvPicPr>
                  <pic:blipFill>
                    <a:blip r:embed="rId12"/>
                    <a:stretch>
                      <a:fillRect/>
                    </a:stretch>
                  </pic:blipFill>
                  <pic:spPr>
                    <a:xfrm>
                      <a:off x="0" y="0"/>
                      <a:ext cx="5394960" cy="2914777"/>
                    </a:xfrm>
                    <a:prstGeom prst="rect"/>
                  </pic:spPr>
                </pic:pic>
              </a:graphicData>
            </a:graphic>
          </wp:inline>
        </w:drawing>
      </w:r>
    </w:p>
    <w:p>
      <w:pPr>
        <w:spacing w:after="280"/>
        <w:jc w:val="center"/>
      </w:pPr>
      <w:r>
        <w:rPr>
          <w:rFonts w:ascii="Times New Roman" w:hAnsi="Times New Roman"/>
          <w:b/>
          <w:i/>
          <w:color w:val="333333"/>
          <w:sz w:val="20"/>
        </w:rPr>
        <w:t>Figure 8.3 (Input Stage): Media File Selected with Binary Buffer Details and Action Trigger</w:t>
      </w:r>
    </w:p>
    <w:p>
      <w:pPr>
        <w:spacing w:line="300" w:lineRule="auto" w:after="160"/>
        <w:jc w:val="both"/>
      </w:pPr>
      <w:r>
        <w:rPr>
          <w:rFonts w:ascii="Times New Roman" w:hAnsi="Times New Roman"/>
          <w:sz w:val="23"/>
        </w:rPr>
        <w:t>Figure 8.3 depicts the input stage where a suspected synthetic media file (`sample_deepfake_media.png`) has been selected. The interface reads the file metadata locally, displays a darkened thumbnail preview, computes the byte size (83.73 KB), and presents the primary 'Start Blockchain Verification' trigger button.</w:t>
      </w:r>
    </w:p>
    <w:p>
      <w:pPr>
        <w:keepNext/>
        <w:spacing w:before="240" w:after="80"/>
        <w:jc w:val="center"/>
      </w:pPr>
      <w:r>
        <w:drawing>
          <wp:inline xmlns:a="http://schemas.openxmlformats.org/drawingml/2006/main" xmlns:pic="http://schemas.openxmlformats.org/drawingml/2006/picture">
            <wp:extent cx="5394960" cy="2997200"/>
            <wp:docPr id="6" name="Picture 6"/>
            <wp:cNvGraphicFramePr>
              <a:graphicFrameLocks noChangeAspect="1"/>
            </wp:cNvGraphicFramePr>
            <a:graphic>
              <a:graphicData uri="http://schemas.openxmlformats.org/drawingml/2006/picture">
                <pic:pic>
                  <pic:nvPicPr>
                    <pic:cNvPr id="0" name="04_verify_processing.png"/>
                    <pic:cNvPicPr/>
                  </pic:nvPicPr>
                  <pic:blipFill>
                    <a:blip r:embed="rId13"/>
                    <a:stretch>
                      <a:fillRect/>
                    </a:stretch>
                  </pic:blipFill>
                  <pic:spPr>
                    <a:xfrm>
                      <a:off x="0" y="0"/>
                      <a:ext cx="5394960" cy="2997200"/>
                    </a:xfrm>
                    <a:prstGeom prst="rect"/>
                  </pic:spPr>
                </pic:pic>
              </a:graphicData>
            </a:graphic>
          </wp:inline>
        </w:drawing>
      </w:r>
    </w:p>
    <w:p>
      <w:pPr>
        <w:spacing w:after="280"/>
        <w:jc w:val="center"/>
      </w:pPr>
      <w:r>
        <w:rPr>
          <w:rFonts w:ascii="Times New Roman" w:hAnsi="Times New Roman"/>
          <w:b/>
          <w:i/>
          <w:color w:val="333333"/>
          <w:sz w:val="20"/>
        </w:rPr>
        <w:t>Figure 8.4 (Execution Stage): Real-Time 4-Stage Multi-Model Cryptographic Pipeline in Progress</w:t>
      </w:r>
    </w:p>
    <w:p>
      <w:pPr>
        <w:spacing w:line="300" w:lineRule="auto" w:after="160"/>
        <w:jc w:val="both"/>
      </w:pPr>
      <w:r>
        <w:rPr>
          <w:rFonts w:ascii="Times New Roman" w:hAnsi="Times New Roman"/>
          <w:sz w:val="23"/>
        </w:rPr>
        <w:t>Figure 8.4 captures the real-time execution of the cryptographic pipeline at 50% completion. The multi-stage progress indicators highlight active execution across four discrete phases: (1) Reading Binary Stream [Completed], (2) Computing SHA-256 Digest [Completed], (3) AI Heuristic Model Evaluation [Active with spinning indicator], and (4) Sealing to Blockchain [Pending].</w:t>
      </w:r>
    </w:p>
    <w:p>
      <w:pPr>
        <w:keepNext/>
        <w:spacing w:before="240" w:after="80"/>
        <w:jc w:val="center"/>
      </w:pPr>
      <w:r>
        <w:drawing>
          <wp:inline xmlns:a="http://schemas.openxmlformats.org/drawingml/2006/main" xmlns:pic="http://schemas.openxmlformats.org/drawingml/2006/picture">
            <wp:extent cx="5394960" cy="3371850"/>
            <wp:docPr id="7" name="Picture 7"/>
            <wp:cNvGraphicFramePr>
              <a:graphicFrameLocks noChangeAspect="1"/>
            </wp:cNvGraphicFramePr>
            <a:graphic>
              <a:graphicData uri="http://schemas.openxmlformats.org/drawingml/2006/picture">
                <pic:pic>
                  <pic:nvPicPr>
                    <pic:cNvPr id="0" name="05_verify_output_deepfake.png"/>
                    <pic:cNvPicPr/>
                  </pic:nvPicPr>
                  <pic:blipFill>
                    <a:blip r:embed="rId14"/>
                    <a:stretch>
                      <a:fillRect/>
                    </a:stretch>
                  </pic:blipFill>
                  <pic:spPr>
                    <a:xfrm>
                      <a:off x="0" y="0"/>
                      <a:ext cx="5394960" cy="3371850"/>
                    </a:xfrm>
                    <a:prstGeom prst="rect"/>
                  </pic:spPr>
                </pic:pic>
              </a:graphicData>
            </a:graphic>
          </wp:inline>
        </w:drawing>
      </w:r>
    </w:p>
    <w:p>
      <w:pPr>
        <w:spacing w:after="280"/>
        <w:jc w:val="center"/>
      </w:pPr>
      <w:r>
        <w:rPr>
          <w:rFonts w:ascii="Times New Roman" w:hAnsi="Times New Roman"/>
          <w:b/>
          <w:i/>
          <w:color w:val="333333"/>
          <w:sz w:val="20"/>
        </w:rPr>
        <w:t>Figure 8.5 (Output - Deepfake Detection): Forensic Verdict Showing 'DEEPFAKE DETECTED', AI Confidence (77.02%), and 6-Axis Radar Chart</w:t>
      </w:r>
    </w:p>
    <w:p>
      <w:pPr>
        <w:spacing w:line="300" w:lineRule="auto" w:after="160"/>
        <w:jc w:val="both"/>
      </w:pPr>
      <w:r>
        <w:rPr>
          <w:rFonts w:ascii="Times New Roman" w:hAnsi="Times New Roman"/>
          <w:sz w:val="23"/>
        </w:rPr>
        <w:t>Figure 8.5 demonstrates the output generated when an AI-manipulated file is verified. The system issues a bold crimson 'DEEPFAKE DETECTED' banner with an AI Confidence Score of 77.02%. The transaction is permanently assigned to Block #1 with an assigned SHA-256 hash and validator signature. The 6-model radar polygon illustrates sharp depressions in Face Consistency (31.0%), Temporal Stability (25.0%), and Artifact Detection (37.1%).</w:t>
      </w:r>
    </w:p>
    <w:p>
      <w:pPr>
        <w:keepNext/>
        <w:spacing w:before="240" w:after="80"/>
        <w:jc w:val="center"/>
      </w:pPr>
      <w:r>
        <w:drawing>
          <wp:inline xmlns:a="http://schemas.openxmlformats.org/drawingml/2006/main" xmlns:pic="http://schemas.openxmlformats.org/drawingml/2006/picture">
            <wp:extent cx="5394960" cy="3371850"/>
            <wp:docPr id="8" name="Picture 8"/>
            <wp:cNvGraphicFramePr>
              <a:graphicFrameLocks noChangeAspect="1"/>
            </wp:cNvGraphicFramePr>
            <a:graphic>
              <a:graphicData uri="http://schemas.openxmlformats.org/drawingml/2006/picture">
                <pic:pic>
                  <pic:nvPicPr>
                    <pic:cNvPr id="0" name="07_verify_output_authentic.png"/>
                    <pic:cNvPicPr/>
                  </pic:nvPicPr>
                  <pic:blipFill>
                    <a:blip r:embed="rId15"/>
                    <a:stretch>
                      <a:fillRect/>
                    </a:stretch>
                  </pic:blipFill>
                  <pic:spPr>
                    <a:xfrm>
                      <a:off x="0" y="0"/>
                      <a:ext cx="5394960" cy="3371850"/>
                    </a:xfrm>
                    <a:prstGeom prst="rect"/>
                  </pic:spPr>
                </pic:pic>
              </a:graphicData>
            </a:graphic>
          </wp:inline>
        </w:drawing>
      </w:r>
    </w:p>
    <w:p>
      <w:pPr>
        <w:spacing w:after="280"/>
        <w:jc w:val="center"/>
      </w:pPr>
      <w:r>
        <w:rPr>
          <w:rFonts w:ascii="Times New Roman" w:hAnsi="Times New Roman"/>
          <w:b/>
          <w:i/>
          <w:color w:val="333333"/>
          <w:sz w:val="20"/>
        </w:rPr>
        <w:t>Figure 8.6 (Output - Authentic Media): Forensic Verdict Showing 'AUTHENTIC' with Verified Badge, High Confidence (81.41%), and Balanced Radar Chart</w:t>
      </w:r>
    </w:p>
    <w:p>
      <w:pPr>
        <w:spacing w:line="300" w:lineRule="auto" w:after="160"/>
        <w:jc w:val="both"/>
      </w:pPr>
      <w:r>
        <w:rPr>
          <w:rFonts w:ascii="Times New Roman" w:hAnsi="Times New Roman"/>
          <w:sz w:val="23"/>
        </w:rPr>
        <w:t>Figure 8.6 illustrates the system output when an original, untouched media file (`sample_authentic_media.png`) is analyzed. The system issues a vibrant neon-green 'AUTHENTIC' verdict with 81.41% confidence. The block is sealed as Block #2, and the radar chart displays uniformly high consistency across all six axes (&gt;75%).</w:t>
      </w:r>
    </w:p>
    <w:p>
      <w:pPr>
        <w:keepNext/>
        <w:spacing w:before="240" w:after="80"/>
        <w:jc w:val="center"/>
      </w:pPr>
      <w:r>
        <w:drawing>
          <wp:inline xmlns:a="http://schemas.openxmlformats.org/drawingml/2006/main" xmlns:pic="http://schemas.openxmlformats.org/drawingml/2006/picture">
            <wp:extent cx="5394960" cy="3843909"/>
            <wp:docPr id="9" name="Picture 9"/>
            <wp:cNvGraphicFramePr>
              <a:graphicFrameLocks noChangeAspect="1"/>
            </wp:cNvGraphicFramePr>
            <a:graphic>
              <a:graphicData uri="http://schemas.openxmlformats.org/drawingml/2006/picture">
                <pic:pic>
                  <pic:nvPicPr>
                    <pic:cNvPr id="0" name="06_smart_contract_certificate.png"/>
                    <pic:cNvPicPr/>
                  </pic:nvPicPr>
                  <pic:blipFill>
                    <a:blip r:embed="rId16"/>
                    <a:stretch>
                      <a:fillRect/>
                    </a:stretch>
                  </pic:blipFill>
                  <pic:spPr>
                    <a:xfrm>
                      <a:off x="0" y="0"/>
                      <a:ext cx="5394960" cy="3843909"/>
                    </a:xfrm>
                    <a:prstGeom prst="rect"/>
                  </pic:spPr>
                </pic:pic>
              </a:graphicData>
            </a:graphic>
          </wp:inline>
        </w:drawing>
      </w:r>
    </w:p>
    <w:p>
      <w:pPr>
        <w:spacing w:after="280"/>
        <w:jc w:val="center"/>
      </w:pPr>
      <w:r>
        <w:rPr>
          <w:rFonts w:ascii="Times New Roman" w:hAnsi="Times New Roman"/>
          <w:b/>
          <w:i/>
          <w:color w:val="333333"/>
          <w:sz w:val="20"/>
        </w:rPr>
        <w:t>Figure 8.7 (Output - Certificate): Cryptographic Smart Contract Certificate of Authenticity with Irreversible Digital Fingerprint</w:t>
      </w:r>
    </w:p>
    <w:p>
      <w:pPr>
        <w:spacing w:line="300" w:lineRule="auto" w:after="160"/>
        <w:jc w:val="both"/>
      </w:pPr>
      <w:r>
        <w:rPr>
          <w:rFonts w:ascii="Times New Roman" w:hAnsi="Times New Roman"/>
          <w:sz w:val="23"/>
        </w:rPr>
        <w:t>Figure 8.7 shows the expanded Blockchain Certificate of Authenticity generated for the verified media. The digital certificate embeds the permanent SHA-256 fingerprint, block hash, block height index, timestamp, and validator signature, serving as an unalterable legal receipt of provenance.</w:t>
      </w:r>
    </w:p>
    <w:p>
      <w:pPr>
        <w:keepNext/>
        <w:spacing w:before="240" w:after="80"/>
        <w:jc w:val="center"/>
      </w:pPr>
      <w:r>
        <w:drawing>
          <wp:inline xmlns:a="http://schemas.openxmlformats.org/drawingml/2006/main" xmlns:pic="http://schemas.openxmlformats.org/drawingml/2006/picture">
            <wp:extent cx="5394960" cy="3177032"/>
            <wp:docPr id="10" name="Picture 10"/>
            <wp:cNvGraphicFramePr>
              <a:graphicFrameLocks noChangeAspect="1"/>
            </wp:cNvGraphicFramePr>
            <a:graphic>
              <a:graphicData uri="http://schemas.openxmlformats.org/drawingml/2006/picture">
                <pic:pic>
                  <pic:nvPicPr>
                    <pic:cNvPr id="0" name="08_compare_hashes_avalanche.png"/>
                    <pic:cNvPicPr/>
                  </pic:nvPicPr>
                  <pic:blipFill>
                    <a:blip r:embed="rId17"/>
                    <a:stretch>
                      <a:fillRect/>
                    </a:stretch>
                  </pic:blipFill>
                  <pic:spPr>
                    <a:xfrm>
                      <a:off x="0" y="0"/>
                      <a:ext cx="5394960" cy="3177032"/>
                    </a:xfrm>
                    <a:prstGeom prst="rect"/>
                  </pic:spPr>
                </pic:pic>
              </a:graphicData>
            </a:graphic>
          </wp:inline>
        </w:drawing>
      </w:r>
    </w:p>
    <w:p>
      <w:pPr>
        <w:spacing w:after="280"/>
        <w:jc w:val="center"/>
      </w:pPr>
      <w:r>
        <w:rPr>
          <w:rFonts w:ascii="Times New Roman" w:hAnsi="Times New Roman"/>
          <w:b/>
          <w:i/>
          <w:color w:val="333333"/>
          <w:sz w:val="20"/>
        </w:rPr>
        <w:t>Figure 8.8 (Output - Hash Comparison): Dual-File Cryptographic Comparator Proving 0% Match and Cryptographic Avalanche Effect</w:t>
      </w:r>
    </w:p>
    <w:p>
      <w:pPr>
        <w:spacing w:line="300" w:lineRule="auto" w:after="160"/>
        <w:jc w:val="both"/>
      </w:pPr>
      <w:r>
        <w:rPr>
          <w:rFonts w:ascii="Times New Roman" w:hAnsi="Times New Roman"/>
          <w:sz w:val="23"/>
        </w:rPr>
        <w:t>Figure 8.8 showcases the Dual-File Cryptographic Comparator module. When the authentic broadcast media (left) and the synthetic edit (right) are ingested concurrently, both 64-character SHA-256 hashes are rendered side-by-side. Despite looking visually similar, the hashes exhibit complete divergence, yielding a 0% match and mathematically proving malicious manipulation.</w:t>
      </w:r>
    </w:p>
    <w:p>
      <w:pPr>
        <w:keepNext/>
        <w:spacing w:before="240" w:after="80"/>
        <w:jc w:val="center"/>
      </w:pPr>
      <w:r>
        <w:drawing>
          <wp:inline xmlns:a="http://schemas.openxmlformats.org/drawingml/2006/main" xmlns:pic="http://schemas.openxmlformats.org/drawingml/2006/picture">
            <wp:extent cx="5394960" cy="3933825"/>
            <wp:docPr id="11" name="Picture 11"/>
            <wp:cNvGraphicFramePr>
              <a:graphicFrameLocks noChangeAspect="1"/>
            </wp:cNvGraphicFramePr>
            <a:graphic>
              <a:graphicData uri="http://schemas.openxmlformats.org/drawingml/2006/picture">
                <pic:pic>
                  <pic:nvPicPr>
                    <pic:cNvPr id="0" name="09_consensus_terminal_and_blocks.png"/>
                    <pic:cNvPicPr/>
                  </pic:nvPicPr>
                  <pic:blipFill>
                    <a:blip r:embed="rId18"/>
                    <a:stretch>
                      <a:fillRect/>
                    </a:stretch>
                  </pic:blipFill>
                  <pic:spPr>
                    <a:xfrm>
                      <a:off x="0" y="0"/>
                      <a:ext cx="5394960" cy="3933825"/>
                    </a:xfrm>
                    <a:prstGeom prst="rect"/>
                  </pic:spPr>
                </pic:pic>
              </a:graphicData>
            </a:graphic>
          </wp:inline>
        </w:drawing>
      </w:r>
    </w:p>
    <w:p>
      <w:pPr>
        <w:spacing w:after="280"/>
        <w:jc w:val="center"/>
      </w:pPr>
      <w:r>
        <w:rPr>
          <w:rFonts w:ascii="Times New Roman" w:hAnsi="Times New Roman"/>
          <w:b/>
          <w:i/>
          <w:color w:val="333333"/>
          <w:sz w:val="20"/>
        </w:rPr>
        <w:t>Figure 8.9 (Output - Ledger &amp; Terminal): Live Network Consensus Terminal Streaming Cryptographic Logs Alongside Immutable Block Ledger</w:t>
      </w:r>
    </w:p>
    <w:p>
      <w:pPr>
        <w:spacing w:line="300" w:lineRule="auto" w:after="160"/>
        <w:jc w:val="both"/>
      </w:pPr>
      <w:r>
        <w:rPr>
          <w:rFonts w:ascii="Times New Roman" w:hAnsi="Times New Roman"/>
          <w:sz w:val="23"/>
        </w:rPr>
        <w:t>Figure 8.9 displays the enterprise Consensus Terminal streaming real-time network operations (zk-SNARK validation, Merkle root checks, and EVM contract calls) with active metrics: Hash Rate (42.8 EH/s), Active Nodes (12,408), and Encryption (AES-256/SHA-256). Directly below, the Immutable Ledger displays Genesis Block #0 alongside confirmed user blocks with an active 'Chain Integrity: VALID' seal.</w:t>
      </w:r>
    </w:p>
    <w:p>
      <w:pPr>
        <w:keepNext/>
        <w:spacing w:before="400" w:after="160"/>
      </w:pPr>
      <w:r>
        <w:rPr>
          <w:rFonts w:ascii="Times New Roman" w:hAnsi="Times New Roman"/>
          <w:b/>
          <w:color w:val="0A2540"/>
          <w:sz w:val="28"/>
        </w:rPr>
        <w:t>9. Skill Developed / learning out of this Mini-Project</w:t>
      </w:r>
    </w:p>
    <w:p>
      <w:pPr>
        <w:spacing w:line="300" w:lineRule="auto" w:after="160"/>
        <w:jc w:val="both"/>
      </w:pPr>
      <w:r>
        <w:rPr>
          <w:rFonts w:ascii="Times New Roman" w:hAnsi="Times New Roman"/>
          <w:sz w:val="23"/>
        </w:rPr>
        <w:t>Throughout the conception, design, and implementation of this mini-project, the team acquired critical theoretical and practical competencies across multiple domains of computer science:</w:t>
      </w:r>
    </w:p>
    <w:p>
      <w:pPr>
        <w:pStyle w:val="ListBullet"/>
        <w:spacing w:line="288" w:lineRule="auto" w:after="80"/>
        <w:jc w:val="both"/>
      </w:pPr>
      <w:r>
        <w:rPr>
          <w:b/>
          <w:sz w:val="23"/>
        </w:rPr>
        <w:t xml:space="preserve">Cryptographic Implementation: </w:t>
      </w:r>
      <w:r>
        <w:rPr>
          <w:sz w:val="23"/>
        </w:rPr>
        <w:t>Mastered binary buffer manipulation, message digest computation via WebCrypto Subtle API, and the practical application of the cryptographic avalanche effect.</w:t>
      </w:r>
    </w:p>
    <w:p>
      <w:pPr>
        <w:pStyle w:val="ListBullet"/>
        <w:spacing w:line="288" w:lineRule="auto" w:after="80"/>
        <w:jc w:val="both"/>
      </w:pPr>
      <w:r>
        <w:rPr>
          <w:b/>
          <w:sz w:val="23"/>
        </w:rPr>
        <w:t xml:space="preserve">Decentralized Systems &amp; Blockchain: </w:t>
      </w:r>
      <w:r>
        <w:rPr>
          <w:sz w:val="23"/>
        </w:rPr>
        <w:t>Acquired comprehensive understanding of distributed ledger mechanics, block data structures, parent-hash linking, Merkle trees, and consensus verification logic.</w:t>
      </w:r>
    </w:p>
    <w:p>
      <w:pPr>
        <w:pStyle w:val="ListBullet"/>
        <w:spacing w:line="288" w:lineRule="auto" w:after="80"/>
        <w:jc w:val="both"/>
      </w:pPr>
      <w:r>
        <w:rPr>
          <w:b/>
          <w:sz w:val="23"/>
        </w:rPr>
        <w:t xml:space="preserve">Frontend Engineering &amp; Modern Frameworks: </w:t>
      </w:r>
      <w:r>
        <w:rPr>
          <w:sz w:val="23"/>
        </w:rPr>
        <w:t>Developed advanced proficiency in Next.js 14, React component modularity, hooks management (useState, useEffect, useRef), and utility-first styling with Tailwind CSS.</w:t>
      </w:r>
    </w:p>
    <w:p>
      <w:pPr>
        <w:pStyle w:val="ListBullet"/>
        <w:spacing w:line="288" w:lineRule="auto" w:after="80"/>
        <w:jc w:val="both"/>
      </w:pPr>
      <w:r>
        <w:rPr>
          <w:b/>
          <w:sz w:val="23"/>
        </w:rPr>
        <w:t xml:space="preserve">Mathematical &amp; Forensic Computing: </w:t>
      </w:r>
      <w:r>
        <w:rPr>
          <w:sz w:val="23"/>
        </w:rPr>
        <w:t>Implemented Shannon entropy equations for byte distribution analysis and custom trigonometric SVG math for multi-axis radar chart rendering.</w:t>
      </w:r>
    </w:p>
    <w:p>
      <w:pPr>
        <w:pStyle w:val="ListBullet"/>
        <w:spacing w:line="288" w:lineRule="auto" w:after="80"/>
        <w:jc w:val="both"/>
      </w:pPr>
      <w:r>
        <w:rPr>
          <w:b/>
          <w:sz w:val="23"/>
        </w:rPr>
        <w:t xml:space="preserve">Full-Lifecycle Software Deployment: </w:t>
      </w:r>
      <w:r>
        <w:rPr>
          <w:sz w:val="23"/>
        </w:rPr>
        <w:t>Experienced industry-standard version control using Git/GitHub, continuous integration and deployment pipelines with Vercel, and technical documentation drafting.</w:t>
      </w:r>
    </w:p>
    <w:p>
      <w:pPr>
        <w:keepNext/>
        <w:spacing w:before="400" w:after="160"/>
      </w:pPr>
      <w:r>
        <w:rPr>
          <w:rFonts w:ascii="Times New Roman" w:hAnsi="Times New Roman"/>
          <w:b/>
          <w:color w:val="0A2540"/>
          <w:sz w:val="28"/>
        </w:rPr>
        <w:t>10. Applications of this Mini-Project</w:t>
      </w:r>
    </w:p>
    <w:p>
      <w:pPr>
        <w:spacing w:line="300" w:lineRule="auto" w:after="160"/>
        <w:jc w:val="both"/>
      </w:pPr>
      <w:r>
        <w:rPr>
          <w:rFonts w:ascii="Times New Roman" w:hAnsi="Times New Roman"/>
          <w:sz w:val="23"/>
        </w:rPr>
        <w:t>The architectural principles demonstrated in ChainProof have immediate, practical applications across diverse high-stakes sectors:</w:t>
      </w:r>
    </w:p>
    <w:p>
      <w:pPr>
        <w:pStyle w:val="ListBullet"/>
        <w:spacing w:line="288" w:lineRule="auto" w:after="80"/>
        <w:jc w:val="both"/>
      </w:pPr>
      <w:r>
        <w:rPr>
          <w:b/>
          <w:sz w:val="23"/>
        </w:rPr>
        <w:t xml:space="preserve">News Media &amp; Investigative Journalism: </w:t>
      </w:r>
      <w:r>
        <w:rPr>
          <w:sz w:val="23"/>
        </w:rPr>
        <w:t>News agencies (e.g., Reuters, BBC) can register camera-captured raw footage on-chain immediately upon capture. Third-party aggregators and consumers can verify broadcasts against the public ledger to combat viral political disinformation.</w:t>
      </w:r>
    </w:p>
    <w:p>
      <w:pPr>
        <w:pStyle w:val="ListBullet"/>
        <w:spacing w:line="288" w:lineRule="auto" w:after="80"/>
        <w:jc w:val="both"/>
      </w:pPr>
      <w:r>
        <w:rPr>
          <w:b/>
          <w:sz w:val="23"/>
        </w:rPr>
        <w:t xml:space="preserve">Judicial Systems &amp; Digital Forensics: </w:t>
      </w:r>
      <w:r>
        <w:rPr>
          <w:sz w:val="23"/>
        </w:rPr>
        <w:t>Maintains an unforgeable digital chain of custody for surveillance footage, body-cam recordings, and electronic evidence submitted in courtrooms, precluding defense claims of AI fabrication.</w:t>
      </w:r>
    </w:p>
    <w:p>
      <w:pPr>
        <w:pStyle w:val="ListBullet"/>
        <w:spacing w:line="288" w:lineRule="auto" w:after="80"/>
        <w:jc w:val="both"/>
      </w:pPr>
      <w:r>
        <w:rPr>
          <w:b/>
          <w:sz w:val="23"/>
        </w:rPr>
        <w:t xml:space="preserve">Financial Services &amp; Video KYC: </w:t>
      </w:r>
      <w:r>
        <w:rPr>
          <w:sz w:val="23"/>
        </w:rPr>
        <w:t>Banking platforms can prevent deepfake impersonation fraud during remote customer onboarding and wire-transfer video authorisations by anchoring live biometric recordings to verified ledger states.</w:t>
      </w:r>
    </w:p>
    <w:p>
      <w:pPr>
        <w:pStyle w:val="ListBullet"/>
        <w:spacing w:line="288" w:lineRule="auto" w:after="80"/>
        <w:jc w:val="both"/>
      </w:pPr>
      <w:r>
        <w:rPr>
          <w:b/>
          <w:sz w:val="23"/>
        </w:rPr>
        <w:t xml:space="preserve">Social Media Platforms: </w:t>
      </w:r>
      <w:r>
        <w:rPr>
          <w:sz w:val="23"/>
        </w:rPr>
        <w:t>Social networks can integrate automated provenance badges, instantly alerting users when uploaded multimedia does not correlate with an authentic origin hash.</w:t>
      </w:r>
    </w:p>
    <w:p>
      <w:pPr>
        <w:pStyle w:val="ListBullet"/>
        <w:spacing w:line="288" w:lineRule="auto" w:after="80"/>
        <w:jc w:val="both"/>
      </w:pPr>
      <w:r>
        <w:rPr>
          <w:b/>
          <w:sz w:val="23"/>
        </w:rPr>
        <w:t xml:space="preserve">Celebrity &amp; Digital Identity Governance: </w:t>
      </w:r>
      <w:r>
        <w:rPr>
          <w:sz w:val="23"/>
        </w:rPr>
        <w:t>Public figures and corporate executives can establish certified public registries of authorized public statements, neutralizing malicious voice-cloning fraud.</w:t>
      </w:r>
    </w:p>
    <w:p>
      <w:pPr>
        <w:keepNext/>
        <w:spacing w:before="400" w:after="160"/>
      </w:pPr>
      <w:r>
        <w:rPr>
          <w:rFonts w:ascii="Times New Roman" w:hAnsi="Times New Roman"/>
          <w:b/>
          <w:color w:val="0A2540"/>
          <w:sz w:val="28"/>
        </w:rPr>
        <w:t>11. Area of Future Improvement</w:t>
      </w:r>
    </w:p>
    <w:p>
      <w:pPr>
        <w:spacing w:line="300" w:lineRule="auto" w:after="160"/>
        <w:jc w:val="both"/>
      </w:pPr>
      <w:r>
        <w:rPr>
          <w:rFonts w:ascii="Times New Roman" w:hAnsi="Times New Roman"/>
          <w:sz w:val="23"/>
        </w:rPr>
        <w:t>While the current platform establishes a robust and functional client-side proof-of-concept, several prospective enhancements will elevate the system to production-scale global deployment:</w:t>
      </w:r>
    </w:p>
    <w:p>
      <w:pPr>
        <w:pStyle w:val="ListBullet"/>
        <w:spacing w:line="288" w:lineRule="auto" w:after="80"/>
        <w:jc w:val="both"/>
      </w:pPr>
      <w:r>
        <w:rPr>
          <w:b/>
          <w:sz w:val="23"/>
        </w:rPr>
        <w:t xml:space="preserve">Decentralized InterPlanetary Storage (IPFS / Arweave): </w:t>
      </w:r>
      <w:r>
        <w:rPr>
          <w:sz w:val="23"/>
        </w:rPr>
        <w:t>Integrating decentralized file storage networks (such as IPFS or Arweave) to store encrypted thumbnail previews and tamper-evident metadata alongside on-chain hashes.</w:t>
      </w:r>
    </w:p>
    <w:p>
      <w:pPr>
        <w:pStyle w:val="ListBullet"/>
        <w:spacing w:line="288" w:lineRule="auto" w:after="80"/>
        <w:jc w:val="both"/>
      </w:pPr>
      <w:r>
        <w:rPr>
          <w:b/>
          <w:sz w:val="23"/>
        </w:rPr>
        <w:t xml:space="preserve">Public Blockchain Mainnet Smart Contracts: </w:t>
      </w:r>
      <w:r>
        <w:rPr>
          <w:sz w:val="23"/>
        </w:rPr>
        <w:t>Migrating simulated consensus to live Ethereum, Polygon, or Arbitrum smart contracts using Solidity, enabling hardware-wallet signing via MetaMask.</w:t>
      </w:r>
    </w:p>
    <w:p>
      <w:pPr>
        <w:pStyle w:val="ListBullet"/>
        <w:spacing w:line="288" w:lineRule="auto" w:after="80"/>
        <w:jc w:val="both"/>
      </w:pPr>
      <w:r>
        <w:rPr>
          <w:b/>
          <w:sz w:val="23"/>
        </w:rPr>
        <w:t xml:space="preserve">Perceptual Hashing (pHash) Integration: </w:t>
      </w:r>
      <w:r>
        <w:rPr>
          <w:sz w:val="23"/>
        </w:rPr>
        <w:t>Complementing strict SHA-256 hashes with Discrete Cosine Transform (DCT) perceptual hashing. This will allow the system to tolerate benign social media compression while strictly identifying malicious semantic edits.</w:t>
      </w:r>
    </w:p>
    <w:p>
      <w:pPr>
        <w:pStyle w:val="ListBullet"/>
        <w:spacing w:line="288" w:lineRule="auto" w:after="80"/>
        <w:jc w:val="both"/>
      </w:pPr>
      <w:r>
        <w:rPr>
          <w:b/>
          <w:sz w:val="23"/>
        </w:rPr>
        <w:t xml:space="preserve">Zero-Knowledge SNARK Verification: </w:t>
      </w:r>
      <w:r>
        <w:rPr>
          <w:sz w:val="23"/>
        </w:rPr>
        <w:t>Implementing zk-SNARK circuits to enable privacy-preserving media provenance—allowing a whistleblower or user to cryptographically prove that an authentic video exists on-chain without revealing the video's contents to the public.</w:t>
      </w:r>
    </w:p>
    <w:p>
      <w:pPr>
        <w:keepNext/>
        <w:spacing w:before="400" w:after="160"/>
      </w:pPr>
      <w:r>
        <w:rPr>
          <w:rFonts w:ascii="Times New Roman" w:hAnsi="Times New Roman"/>
          <w:b/>
          <w:color w:val="0A2540"/>
          <w:sz w:val="28"/>
        </w:rPr>
        <w:t>12. Conclusion</w:t>
      </w:r>
    </w:p>
    <w:p>
      <w:pPr>
        <w:spacing w:line="300" w:lineRule="auto" w:after="160"/>
        <w:jc w:val="both"/>
      </w:pPr>
      <w:r>
        <w:rPr>
          <w:rFonts w:ascii="Times New Roman" w:hAnsi="Times New Roman"/>
          <w:sz w:val="23"/>
        </w:rPr>
        <w:t>The proliferation of hyper-realistic generative deepfakes poses an existential threat to societal trust, information integrity, and digital security. Traditional perimeter defenses and centralized verification authorities are fundamentally compromised by single points of failure, administrative tampering, and adversarial vulnerability. This mini-project successfully designed, developed, and deployed 'ChainProof'—a decentralized, client-side, blockchain-based deepfake proof system.</w:t>
      </w:r>
    </w:p>
    <w:p>
      <w:pPr>
        <w:spacing w:line="300" w:lineRule="auto" w:after="160"/>
        <w:jc w:val="both"/>
      </w:pPr>
      <w:r>
        <w:rPr>
          <w:rFonts w:ascii="Times New Roman" w:hAnsi="Times New Roman"/>
          <w:sz w:val="23"/>
        </w:rPr>
        <w:t>By binding high-performance WebCrypto SHA-256 cryptographic digests with Shannon entropy metrics, binary header validation, and an immutable linked-block ledger, the system replaces fallible probabilistic guessing with deterministic, mathematical provenance. The integrated dual-file hash comparator and consensus terminal provide transparent, verifiable audit trails for digital media. ChainProof establishes a compelling, practical blueprint for restoring truth and cryptographic certainty to the digital information ecosystem.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