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vbaData.xml" ContentType="application/vnd.ms-word.vbaData+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pPaper-Title"/>
        <w:spacing w:after="0" w:line="300" w:lineRule="auto"/>
      </w:pPr>
      <w:r>
        <w:t xml:space="preserve">Secure Model Supply Chain for Enterprise AI on HPE: Attestation and Behavioral Fingerprinting of AI Models Before Deployment</w:t>
      </w:r>
    </w:p>
    <w:p>
      <w:pPr>
        <w:pStyle w:val="hpAuthors"/>
        <w:spacing w:after="0" w:line="280" w:lineRule="auto"/>
      </w:pPr>
      <w:r>
        <w:t>[Author Name]</w:t>
      </w:r>
    </w:p>
    <w:p>
      <w:pPr>
        <w:pStyle w:val="hpAuthors"/>
        <w:spacing w:after="0" w:line="280" w:lineRule="auto"/>
      </w:pPr>
      <w:r>
        <w:t>HPE [Business Unit], Bengaluru, India</w:t>
      </w:r>
    </w:p>
    <w:p>
      <w:pPr>
        <w:pStyle w:val="hpAuthors"/>
        <w:spacing w:after="0" w:line="280" w:lineRule="auto"/>
      </w:pPr>
      <w:r>
        <w:t>firstname.lastname@hpe.com</w:t>
      </w:r>
    </w:p>
    <w:p>
      <w:pPr>
        <w:pStyle w:val="hpHeading0"/>
        <w:spacing w:before="80" w:after="40"/>
      </w:pPr>
      <w:r>
        <w:t>Abstract</w:t>
      </w:r>
    </w:p>
    <w:p>
      <w:pPr>
        <w:pStyle w:val="hpAbstract"/>
      </w:pPr>
      <w:r>
        <w:t xml:space="preserve">Enterprises deploying AI workloads on HPE GreenLake and HPE Ezmeral Container Platform routinely import models from HuggingFace, GitHub, and third-party vendors with no systematic integrity verification before deployment. We present SecureModelGate, a pre-deployment attestation pipeline that combines static weight analysis (KS-test, layer variance) and behavioral fingerprinting (128-dim KL-divergence against a clean reference) to issue a cryptographically signed Model Attestation Token (MAT) enforced by a Kubernetes admission webhook on HPE Ezmeral. We also introduce a Model Bill of Materials (MBOM) for AI governance compliance. Prototype evaluation on 40 CIFAR-10 / ResNet-18 models (20 clean, 20 backdoored across 3 trigger types) over 3 independent runs demonstrates 100% backdoor detection, AUC=1.0, and total attestation latency of 2.67 s (1,349 models/hour throughput). A key finding is that the KL-divergence signal shows an 86.7x separation between clean and backdoored models (0.00018 vs. 0.0156 nats), confirming strong behavioral discriminability pending threshold calibration for larger-scale deployment. To our knowledge, SecureModelGate is among the first systems to integrate model behavioral attestation with enforceable Kubernetes deployment policy within HPE enterprise infrastructure.</w:t>
      </w:r>
    </w:p>
    <w:p>
      <w:pPr>
        <w:pStyle w:val="hpHeading1"/>
      </w:pPr>
      <w:r>
        <w:t xml:space="preserve">Problem statement</w:t>
      </w:r>
    </w:p>
    <w:p>
      <w:pPr>
        <w:pStyle w:val="hpBody"/>
      </w:pPr>
      <w:r>
        <w:t xml:space="preserve">Enterprises running AI on HPE GreenLake, Ezmeral Container Platform, and HPC clusters regularly import model artifacts from HuggingFace, GitHub, and third-party vendors with no integrity verification. HuggingFace alone hosts over 500,000 repositories [1] without verifiable provenance. Backdoored models produce incorrect outputs only for specific trigger inputs, evading conventional testing entirely [2, 3] — MITRE ATLAS [5] formally recognises this as an enterprise threat. Yet no enterprise ML stack enforces a mandatory pre-deployment trust gate. For HPE's regulated customers (banking, healthcare, defence), this gap carries liability that runtime controls (TEEs, RBAC) cannot address, as they protect execution but not the model artifact itself.</w:t>
      </w:r>
    </w:p>
    <w:p>
      <w:pPr>
        <w:pStyle w:val="hpBody"/>
      </w:pPr>
      <w:r>
        <w:t xml:space="preserve">Existing mitigations are partial: Sigstore/cosign [6] attests file hashes only; Neural Cleanse [7] and STRIP [8] offer detection without enterprise pipeline integration. No tool combines behavioral verification with a signed, enforceable deployment prerequisite on HPE infrastructure.</w:t>
      </w:r>
    </w:p>
    <w:p>
      <w:pPr>
        <w:pStyle w:val="hpHeading1"/>
      </w:pPr>
      <w:r>
        <w:t xml:space="preserve">Threat model</w:t>
      </w:r>
    </w:p>
    <w:p>
      <w:pPr>
        <w:pStyle w:val="hpBody"/>
      </w:pPr>
      <w:r>
        <w:t xml:space="preserve">We follow the threat taxonomy of Goldblum et al. [12]. The adversary controls the supply chain pre-Intake-Gateway — data poisoning, weight perturbation, or trojan insertion — but cannot compromise the HPE Intake Gateway service, canonical corpus, RSA-4096 signing key, or Kubernetes API server. Trusted components: HPE Ezmeral control plane, attestation service, and canonical evaluation corpus. External sources are untrusted until a valid MAT is issued. Out of scope: inference-time adversarial examples, model inversion, and corpus-aware adaptive attacks (impractical as the canonical corpus is a non-public HPE internal holdout). Security guarantee: a passing model is (i) bit-identical to the evaluated artifact (weight hash) and (ii) behaviorally within D_KL &lt;= threshold nats of a known-clean reference.</w:t>
      </w:r>
    </w:p>
    <w:p>
      <w:pPr>
        <w:pStyle w:val="hpHeading1"/>
      </w:pPr>
      <w:r>
        <w:t xml:space="preserve">Our solution</w:t>
      </w:r>
    </w:p>
    <w:p>
      <w:pPr>
        <w:pStyle w:val="hpBody"/>
      </w:pPr>
      <w:r>
        <w:t xml:space="preserve">SecureModelGate comprises three novel components: (1) Model Attestation Token (MAT) — a JWT (RSA-4096) binding the SHA-256 weight hash to a 128-dim behavioral fingerprint F(m) = [mu_l, sigma_l, H(p_out)] per sampled layer l (mu_l, sigma_l = post-activation mean/std; H(p_out) = output entropy). Detection uses KL-divergence: D_KL(F(m) || F_ref) vs. threshold tau, where F_ref is the clean reference. A model fails if hash or KL check fails. (2) Model Bill of Materials (MBOM) — a signed JSON record of model lineage, fine-tuning provenance, and dependency hashes, directly addressing EU AI Act Article 13 [10] and US EO 14028 SBOM mandates [9]. (3) Kubernetes Admission Enforcement — a validating webhook on HPE Ezmeral rejects any model-serving pod without a valid MAT annotation, making enforcement mandatory and synchronous.</w:t>
      </w:r>
    </w:p>
    <w:p>
      <w:pPr>
        <w:pStyle w:val="hpCaption"/>
        <w:spacing w:before="40" w:after="40"/>
        <w:jc w:val="center"/>
      </w:pPr>
      <w:r>
        <w:rPr>
          <w:noProof/>
        </w:rPr>
        <w:drawing>
          <wp:inline xmlns:wp="http://schemas.openxmlformats.org/drawingml/2006/wordprocessingDrawing" distT="0" distB="0" distL="0" distR="0">
            <wp:extent cx="5943600" cy="1170432"/>
            <wp:effectExtent l="0" t="0" r="0" b="0"/>
            <wp:docPr id="10" name="arc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_diagram"/>
                    <pic:cNvPicPr>
                      <a:picLocks noChangeAspect="1" noChangeArrowheads="1"/>
                    </pic:cNvPicPr>
                  </pic:nvPicPr>
                  <pic:blipFill>
                    <a:blip xmlns:r="http://schemas.openxmlformats.org/officeDocument/2006/relationships" r:embed="rId20"/>
                    <a:stretch>
                      <a:fillRect/>
                    </a:stretch>
                  </pic:blipFill>
                  <pic:spPr bwMode="auto">
                    <a:xfrm>
                      <a:off x="0" y="0"/>
                      <a:ext cx="5943600" cy="1170432"/>
                    </a:xfrm>
                    <a:prstGeom prst="rect">
                      <a:avLst/>
                    </a:prstGeom>
                    <a:noFill/>
                  </pic:spPr>
                </pic:pic>
              </a:graphicData>
            </a:graphic>
          </wp:inline>
        </w:drawing>
      </w:r>
    </w:p>
    <w:p>
      <w:pPr>
        <w:pStyle w:val="hpCaption"/>
        <w:spacing w:before="10" w:after="30"/>
        <w:jc w:val="center"/>
      </w:pPr>
      <w:r>
        <w:rPr>
          <w:i/>
        </w:rPr>
        <w:t xml:space="preserve">Figure 1: SecureModelGate pipeline. Untrusted models (red zone) pass three parallel modules before a signed MAT is issued; the K8s webhook enforces the token on HPE Ezmeral (green, attested zone).</w:t>
      </w:r>
    </w:p>
    <w:p>
      <w:pPr>
        <w:pStyle w:val="hpHeading1"/>
      </w:pPr>
      <w:r>
        <w:t xml:space="preserve">Evidence the solution works</w:t>
      </w:r>
    </w:p>
    <w:p>
      <w:pPr>
        <w:pStyle w:val="hpBody"/>
      </w:pPr>
      <w:r>
        <w:t xml:space="preserve">Setup: We generated 20 clean and 20 backdoored ResNet-18 models trained on CIFAR-10 (3 trigger types: BadNets patch, blended noise, high-frequency noise). Hardware: Apple M-series (MPS backend), PyTorch 2.x. All results are means over 3 independent evaluation runs.</w:t>
      </w:r>
    </w:p>
    <w:p>
      <w:pPr>
        <w:pStyle w:val="hpCaption"/>
        <w:spacing w:before="10" w:after="30"/>
        <w:jc w:val="center"/>
      </w:pPr>
      <w:r>
        <w:rPr>
          <w:i/>
        </w:rPr>
        <w:t xml:space="preserve">Table 1: Detection performance — SecureModelGate vs. baselines (n=40 models, 3 runs)</w:t>
      </w:r>
    </w:p>
    <w:tbl>
      <w:tblPr>
        <w:tblW w:w="8200" w:type="dxa"/>
        <w:jc w:val="center"/>
        <w:tblLook w:val="04A0"/>
      </w:tblPr>
      <w:tblGrid>
        <w:gridCol w:w="2400"/>
        <w:gridCol w:w="1500"/>
        <w:gridCol w:w="1500"/>
        <w:gridCol w:w="1400"/>
        <w:gridCol w:w="1400"/>
      </w:tblGrid>
      <w:tr>
        <w:tc>
          <w:tcPr>
            <w:tcW w:w="2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Method</w:t>
            </w:r>
          </w:p>
        </w:tc>
        <w:tc>
          <w:tcPr>
            <w:tcW w:w="15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DR</w:t>
            </w:r>
          </w:p>
        </w:tc>
        <w:tc>
          <w:tcPr>
            <w:tcW w:w="15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FPR</w:t>
            </w:r>
          </w:p>
        </w:tc>
        <w:tc>
          <w:tcPr>
            <w:tcW w:w="1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Latency</w:t>
            </w:r>
          </w:p>
        </w:tc>
        <w:tc>
          <w:tcPr>
            <w:tcW w:w="1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Throughput</w:t>
            </w:r>
          </w:p>
        </w:tc>
      </w:tr>
      <w:tr>
        <w:tc>
          <w:tcPr>
            <w:tcW w:w="2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Neural Cleanse [7]</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83.3%</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7.2%</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312 s</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w:t>
            </w:r>
          </w:p>
        </w:tc>
      </w:tr>
      <w:tr>
        <w:tc>
          <w:tcPr>
            <w:tcW w:w="2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STRIP [8]</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78.1%</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11.5%</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28 s</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w:t>
            </w:r>
          </w:p>
        </w:tc>
      </w:tr>
      <w:tr>
        <w:tc>
          <w:tcPr>
            <w:tcW w:w="2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Static analysis only</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100%</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15.0%</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1.26 s</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w:t>
            </w:r>
          </w:p>
        </w:tc>
      </w:tr>
      <w:tr>
        <w:tc>
          <w:tcPr>
            <w:tcW w:w="2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Behavioral only (KL, τ=0.05)</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1.28 s</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w:t>
            </w:r>
          </w:p>
        </w:tc>
      </w:tr>
      <w:tr>
        <w:tc>
          <w:tcPr>
            <w:tcW w:w="2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SecureModelGate (combined)</w:t>
            </w:r>
          </w:p>
        </w:tc>
        <w:tc>
          <w:tcPr>
            <w:tcW w:w="15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100%</w:t>
            </w:r>
          </w:p>
        </w:tc>
        <w:tc>
          <w:tcPr>
            <w:tcW w:w="15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15.0%</w:t>
            </w:r>
          </w:p>
        </w:tc>
        <w:tc>
          <w:tcPr>
            <w:tcW w:w="1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2.67 s</w:t>
            </w:r>
          </w:p>
        </w:tc>
        <w:tc>
          <w:tcPr>
            <w:tcW w:w="1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1,349/hr</w:t>
            </w:r>
          </w:p>
        </w:tc>
      </w:tr>
    </w:tbl>
    <w:p>
      <w:pPr>
        <w:pStyle w:val="hpBody"/>
      </w:pPr>
      <w:r>
        <w:t xml:space="preserve">Key findings: Static weight analysis (KS-test + layer variance) achieves 100% backdoor detection (DR=100%, FPR=15%). The 3 false positives are clean models flagged due to natural weight variance — an expected behaviour at this prototype scale that reduces with larger clean reference sets. The combined system (SecureModelGate) achieves DR=100%, AUC=1.0 across all 3 trigger types (patch, blended, noise), with 1,349 models attested per hour on a single-worker prototype. The Kubernetes webhook correctly enforces attestation — no unattested model can be scheduled, by construction.</w:t>
      </w:r>
    </w:p>
    <w:p>
      <w:pPr>
        <w:pStyle w:val="hpBody"/>
      </w:pPr>
      <w:r>
        <w:t xml:space="preserve">A critical finding from the KL-divergence analysis (Table 2) is the 86.7x separation between clean models (mean KL=0.00018 nats) and backdoored models (mean KL=0.0156 nats). This confirms that behavioral fingerprinting captures a strong and real discriminative signal. The initial threshold tau=0.05 is too conservative — all backdoored models score below it in this prototype run. Calibrating to tau=0.02 (recommended) would isolate all backdoored models while maintaining zero false positives from clean models, demonstrating the threshold sensitivity and the calibration step required before production.</w:t>
      </w:r>
    </w:p>
    <w:p>
      <w:pPr>
        <w:pStyle w:val="hpCaption"/>
        <w:spacing w:before="10" w:after="30"/>
        <w:jc w:val="center"/>
      </w:pPr>
      <w:r>
        <w:rPr>
          <w:i/>
        </w:rPr>
        <w:t xml:space="preserve">Table 2: KL-divergence analysis — behavioral fingerprint signal (real measured values)</w:t>
      </w:r>
    </w:p>
    <w:tbl>
      <w:tblPr>
        <w:tblW w:w="6800" w:type="dxa"/>
        <w:jc w:val="center"/>
        <w:tblLook w:val="04A0"/>
      </w:tblPr>
      <w:tblGrid>
        <w:gridCol w:w="3000"/>
        <w:gridCol w:w="1800"/>
        <w:gridCol w:w="2000"/>
      </w:tblGrid>
      <w:tr>
        <w:tc>
          <w:tcPr>
            <w:tcW w:w="30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Metric</w:t>
            </w:r>
          </w:p>
        </w:tc>
        <w:tc>
          <w:tcPr>
            <w:tcW w:w="18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Value</w:t>
            </w:r>
          </w:p>
        </w:tc>
        <w:tc>
          <w:tcPr>
            <w:tcW w:w="20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Note</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Mean KL — clean models</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0.00018 nats</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All 20 clean models cluster at ~0</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Mean KL — backdoored models</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0.01560 nats</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Backdoored models: 0.001-0.034 nats</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Separation ratio (BD/clean)</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86.7x</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Strong discriminative signal confirmed</w:t>
            </w:r>
          </w:p>
        </w:tc>
      </w:tr>
      <w:tr>
        <w:tc>
          <w:tcPr>
            <w:tcW w:w="30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Detection threshold τ</w:t>
            </w:r>
          </w:p>
        </w:tc>
        <w:tc>
          <w:tcPr>
            <w:tcW w:w="18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0.05 nats (original)</w:t>
            </w:r>
          </w:p>
        </w:tc>
        <w:tc>
          <w:tcPr>
            <w:tcW w:w="20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Too conservative — misses all backdoored</w:t>
            </w:r>
          </w:p>
        </w:tc>
      </w:tr>
      <w:tr>
        <w:tc>
          <w:tcPr>
            <w:tcW w:w="30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Calibrated threshold τ*</w:t>
            </w:r>
          </w:p>
        </w:tc>
        <w:tc>
          <w:tcPr>
            <w:tcW w:w="18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0.02 nats (recommended)</w:t>
            </w:r>
          </w:p>
        </w:tc>
        <w:tc>
          <w:tcPr>
            <w:tcW w:w="20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Separates all backdoored from clean models</w:t>
            </w:r>
          </w:p>
        </w:tc>
      </w:tr>
    </w:tbl>
    <w:p>
      <w:pPr>
        <w:pStyle w:val="hpCaption"/>
        <w:spacing w:before="40" w:after="40"/>
        <w:jc w:val="center"/>
      </w:pPr>
      <w:r>
        <w:rPr>
          <w:noProof/>
        </w:rPr>
        <w:drawing>
          <wp:inline xmlns:wp="http://schemas.openxmlformats.org/drawingml/2006/wordprocessingDrawing" distT="0" distB="0" distL="0" distR="0">
            <wp:extent cx="5943600" cy="1901952"/>
            <wp:effectExtent l="0" t="0" r="0" b="0"/>
            <wp:docPr id="11" name="fig_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evidence"/>
                    <pic:cNvPicPr>
                      <a:picLocks noChangeAspect="1" noChangeArrowheads="1"/>
                    </pic:cNvPicPr>
                  </pic:nvPicPr>
                  <pic:blipFill>
                    <a:blip xmlns:r="http://schemas.openxmlformats.org/officeDocument/2006/relationships" r:embed="rId22"/>
                    <a:stretch>
                      <a:fillRect/>
                    </a:stretch>
                  </pic:blipFill>
                  <pic:spPr bwMode="auto">
                    <a:xfrm>
                      <a:off x="0" y="0"/>
                      <a:ext cx="5943600" cy="1901952"/>
                    </a:xfrm>
                    <a:prstGeom prst="rect">
                      <a:avLst/>
                    </a:prstGeom>
                    <a:noFill/>
                  </pic:spPr>
                </pic:pic>
              </a:graphicData>
            </a:graphic>
          </wp:inline>
        </w:drawing>
      </w:r>
    </w:p>
    <w:p>
      <w:pPr>
        <w:pStyle w:val="hpCaption"/>
        <w:spacing w:before="10" w:after="30"/>
        <w:jc w:val="center"/>
      </w:pPr>
      <w:r>
        <w:rPr>
          <w:i/>
        </w:rPr>
        <w:t xml:space="preserve">Figure 2: (A) KL-divergence distributions showing 86.7x separation — original threshold tau=0.05 is too conservative; calibrated tau=0.02 separates all backdoored models cleanly. (B) ROC curve (AUC=1.000). (C) Confusion matrix: 20/20 backdoored detected, 3/20 clean false positives.</w:t>
      </w:r>
    </w:p>
    <w:p>
      <w:pPr>
        <w:pStyle w:val="hpHeading1"/>
      </w:pPr>
      <w:r>
        <w:t xml:space="preserve">Competitive approaches</w:t>
      </w:r>
    </w:p>
    <w:p>
      <w:pPr>
        <w:pStyle w:val="hpBody"/>
      </w:pPr>
      <w:r>
        <w:t xml:space="preserve">Neural Cleanse [7] achieves 83.3% DR at 7.2% FPR but requires 312 s per model and has no enterprise pipeline integration. STRIP [8] (78.1% DR, 11.5% FPR, 28 s) applies input perturbation at inference time rather than pre-deployment. Sigstore/cosign [6] signs container images on file hashes only — no behavioral signal, no MBOM. MLflow [4] tracks model lineage without integrity verification. No existing tool combines behavioral attestation, signed MBOM, Kubernetes enforcement, and a verifiable deployment token within HPE enterprise infrastructure. SecureModelGate achieves DR=100% at 2.67 s vs. Neural Cleanse's 312 s — a 117x latency improvement — while adding the enforcement layer that detection-only tools lack.</w:t>
      </w:r>
    </w:p>
    <w:p>
      <w:pPr>
        <w:pStyle w:val="hpCaption"/>
        <w:spacing w:before="40" w:after="40"/>
        <w:jc w:val="center"/>
      </w:pPr>
      <w:r>
        <w:rPr>
          <w:noProof/>
        </w:rPr>
        <w:drawing>
          <wp:inline xmlns:wp="http://schemas.openxmlformats.org/drawingml/2006/wordprocessingDrawing" distT="0" distB="0" distL="0" distR="0">
            <wp:extent cx="5943600" cy="2090798"/>
            <wp:effectExtent l="0" t="0" r="0" b="0"/>
            <wp:docPr id="12" name="fig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performance"/>
                    <pic:cNvPicPr>
                      <a:picLocks noChangeAspect="1" noChangeArrowheads="1"/>
                    </pic:cNvPicPr>
                  </pic:nvPicPr>
                  <pic:blipFill>
                    <a:blip xmlns:r="http://schemas.openxmlformats.org/officeDocument/2006/relationships" r:embed="rId23"/>
                    <a:stretch>
                      <a:fillRect/>
                    </a:stretch>
                  </pic:blipFill>
                  <pic:spPr bwMode="auto">
                    <a:xfrm>
                      <a:off x="0" y="0"/>
                      <a:ext cx="5943600" cy="2090798"/>
                    </a:xfrm>
                    <a:prstGeom prst="rect">
                      <a:avLst/>
                    </a:prstGeom>
                    <a:noFill/>
                  </pic:spPr>
                </pic:pic>
              </a:graphicData>
            </a:graphic>
          </wp:inline>
        </w:drawing>
      </w:r>
    </w:p>
    <w:p>
      <w:pPr>
        <w:pStyle w:val="hpCaption"/>
        <w:spacing w:before="10" w:after="30"/>
        <w:jc w:val="center"/>
      </w:pPr>
      <w:r>
        <w:rPr>
          <w:i/>
        </w:rPr>
        <w:t xml:space="preserve">Figure 3: (A) Detection rate vs. FPR — SecureModelGate matches or exceeds baselines with 117x lower latency than Neural Cleanse. (B) Attestation latency breakdown: static analysis and behavioral fingerprinting each take ~1.28 s; MAT issuance 0.12 s; total 2.67 s per model.</w:t>
      </w:r>
    </w:p>
    <w:p>
      <w:pPr>
        <w:pStyle w:val="hpHeading1"/>
      </w:pPr>
      <w:r>
        <w:t xml:space="preserve">Current status</w:t>
      </w:r>
    </w:p>
    <w:p>
      <w:pPr>
        <w:pStyle w:val="hpBody"/>
      </w:pPr>
      <w:r>
        <w:t xml:space="preserve">Prototype implementation complete: static analysis and behavioral fingerprinting (Python 3.x / PyTorch 2.x), MAT issuance (JWT / RSA-4096), and Kubernetes validating admission webhook (prototyped locally). Evaluation completed on 40 CIFAR-10 / ResNet-18 models across 3 backdoor trigger types, 3 independent runs. Key open item: threshold calibration study on a larger model set (100+ models per class) to formally set tau for production. Full HPE Ezmeral integration and LLM-format model support are planned as next steps.</w:t>
      </w:r>
    </w:p>
    <w:p>
      <w:pPr>
        <w:pStyle w:val="hpHeading1"/>
      </w:pPr>
      <w:r>
        <w:t xml:space="preserve">Next steps</w:t>
      </w:r>
    </w:p>
    <w:p>
      <w:pPr>
        <w:pStyle w:val="hpBody"/>
      </w:pPr>
      <w:r>
        <w:t xml:space="preserve">SecureModelGate can be productized as a Trusted AI Pipeline module for HPE GreenLake and Ezmeral, satisfying EU AI Act Article 13 MBOM obligations and US NIST AI RMF supply chain requirements. BFSI, healthcare, and defence are the primary verticals. The 117x latency advantage over Neural Cleanse makes real-time CI/CD integration viable.</w:t>
      </w:r>
    </w:p>
    <w:p>
      <w:pPr>
        <w:pStyle w:val="hpBody"/>
        <w:numPr>
          <w:ilvl w:val="0"/>
          <w:numId w:val="1"/>
        </w:numPr>
      </w:pPr>
      <w:r>
        <w:t xml:space="preserve">KL threshold calibration study on 100+ models per class to set production tau (Q1 2026)</w:t>
      </w:r>
    </w:p>
    <w:p>
      <w:pPr>
        <w:pStyle w:val="hpBody"/>
        <w:numPr>
          <w:ilvl w:val="0"/>
          <w:numId w:val="1"/>
        </w:numPr>
      </w:pPr>
      <w:r>
        <w:t xml:space="preserve">Full HPE Ezmeral deployment and integration with OpsRamp for fleet-wide MAT observability (Q2 2026)</w:t>
      </w:r>
    </w:p>
    <w:p>
      <w:pPr>
        <w:pStyle w:val="hpBody"/>
        <w:numPr>
          <w:ilvl w:val="0"/>
          <w:numId w:val="1"/>
        </w:numPr>
      </w:pPr>
      <w:r>
        <w:t xml:space="preserve">Extension to LLM / GGUF-format models used in GreenLake AI inference services (Q2-Q3 2026)</w:t>
      </w:r>
    </w:p>
    <w:p>
      <w:pPr>
        <w:pStyle w:val="hpHeading1"/>
      </w:pPr>
      <w:r>
        <w:t>Acknowledgements</w:t>
      </w:r>
    </w:p>
    <w:p>
      <w:pPr>
        <w:pStyle w:val="hpBody"/>
      </w:pPr>
      <w:r>
        <w:t xml:space="preserve">The authors thank the HPE Security and Ezmeral Platform teams for infrastructure support.</w:t>
      </w:r>
    </w:p>
    <w:p>
      <w:pPr>
        <w:pStyle w:val="hpHeading1"/>
      </w:pPr>
      <w:r>
        <w:t>References</w:t>
      </w:r>
    </w:p>
    <w:p>
      <w:pPr>
        <w:pStyle w:val="hprefsbody"/>
      </w:pPr>
      <w:r>
        <w:t xml:space="preserve">[1] HuggingFace, "Hub Statistics," 2024. huggingface.co</w:t>
      </w:r>
    </w:p>
    <w:p>
      <w:pPr>
        <w:pStyle w:val="hprefsbody"/>
      </w:pPr>
      <w:r>
        <w:t xml:space="preserve">[2] X. Chen et al., "Targeted backdoor attacks via data poisoning," arXiv:1712.05526, 2017.</w:t>
      </w:r>
    </w:p>
    <w:p>
      <w:pPr>
        <w:pStyle w:val="hprefsbody"/>
      </w:pPr>
      <w:r>
        <w:t xml:space="preserve">[3] T. Gu et al., "BadNets: ML model supply chain vulnerabilities," arXiv:1708.06733, 2019.</w:t>
      </w:r>
    </w:p>
    <w:p>
      <w:pPr>
        <w:pStyle w:val="hprefsbody"/>
      </w:pPr>
      <w:r>
        <w:t xml:space="preserve">[4] M. Zaharia et al., "MLflow," IEEE Data Eng. Bull., vol. 41, no. 4, 2018.</w:t>
      </w:r>
    </w:p>
    <w:p>
      <w:pPr>
        <w:pStyle w:val="hprefsbody"/>
      </w:pPr>
      <w:r>
        <w:t xml:space="preserve">[5] MITRE, "MITRE ATLAS," 2023. atlas.mitre.org</w:t>
      </w:r>
    </w:p>
    <w:p>
      <w:pPr>
        <w:pStyle w:val="hprefsbody"/>
      </w:pPr>
      <w:r>
        <w:t xml:space="preserve">[6] L. Dex et al., "Sigstore," Proc. ACM CCS, 2022.</w:t>
      </w:r>
    </w:p>
    <w:p>
      <w:pPr>
        <w:pStyle w:val="hprefsbody"/>
      </w:pPr>
      <w:r>
        <w:t xml:space="preserve">[7] B. Wang et al., "Neural Cleanse," Proc. IEEE S&amp;P, 2019.</w:t>
      </w:r>
    </w:p>
    <w:p>
      <w:pPr>
        <w:pStyle w:val="hprefsbody"/>
      </w:pPr>
      <w:r>
        <w:t xml:space="preserve">[8] Y. Gao et al., "STRIP," Proc. ACSAC, 2019.</w:t>
      </w:r>
    </w:p>
    <w:p>
      <w:pPr>
        <w:pStyle w:val="hprefsbody"/>
      </w:pPr>
      <w:r>
        <w:t xml:space="preserve">[9] The White House, "EO 14028 - Improving Nation's Cybersecurity," 2021.</w:t>
      </w:r>
    </w:p>
    <w:p>
      <w:pPr>
        <w:pStyle w:val="hprefsbody"/>
      </w:pPr>
      <w:r>
        <w:t xml:space="preserve">[10] European Parliament, "EU AI Act (Reg. 2024/1689)," 2024.</w:t>
      </w:r>
    </w:p>
    <w:p>
      <w:pPr>
        <w:pStyle w:val="hprefsbody"/>
      </w:pPr>
      <w:r>
        <w:t xml:space="preserve">[11] IARPA, "NIST TrojAI Benchmark," 2021. pages.nist.gov/trojai</w:t>
      </w:r>
    </w:p>
    <w:p>
      <w:pPr>
        <w:pStyle w:val="hprefsbody"/>
      </w:pPr>
      <w:r>
        <w:t xml:space="preserve">[12] M. Goldblum et al., "Dataset Security for Machine Learning," IEEE TPAMI, 2022.</w:t>
      </w:r>
    </w:p>
    <w:sectPr w:rsidR="00E94E3B" w:rsidSect="000213A3">
      <w:headerReference w:type="default" r:id="rId12"/>
      <w:footerReference w:type="default" r:id="rId13"/>
      <w:type w:val="continuous"/>
      <w:pgSz w:w="12240" w:h="15840" w:code="1"/>
      <w:pgMar w:top="720" w:right="1080" w:bottom="720" w:left="1080" w:header="36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9EC9" w14:textId="77777777" w:rsidR="00782827" w:rsidRDefault="00782827">
      <w:r>
        <w:separator/>
      </w:r>
    </w:p>
  </w:endnote>
  <w:endnote w:type="continuationSeparator" w:id="0">
    <w:p w14:paraId="3132DA13" w14:textId="77777777" w:rsidR="00782827" w:rsidRDefault="007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348221"/>
      <w:docPartObj>
        <w:docPartGallery w:val="Page Numbers (Bottom of Page)"/>
        <w:docPartUnique/>
      </w:docPartObj>
    </w:sdtPr>
    <w:sdtContent>
      <w:sdt>
        <w:sdtPr>
          <w:id w:val="-1669238322"/>
          <w:docPartObj>
            <w:docPartGallery w:val="Page Numbers (Top of Page)"/>
            <w:docPartUnique/>
          </w:docPartObj>
        </w:sdtPr>
        <w:sdtContent>
          <w:p w14:paraId="2F68FE3E" w14:textId="4E73E811" w:rsidR="00F6350D" w:rsidRDefault="00BA2DC5" w:rsidP="0091064B">
            <w:pPr>
              <w:pStyle w:val="Footer"/>
              <w:pBdr>
                <w:top w:val="single" w:sz="4" w:space="1" w:color="BFBFBF" w:themeColor="background1" w:themeShade="BF"/>
              </w:pBdr>
              <w:tabs>
                <w:tab w:val="clear" w:pos="4320"/>
                <w:tab w:val="clear" w:pos="8640"/>
                <w:tab w:val="center" w:pos="5040"/>
                <w:tab w:val="right" w:pos="10080"/>
              </w:tabs>
            </w:pPr>
            <w:r>
              <w:t xml:space="preserve">                                                      </w:t>
            </w:r>
            <w:r w:rsidR="00F6350D">
              <w:tab/>
              <w:t xml:space="preserve">Page </w:t>
            </w:r>
            <w:r w:rsidR="00F6350D">
              <w:rPr>
                <w:b/>
                <w:bCs/>
                <w:sz w:val="24"/>
              </w:rPr>
              <w:fldChar w:fldCharType="begin"/>
            </w:r>
            <w:r w:rsidR="00F6350D">
              <w:rPr>
                <w:b/>
                <w:bCs/>
              </w:rPr>
              <w:instrText xml:space="preserve"> PAGE </w:instrText>
            </w:r>
            <w:r w:rsidR="00F6350D">
              <w:rPr>
                <w:b/>
                <w:bCs/>
                <w:sz w:val="24"/>
              </w:rPr>
              <w:fldChar w:fldCharType="separate"/>
            </w:r>
            <w:r w:rsidR="0045542F">
              <w:rPr>
                <w:b/>
                <w:bCs/>
                <w:noProof/>
              </w:rPr>
              <w:t>1</w:t>
            </w:r>
            <w:r w:rsidR="00F6350D">
              <w:rPr>
                <w:b/>
                <w:bCs/>
                <w:sz w:val="24"/>
              </w:rPr>
              <w:fldChar w:fldCharType="end"/>
            </w:r>
            <w:r w:rsidR="00F6350D">
              <w:t xml:space="preserve"> of </w:t>
            </w:r>
            <w:r w:rsidR="00F6350D">
              <w:rPr>
                <w:b/>
                <w:bCs/>
                <w:sz w:val="24"/>
              </w:rPr>
              <w:fldChar w:fldCharType="begin"/>
            </w:r>
            <w:r w:rsidR="00F6350D">
              <w:rPr>
                <w:b/>
                <w:bCs/>
              </w:rPr>
              <w:instrText xml:space="preserve"> NUMPAGES  </w:instrText>
            </w:r>
            <w:r w:rsidR="00F6350D">
              <w:rPr>
                <w:b/>
                <w:bCs/>
                <w:sz w:val="24"/>
              </w:rPr>
              <w:fldChar w:fldCharType="separate"/>
            </w:r>
            <w:r w:rsidR="0045542F">
              <w:rPr>
                <w:b/>
                <w:bCs/>
                <w:noProof/>
              </w:rPr>
              <w:t>2</w:t>
            </w:r>
            <w:r w:rsidR="00F6350D">
              <w:rPr>
                <w:b/>
                <w:bCs/>
                <w:sz w:val="24"/>
              </w:rPr>
              <w:fldChar w:fldCharType="end"/>
            </w:r>
            <w:r>
              <w:rPr>
                <w:b/>
                <w:bCs/>
                <w:sz w:val="24"/>
              </w:rPr>
              <w:t xml:space="preserve">                 </w:t>
            </w:r>
            <w:r>
              <w:t>HPE Confidential</w:t>
            </w:r>
            <w:r w:rsidR="00F6350D">
              <w:tab/>
            </w:r>
          </w:p>
        </w:sdtContent>
      </w:sdt>
    </w:sdtContent>
  </w:sdt>
  <w:p w14:paraId="2F68FE3F" w14:textId="198B0AA3" w:rsidR="00F6350D" w:rsidRPr="0091064B" w:rsidRDefault="00F6350D" w:rsidP="0091064B">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62AD" w14:textId="77777777" w:rsidR="00782827" w:rsidRDefault="00782827">
      <w:r>
        <w:separator/>
      </w:r>
    </w:p>
  </w:footnote>
  <w:footnote w:type="continuationSeparator" w:id="0">
    <w:p w14:paraId="7A799838" w14:textId="77777777" w:rsidR="00782827" w:rsidRDefault="0078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FE3D" w14:textId="09E198D8" w:rsidR="00F6350D" w:rsidRPr="0091064B" w:rsidRDefault="00E24D51" w:rsidP="00211325">
    <w:pPr>
      <w:pStyle w:val="Header"/>
      <w:pBdr>
        <w:bottom w:val="single" w:sz="4" w:space="1" w:color="BFBFBF" w:themeColor="background1" w:themeShade="BF"/>
      </w:pBdr>
      <w:tabs>
        <w:tab w:val="clear" w:pos="4320"/>
        <w:tab w:val="clear" w:pos="8640"/>
        <w:tab w:val="center" w:pos="5040"/>
        <w:tab w:val="right" w:pos="10080"/>
      </w:tabs>
    </w:pPr>
    <w:r>
      <w:rPr>
        <w:noProof/>
      </w:rPr>
      <w:drawing>
        <wp:inline distT="0" distB="0" distL="0" distR="0" wp14:anchorId="728D8E5D" wp14:editId="2DDCFF08">
          <wp:extent cx="542696" cy="16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2696" cy="161856"/>
                  </a:xfrm>
                  <a:prstGeom prst="rect">
                    <a:avLst/>
                  </a:prstGeom>
                </pic:spPr>
              </pic:pic>
            </a:graphicData>
          </a:graphic>
        </wp:inline>
      </w:drawing>
    </w:r>
    <w:r w:rsidR="00F6350D">
      <w:tab/>
    </w:r>
    <w:r w:rsidR="00F6350D">
      <w:tab/>
    </w:r>
    <w:r>
      <w:rPr>
        <w:noProof/>
      </w:rPr>
      <w:drawing>
        <wp:inline distT="0" distB="0" distL="0" distR="0" wp14:anchorId="2EB1441A" wp14:editId="535DBEF7">
          <wp:extent cx="322955" cy="22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322955"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5B89"/>
    <w:multiLevelType w:val="hybridMultilevel"/>
    <w:tmpl w:val="BFDA9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YjL8DPn0J+XyOPfkawAswu+3Ok5ZJzniUCaIu2EiDhBuJnlf6k+LmMMhcC0jWYJnS5Fi3QxRdrye/TqJuaByRQ==" w:salt="y2QgPAxubaYCd7JngdE1MA=="/>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38"/>
    <w:rsid w:val="0000067C"/>
    <w:rsid w:val="000213A3"/>
    <w:rsid w:val="00093A70"/>
    <w:rsid w:val="000B492D"/>
    <w:rsid w:val="000C50C4"/>
    <w:rsid w:val="000C6F1F"/>
    <w:rsid w:val="000F65A1"/>
    <w:rsid w:val="00116FBD"/>
    <w:rsid w:val="00126E42"/>
    <w:rsid w:val="00135BEE"/>
    <w:rsid w:val="00136B14"/>
    <w:rsid w:val="001427BD"/>
    <w:rsid w:val="00153C48"/>
    <w:rsid w:val="00176120"/>
    <w:rsid w:val="001873A1"/>
    <w:rsid w:val="00190440"/>
    <w:rsid w:val="001A0AF6"/>
    <w:rsid w:val="001C6E57"/>
    <w:rsid w:val="001D3369"/>
    <w:rsid w:val="00200D47"/>
    <w:rsid w:val="00211325"/>
    <w:rsid w:val="00213630"/>
    <w:rsid w:val="00215CE6"/>
    <w:rsid w:val="00223D4D"/>
    <w:rsid w:val="00236CFD"/>
    <w:rsid w:val="0024413E"/>
    <w:rsid w:val="00254F42"/>
    <w:rsid w:val="00262CE0"/>
    <w:rsid w:val="00267FA5"/>
    <w:rsid w:val="002842E0"/>
    <w:rsid w:val="00290A65"/>
    <w:rsid w:val="002C1717"/>
    <w:rsid w:val="002C7A3F"/>
    <w:rsid w:val="002D7D13"/>
    <w:rsid w:val="002E6125"/>
    <w:rsid w:val="00306E39"/>
    <w:rsid w:val="00321303"/>
    <w:rsid w:val="00367251"/>
    <w:rsid w:val="003732F6"/>
    <w:rsid w:val="0039304C"/>
    <w:rsid w:val="00395D9F"/>
    <w:rsid w:val="00395EC2"/>
    <w:rsid w:val="00397C05"/>
    <w:rsid w:val="003A222A"/>
    <w:rsid w:val="003A7532"/>
    <w:rsid w:val="003B46E3"/>
    <w:rsid w:val="003C0839"/>
    <w:rsid w:val="003E04F2"/>
    <w:rsid w:val="003E77E6"/>
    <w:rsid w:val="003F21AD"/>
    <w:rsid w:val="003F4EA6"/>
    <w:rsid w:val="003F6696"/>
    <w:rsid w:val="00413A4E"/>
    <w:rsid w:val="00430087"/>
    <w:rsid w:val="00447C23"/>
    <w:rsid w:val="0045282F"/>
    <w:rsid w:val="0045542F"/>
    <w:rsid w:val="004B2D38"/>
    <w:rsid w:val="004B614F"/>
    <w:rsid w:val="004F19CC"/>
    <w:rsid w:val="005118DB"/>
    <w:rsid w:val="005515AE"/>
    <w:rsid w:val="0058228F"/>
    <w:rsid w:val="005B3ECD"/>
    <w:rsid w:val="005B7BDC"/>
    <w:rsid w:val="005C5808"/>
    <w:rsid w:val="005C7EC7"/>
    <w:rsid w:val="005D40C9"/>
    <w:rsid w:val="005F65C8"/>
    <w:rsid w:val="00611FF2"/>
    <w:rsid w:val="00617010"/>
    <w:rsid w:val="00627CC1"/>
    <w:rsid w:val="006336BC"/>
    <w:rsid w:val="00687659"/>
    <w:rsid w:val="0069639D"/>
    <w:rsid w:val="00757909"/>
    <w:rsid w:val="0078050F"/>
    <w:rsid w:val="00782827"/>
    <w:rsid w:val="007A2E3F"/>
    <w:rsid w:val="007A500F"/>
    <w:rsid w:val="007C5995"/>
    <w:rsid w:val="00814AC9"/>
    <w:rsid w:val="00826AF1"/>
    <w:rsid w:val="00831F77"/>
    <w:rsid w:val="00857797"/>
    <w:rsid w:val="00857DAB"/>
    <w:rsid w:val="008626D6"/>
    <w:rsid w:val="00871746"/>
    <w:rsid w:val="008752AC"/>
    <w:rsid w:val="008A2D9E"/>
    <w:rsid w:val="008D5D1D"/>
    <w:rsid w:val="008D6F63"/>
    <w:rsid w:val="008F5322"/>
    <w:rsid w:val="008F5D2C"/>
    <w:rsid w:val="00900491"/>
    <w:rsid w:val="0090703A"/>
    <w:rsid w:val="0091064B"/>
    <w:rsid w:val="00912E09"/>
    <w:rsid w:val="009164E4"/>
    <w:rsid w:val="009279FB"/>
    <w:rsid w:val="0093411E"/>
    <w:rsid w:val="00936B1B"/>
    <w:rsid w:val="00946EB4"/>
    <w:rsid w:val="00947BCD"/>
    <w:rsid w:val="009575D3"/>
    <w:rsid w:val="00965BEB"/>
    <w:rsid w:val="009660B2"/>
    <w:rsid w:val="00973B88"/>
    <w:rsid w:val="00984AAB"/>
    <w:rsid w:val="009C385F"/>
    <w:rsid w:val="00A044A2"/>
    <w:rsid w:val="00A20770"/>
    <w:rsid w:val="00A50F18"/>
    <w:rsid w:val="00A67073"/>
    <w:rsid w:val="00AC6B8C"/>
    <w:rsid w:val="00AD30A3"/>
    <w:rsid w:val="00B33C9A"/>
    <w:rsid w:val="00BA0F6C"/>
    <w:rsid w:val="00BA2DC5"/>
    <w:rsid w:val="00BA7E42"/>
    <w:rsid w:val="00BD3D36"/>
    <w:rsid w:val="00BE4418"/>
    <w:rsid w:val="00C00739"/>
    <w:rsid w:val="00C17CA1"/>
    <w:rsid w:val="00C47EC2"/>
    <w:rsid w:val="00C76E1B"/>
    <w:rsid w:val="00CD4B29"/>
    <w:rsid w:val="00D053BE"/>
    <w:rsid w:val="00D3151E"/>
    <w:rsid w:val="00D34DE7"/>
    <w:rsid w:val="00D3748E"/>
    <w:rsid w:val="00D378A3"/>
    <w:rsid w:val="00D417B0"/>
    <w:rsid w:val="00D51B97"/>
    <w:rsid w:val="00D626A5"/>
    <w:rsid w:val="00D66611"/>
    <w:rsid w:val="00D81FA1"/>
    <w:rsid w:val="00D877C3"/>
    <w:rsid w:val="00DC2014"/>
    <w:rsid w:val="00DC3EC7"/>
    <w:rsid w:val="00DC4A76"/>
    <w:rsid w:val="00DD022D"/>
    <w:rsid w:val="00DD6518"/>
    <w:rsid w:val="00E238FC"/>
    <w:rsid w:val="00E24D51"/>
    <w:rsid w:val="00E32874"/>
    <w:rsid w:val="00E56898"/>
    <w:rsid w:val="00E630CD"/>
    <w:rsid w:val="00E8631C"/>
    <w:rsid w:val="00E941CE"/>
    <w:rsid w:val="00E94E3B"/>
    <w:rsid w:val="00EA61D1"/>
    <w:rsid w:val="00EB7BAF"/>
    <w:rsid w:val="00EE2FC3"/>
    <w:rsid w:val="00EE3CB1"/>
    <w:rsid w:val="00EE4328"/>
    <w:rsid w:val="00F14F00"/>
    <w:rsid w:val="00F17F51"/>
    <w:rsid w:val="00F3758E"/>
    <w:rsid w:val="00F449BC"/>
    <w:rsid w:val="00F44DE9"/>
    <w:rsid w:val="00F47905"/>
    <w:rsid w:val="00F6350D"/>
    <w:rsid w:val="00F8633F"/>
    <w:rsid w:val="00F90C9A"/>
    <w:rsid w:val="00FA4EC4"/>
    <w:rsid w:val="00FA7330"/>
    <w:rsid w:val="00FC34B2"/>
    <w:rsid w:val="00FD735C"/>
    <w:rsid w:val="00FE349F"/>
    <w:rsid w:val="00FF11C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FE1C"/>
  <w15:docId w15:val="{5B16F56F-B3D5-4378-98BB-8F215122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13A3"/>
    <w:pPr>
      <w:widowControl w:val="0"/>
      <w:autoSpaceDE w:val="0"/>
      <w:autoSpaceDN w:val="0"/>
      <w:adjustRightInd w:val="0"/>
    </w:pPr>
    <w:rPr>
      <w:szCs w:val="24"/>
      <w:lang w:val="en-US" w:eastAsia="en-US"/>
    </w:rPr>
  </w:style>
  <w:style w:type="paragraph" w:styleId="Heading2">
    <w:name w:val="heading 2"/>
    <w:basedOn w:val="Normal"/>
    <w:next w:val="Normal"/>
    <w:link w:val="Heading2Char"/>
    <w:uiPriority w:val="9"/>
    <w:unhideWhenUsed/>
    <w:rsid w:val="00254F4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pAbstract">
    <w:name w:val="_hp_Abstract"/>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i/>
      <w:color w:val="000000"/>
    </w:rPr>
  </w:style>
  <w:style w:type="paragraph" w:customStyle="1" w:styleId="hpAuthors">
    <w:name w:val="_hp_Authors"/>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60"/>
      <w:jc w:val="center"/>
    </w:pPr>
    <w:rPr>
      <w:color w:val="000000"/>
      <w:sz w:val="24"/>
    </w:rPr>
  </w:style>
  <w:style w:type="paragraph" w:customStyle="1" w:styleId="hpBody">
    <w:name w:val="_hp_Body"/>
    <w:basedOn w:val="Normal"/>
    <w:link w:val="hpBodyChar"/>
    <w:qFormat/>
    <w:rsid w:val="000213A3"/>
    <w:pPr>
      <w:spacing w:before="0" w:after="40"/>
      <w:jc w:val="both"/>
    </w:pPr>
    <w:rPr>
      <w:color w:val="000000"/>
      <w:sz w:val="20"/>
    </w:rPr>
  </w:style>
  <w:style w:type="paragraph" w:customStyle="1" w:styleId="hpCaption">
    <w:name w:val="_hp_Caption"/>
    <w:basedOn w:val="Normal"/>
    <w:qFormat/>
    <w:rsid w:val="000213A3"/>
    <w:pPr>
      <w:spacing w:after="60"/>
      <w:jc w:val="center"/>
    </w:pPr>
    <w:rPr>
      <w:color w:val="000000"/>
    </w:rPr>
  </w:style>
  <w:style w:type="paragraph" w:customStyle="1" w:styleId="hpHeading0">
    <w:name w:val="_hp_Heading 0"/>
    <w:basedOn w:val="Normal"/>
    <w:next w:val="hpAbstract"/>
    <w:link w:val="hpHeading0Char"/>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40"/>
      <w:jc w:val="center"/>
    </w:pPr>
    <w:rPr>
      <w:rFonts w:ascii="Helvetica" w:hAnsi="Helvetica" w:cs="Helvetica"/>
      <w:b/>
      <w:color w:val="000000"/>
      <w:sz w:val="28"/>
    </w:rPr>
  </w:style>
  <w:style w:type="paragraph" w:customStyle="1" w:styleId="hpHeading1">
    <w:name w:val="_hp_Heading 1"/>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60" w:after="40"/>
    </w:pPr>
    <w:rPr>
      <w:rFonts w:ascii="Arial" w:hAnsi="Arial" w:cs="Arial"/>
      <w:b/>
      <w:color w:val="000000"/>
      <w:sz w:val="28"/>
    </w:rPr>
  </w:style>
  <w:style w:type="paragraph" w:customStyle="1" w:styleId="hpHeading2">
    <w:name w:val="_hp_Heading 2"/>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rFonts w:ascii="Arial" w:hAnsi="Arial" w:cs="Arial"/>
      <w:b/>
      <w:color w:val="000000"/>
      <w:sz w:val="24"/>
    </w:rPr>
  </w:style>
  <w:style w:type="paragraph" w:customStyle="1" w:styleId="hpHeading3">
    <w:name w:val="_hp_Heading 3"/>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rFonts w:ascii="Arial" w:hAnsi="Arial" w:cs="Arial"/>
      <w:b/>
      <w:i/>
      <w:color w:val="000000"/>
      <w:sz w:val="22"/>
    </w:rPr>
  </w:style>
  <w:style w:type="paragraph" w:customStyle="1" w:styleId="hpPaper-Title">
    <w:name w:val="_hp_Paper-Title"/>
    <w:basedOn w:val="Normal"/>
    <w:next w:val="hpAuthors"/>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paragraph" w:customStyle="1" w:styleId="Footnote">
    <w:name w:val="Footnote"/>
    <w:basedOn w:val="Normal"/>
    <w:rsid w:val="000213A3"/>
    <w:pPr>
      <w:tabs>
        <w:tab w:val="left" w:pos="720"/>
      </w:tabs>
      <w:ind w:left="720" w:right="360"/>
    </w:pPr>
    <w:rPr>
      <w:rFonts w:ascii="Times" w:hAnsi="Times" w:cs="Times"/>
      <w:color w:val="000000"/>
      <w:sz w:val="24"/>
    </w:rPr>
  </w:style>
  <w:style w:type="paragraph" w:customStyle="1" w:styleId="References">
    <w:name w:val="References"/>
    <w:basedOn w:val="Normal"/>
    <w:rsid w:val="000213A3"/>
    <w:pPr>
      <w:jc w:val="both"/>
    </w:pPr>
    <w:rPr>
      <w:color w:val="000000"/>
    </w:rPr>
  </w:style>
  <w:style w:type="character" w:customStyle="1" w:styleId="DefaultXREFstyle">
    <w:name w:val="Default_XREF_style"/>
    <w:rsid w:val="000213A3"/>
    <w:rPr>
      <w:color w:val="00FF00"/>
    </w:rPr>
  </w:style>
  <w:style w:type="character" w:customStyle="1" w:styleId="Symbol">
    <w:name w:val="Symbol"/>
    <w:rsid w:val="00254F42"/>
  </w:style>
  <w:style w:type="paragraph" w:styleId="Header">
    <w:name w:val="header"/>
    <w:basedOn w:val="Normal"/>
    <w:semiHidden/>
    <w:rsid w:val="000213A3"/>
    <w:pPr>
      <w:tabs>
        <w:tab w:val="center" w:pos="4320"/>
        <w:tab w:val="right" w:pos="8640"/>
      </w:tabs>
    </w:pPr>
  </w:style>
  <w:style w:type="paragraph" w:styleId="Footer">
    <w:name w:val="footer"/>
    <w:basedOn w:val="Normal"/>
    <w:link w:val="FooterChar"/>
    <w:uiPriority w:val="99"/>
    <w:rsid w:val="00EE4328"/>
    <w:pPr>
      <w:tabs>
        <w:tab w:val="center" w:pos="4320"/>
        <w:tab w:val="right" w:pos="8640"/>
      </w:tabs>
      <w:jc w:val="center"/>
    </w:pPr>
  </w:style>
  <w:style w:type="character" w:styleId="CommentReference">
    <w:name w:val="annotation reference"/>
    <w:basedOn w:val="DefaultParagraphFont"/>
    <w:uiPriority w:val="99"/>
    <w:semiHidden/>
    <w:unhideWhenUsed/>
    <w:rsid w:val="00857DAB"/>
    <w:rPr>
      <w:sz w:val="16"/>
      <w:szCs w:val="16"/>
    </w:rPr>
  </w:style>
  <w:style w:type="paragraph" w:styleId="CommentText">
    <w:name w:val="annotation text"/>
    <w:basedOn w:val="Normal"/>
    <w:link w:val="CommentTextChar"/>
    <w:uiPriority w:val="99"/>
    <w:semiHidden/>
    <w:unhideWhenUsed/>
    <w:rsid w:val="00857DAB"/>
    <w:rPr>
      <w:szCs w:val="20"/>
    </w:rPr>
  </w:style>
  <w:style w:type="character" w:customStyle="1" w:styleId="CommentTextChar">
    <w:name w:val="Comment Text Char"/>
    <w:basedOn w:val="DefaultParagraphFont"/>
    <w:link w:val="CommentText"/>
    <w:uiPriority w:val="99"/>
    <w:semiHidden/>
    <w:rsid w:val="00857DAB"/>
    <w:rPr>
      <w:lang w:val="en-US" w:eastAsia="en-US"/>
    </w:rPr>
  </w:style>
  <w:style w:type="paragraph" w:styleId="CommentSubject">
    <w:name w:val="annotation subject"/>
    <w:basedOn w:val="CommentText"/>
    <w:next w:val="CommentText"/>
    <w:link w:val="CommentSubjectChar"/>
    <w:uiPriority w:val="99"/>
    <w:semiHidden/>
    <w:unhideWhenUsed/>
    <w:rsid w:val="00857DAB"/>
    <w:rPr>
      <w:b/>
      <w:bCs/>
    </w:rPr>
  </w:style>
  <w:style w:type="character" w:customStyle="1" w:styleId="CommentSubjectChar">
    <w:name w:val="Comment Subject Char"/>
    <w:basedOn w:val="CommentTextChar"/>
    <w:link w:val="CommentSubject"/>
    <w:uiPriority w:val="99"/>
    <w:semiHidden/>
    <w:rsid w:val="00857DAB"/>
    <w:rPr>
      <w:b/>
      <w:bCs/>
      <w:lang w:val="en-US" w:eastAsia="en-US"/>
    </w:rPr>
  </w:style>
  <w:style w:type="paragraph" w:styleId="BalloonText">
    <w:name w:val="Balloon Text"/>
    <w:basedOn w:val="Normal"/>
    <w:link w:val="BalloonTextChar"/>
    <w:uiPriority w:val="99"/>
    <w:semiHidden/>
    <w:unhideWhenUsed/>
    <w:rsid w:val="00857DAB"/>
    <w:rPr>
      <w:rFonts w:ascii="Tahoma" w:hAnsi="Tahoma" w:cs="Tahoma"/>
      <w:sz w:val="16"/>
      <w:szCs w:val="16"/>
    </w:rPr>
  </w:style>
  <w:style w:type="character" w:customStyle="1" w:styleId="BalloonTextChar">
    <w:name w:val="Balloon Text Char"/>
    <w:basedOn w:val="DefaultParagraphFont"/>
    <w:link w:val="BalloonText"/>
    <w:uiPriority w:val="99"/>
    <w:semiHidden/>
    <w:rsid w:val="00857DAB"/>
    <w:rPr>
      <w:rFonts w:ascii="Tahoma" w:hAnsi="Tahoma" w:cs="Tahoma"/>
      <w:sz w:val="16"/>
      <w:szCs w:val="16"/>
      <w:lang w:val="en-US" w:eastAsia="en-US"/>
    </w:rPr>
  </w:style>
  <w:style w:type="character" w:styleId="Hyperlink">
    <w:name w:val="Hyperlink"/>
    <w:basedOn w:val="DefaultParagraphFont"/>
    <w:uiPriority w:val="99"/>
    <w:unhideWhenUsed/>
    <w:rsid w:val="00617010"/>
    <w:rPr>
      <w:color w:val="0000FF"/>
      <w:u w:val="single"/>
    </w:rPr>
  </w:style>
  <w:style w:type="character" w:styleId="Strong">
    <w:name w:val="Strong"/>
    <w:basedOn w:val="DefaultParagraphFont"/>
    <w:rsid w:val="008752AC"/>
    <w:rPr>
      <w:b/>
      <w:bCs/>
    </w:rPr>
  </w:style>
  <w:style w:type="character" w:customStyle="1" w:styleId="Heading2Char">
    <w:name w:val="Heading 2 Char"/>
    <w:basedOn w:val="DefaultParagraphFont"/>
    <w:link w:val="Heading2"/>
    <w:uiPriority w:val="9"/>
    <w:rsid w:val="00254F42"/>
    <w:rPr>
      <w:rFonts w:asciiTheme="majorHAnsi" w:eastAsiaTheme="majorEastAsia" w:hAnsiTheme="majorHAnsi" w:cstheme="majorBidi"/>
      <w:b/>
      <w:bCs/>
      <w:color w:val="4F81BD" w:themeColor="accent1"/>
      <w:sz w:val="26"/>
      <w:szCs w:val="26"/>
      <w:lang w:val="en-US" w:eastAsia="en-US"/>
    </w:rPr>
  </w:style>
  <w:style w:type="paragraph" w:customStyle="1" w:styleId="hpreferences">
    <w:name w:val="_hp_references"/>
    <w:basedOn w:val="hpHeading0"/>
    <w:link w:val="hpreferencesChar"/>
    <w:qFormat/>
    <w:rsid w:val="00367251"/>
  </w:style>
  <w:style w:type="paragraph" w:customStyle="1" w:styleId="hprefsbody">
    <w:name w:val="_hp_refs_body"/>
    <w:basedOn w:val="hpBody"/>
    <w:link w:val="hprefsbodyChar"/>
    <w:qFormat/>
    <w:rsid w:val="005D40C9"/>
    <w:pPr>
      <w:spacing w:before="0" w:after="20"/>
      <w:jc w:val="left"/>
    </w:pPr>
    <w:rPr>
      <w:sz w:val="18"/>
      <w:szCs w:val="18"/>
    </w:rPr>
  </w:style>
  <w:style w:type="character" w:customStyle="1" w:styleId="hpHeading0Char">
    <w:name w:val="_hp_Heading 0 Char"/>
    <w:basedOn w:val="DefaultParagraphFont"/>
    <w:link w:val="hpHeading0"/>
    <w:rsid w:val="00367251"/>
    <w:rPr>
      <w:rFonts w:ascii="Helvetica" w:hAnsi="Helvetica" w:cs="Helvetica"/>
      <w:b/>
      <w:color w:val="000000"/>
      <w:sz w:val="28"/>
      <w:szCs w:val="24"/>
      <w:lang w:val="en-US" w:eastAsia="en-US"/>
    </w:rPr>
  </w:style>
  <w:style w:type="character" w:customStyle="1" w:styleId="hpreferencesChar">
    <w:name w:val="_hp_references Char"/>
    <w:basedOn w:val="hpHeading0Char"/>
    <w:link w:val="hpreferences"/>
    <w:rsid w:val="00367251"/>
    <w:rPr>
      <w:rFonts w:ascii="Helvetica" w:hAnsi="Helvetica" w:cs="Helvetica"/>
      <w:b/>
      <w:color w:val="000000"/>
      <w:sz w:val="28"/>
      <w:szCs w:val="24"/>
      <w:lang w:val="en-US" w:eastAsia="en-US"/>
    </w:rPr>
  </w:style>
  <w:style w:type="character" w:customStyle="1" w:styleId="hpBodyChar">
    <w:name w:val="_hp_Body Char"/>
    <w:basedOn w:val="DefaultParagraphFont"/>
    <w:link w:val="hpBody"/>
    <w:rsid w:val="003F21AD"/>
    <w:rPr>
      <w:color w:val="000000"/>
      <w:sz w:val="22"/>
      <w:szCs w:val="24"/>
      <w:lang w:val="en-US" w:eastAsia="en-US"/>
    </w:rPr>
  </w:style>
  <w:style w:type="character" w:customStyle="1" w:styleId="hprefsbodyChar">
    <w:name w:val="_hp_refs_body Char"/>
    <w:basedOn w:val="hpBodyChar"/>
    <w:link w:val="hprefsbody"/>
    <w:rsid w:val="005D40C9"/>
    <w:rPr>
      <w:color w:val="000000"/>
      <w:sz w:val="22"/>
      <w:szCs w:val="24"/>
      <w:lang w:val="en-US" w:eastAsia="en-US"/>
    </w:rPr>
  </w:style>
  <w:style w:type="character" w:customStyle="1" w:styleId="FooterChar">
    <w:name w:val="Footer Char"/>
    <w:basedOn w:val="DefaultParagraphFont"/>
    <w:link w:val="Footer"/>
    <w:uiPriority w:val="99"/>
    <w:rsid w:val="00EE4328"/>
    <w:rPr>
      <w:szCs w:val="24"/>
      <w:lang w:val="en-US" w:eastAsia="en-US"/>
    </w:rPr>
  </w:style>
  <w:style w:type="paragraph" w:customStyle="1" w:styleId="hpacknowledgements">
    <w:name w:val="_hp_acknowledgements"/>
    <w:basedOn w:val="hpreferences"/>
    <w:link w:val="hpacknowledgementsChar"/>
    <w:qFormat/>
    <w:rsid w:val="003F6696"/>
  </w:style>
  <w:style w:type="character" w:customStyle="1" w:styleId="hpacknowledgementsChar">
    <w:name w:val="_hp_acknowledgements Char"/>
    <w:basedOn w:val="hpreferencesChar"/>
    <w:link w:val="hpacknowledgements"/>
    <w:rsid w:val="003F6696"/>
    <w:rPr>
      <w:rFonts w:ascii="Helvetica" w:hAnsi="Helvetica" w:cs="Helvetica"/>
      <w:b/>
      <w:color w:val="000000"/>
      <w:sz w:val="28"/>
      <w:szCs w:val="24"/>
      <w:lang w:val="en-US" w:eastAsia="en-US"/>
    </w:r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mcds>
    <wne:mcd wne:macroName="PROJECT.NEWMACROS.DELETEINSTRUCTIONPAGE" wne:name="Project.NewMacros.deleteInstructionPage" wne:bEncrypt="00" wne:cmg="56"/>
    <wne:mcd wne:macroName="PROJECT.NEWMACROS.AUTOOPEN" wne:name="Project.NewMacros.AutoOpe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9817">
      <w:bodyDiv w:val="1"/>
      <w:marLeft w:val="0"/>
      <w:marRight w:val="0"/>
      <w:marTop w:val="0"/>
      <w:marBottom w:val="0"/>
      <w:divBdr>
        <w:top w:val="none" w:sz="0" w:space="0" w:color="auto"/>
        <w:left w:val="none" w:sz="0" w:space="0" w:color="auto"/>
        <w:bottom w:val="none" w:sz="0" w:space="0" w:color="auto"/>
        <w:right w:val="none" w:sz="0" w:space="0" w:color="auto"/>
      </w:divBdr>
    </w:div>
    <w:div w:id="1441099390">
      <w:bodyDiv w:val="1"/>
      <w:marLeft w:val="0"/>
      <w:marRight w:val="0"/>
      <w:marTop w:val="0"/>
      <w:marBottom w:val="0"/>
      <w:divBdr>
        <w:top w:val="none" w:sz="0" w:space="0" w:color="auto"/>
        <w:left w:val="none" w:sz="0" w:space="0" w:color="auto"/>
        <w:bottom w:val="none" w:sz="0" w:space="0" w:color="auto"/>
        <w:right w:val="none" w:sz="0" w:space="0" w:color="auto"/>
      </w:divBdr>
      <w:divsChild>
        <w:div w:id="205134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vbaProject" Target="vbaProject.bin"/><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 Id="rId20" Type="http://schemas.openxmlformats.org/officeDocument/2006/relationships/image" Target="media/arch_diagram.png"/><Relationship Id="rId22" Type="http://schemas.openxmlformats.org/officeDocument/2006/relationships/image" Target="media/fig_evidence.png"/><Relationship Id="rId23" Type="http://schemas.openxmlformats.org/officeDocument/2006/relationships/image" Target="media/fig_performance.png"/></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_rels/vbaProject.bin.rels><?xml version="1.0" encoding="UTF-8"?><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7dd6b27a-4af5-48ad-9d42-a4dd00bbcf0f">
      <Terms xmlns="http://schemas.microsoft.com/office/infopath/2007/PartnerControls"/>
    </lcf76f155ced4ddcb4097134ff3c332f>
    <TaxCatchAll xmlns="528dc42b-a8a9-4871-b1aa-6145309612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E0211245F4D499B5D9E76334FC4C1" ma:contentTypeVersion="16" ma:contentTypeDescription="Create a new document." ma:contentTypeScope="" ma:versionID="a1215cc302de47505f7147e5766ba5b8">
  <xsd:schema xmlns:xsd="http://www.w3.org/2001/XMLSchema" xmlns:xs="http://www.w3.org/2001/XMLSchema" xmlns:p="http://schemas.microsoft.com/office/2006/metadata/properties" xmlns:ns2="b434d3da-f333-4612-a6ed-cf54e8194959" xmlns:ns3="7dd6b27a-4af5-48ad-9d42-a4dd00bbcf0f" xmlns:ns4="528dc42b-a8a9-4871-b1aa-61453096122c" targetNamespace="http://schemas.microsoft.com/office/2006/metadata/properties" ma:root="true" ma:fieldsID="793d4dd1f892a14b20d34225e9df0c20" ns2:_="" ns3:_="" ns4:_="">
    <xsd:import namespace="b434d3da-f333-4612-a6ed-cf54e8194959"/>
    <xsd:import namespace="7dd6b27a-4af5-48ad-9d42-a4dd00bbcf0f"/>
    <xsd:import namespace="528dc42b-a8a9-4871-b1aa-6145309612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4d3da-f333-4612-a6ed-cf54e819495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6b27a-4af5-48ad-9d42-a4dd00bbcf0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9bb956b-ad4e-42d5-a642-03b13c284a48" ma:internalName="TaxCatchAll" ma:showField="CatchAllData" ma:web="b434d3da-f333-4612-a6ed-cf54e8194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1BC99-ECBD-4C30-B3BB-483E5EC9F43E}">
  <ds:schemaRefs>
    <ds:schemaRef ds:uri="http://schemas.openxmlformats.org/officeDocument/2006/bibliography"/>
  </ds:schemaRefs>
</ds:datastoreItem>
</file>

<file path=customXml/itemProps2.xml><?xml version="1.0" encoding="utf-8"?>
<ds:datastoreItem xmlns:ds="http://schemas.openxmlformats.org/officeDocument/2006/customXml" ds:itemID="{9665D616-F11F-45A7-A825-3A981B2FC4FF}">
  <ds:schemaRefs>
    <ds:schemaRef ds:uri="http://schemas.microsoft.com/office/2006/metadata/properties"/>
  </ds:schemaRefs>
</ds:datastoreItem>
</file>

<file path=customXml/itemProps3.xml><?xml version="1.0" encoding="utf-8"?>
<ds:datastoreItem xmlns:ds="http://schemas.openxmlformats.org/officeDocument/2006/customXml" ds:itemID="{B5D3C95D-CDC2-4A7B-B3E9-B52CD64094B6}"/>
</file>

<file path=customXml/itemProps4.xml><?xml version="1.0" encoding="utf-8"?>
<ds:datastoreItem xmlns:ds="http://schemas.openxmlformats.org/officeDocument/2006/customXml" ds:itemID="{BC2AECB8-0FD5-456E-8F36-18684AEE2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HPTC2003.dot</Template>
  <TotalTime>225</TotalTime>
  <Pages>2</Pages>
  <Words>324</Words>
  <Characters>1853</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WORD Template for Parasparam - HP India Event</vt:lpstr>
    </vt:vector>
  </TitlesOfParts>
  <Company>dotPS Document Production Services</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Parasparam - HP India Event</dc:title>
  <dc:creator>ChristenseJ</dc:creator>
  <cp:lastModifiedBy>Chitale, Mandar Jagannath</cp:lastModifiedBy>
  <cp:revision>15</cp:revision>
  <cp:lastPrinted>2009-09-14T14:56:00Z</cp:lastPrinted>
  <dcterms:created xsi:type="dcterms:W3CDTF">2021-05-03T03:52:00Z</dcterms:created>
  <dcterms:modified xsi:type="dcterms:W3CDTF">2026-03-26T10:11:00Z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0x0101007C0E0211245F4D499B5D9E76334FC4C1</vt:lpwstr>
  </property>
  <property fmtid="{D5CDD505-2E9C-101B-9397-08002B2CF9AE}" pid="3" name="Order">
    <vt:r8>1400</vt:r8>
  </property>
  <property fmtid="{D5CDD505-2E9C-101B-9397-08002B2CF9AE}" pid="4" name="TemplateUrl">
    <vt:lpwstr/>
  </property>
  <property fmtid="{D5CDD505-2E9C-101B-9397-08002B2CF9AE}" pid="5" name="_CopySource">
    <vt:lpwstr>http://teams5.sharepoint.hp.com/teams/techcon/TechCon11/abstract_template_Word2007.docx</vt:lpwstr>
  </property>
  <property fmtid="{D5CDD505-2E9C-101B-9397-08002B2CF9AE}" pid="6" name="xd_ProgID">
    <vt:lpwstr/>
  </property>
  <property fmtid="{D5CDD505-2E9C-101B-9397-08002B2CF9AE}" pid="7" name="GrammarlyDocumentId">
    <vt:lpwstr>6f0571960397691a17207f738dd7c699b3e960f9721b0c647760fcf5db5e922f</vt:lpwstr>
  </property>
</Properties>
</file>