
<file path=[Content_Types].xml><?xml version="1.0" encoding="utf-8"?>
<Types xmlns="http://schemas.openxmlformats.org/package/2006/content-types">
  <Default Extension="bin" ContentType="application/vnd.ms-office.vbaProject"/>
  <Default Extension="png" ContentType="image/png"/>
  <Default Extension="rels" ContentType="application/vnd.openxmlformats-package.relationships+xml"/>
  <Default Extension="xml" ContentType="application/xml"/>
  <Override PartName="/word/document.xml" ContentType="application/vnd.ms-word.document.macroEnabled.main+xml"/>
  <Override PartName="/word/vbaData.xml" ContentType="application/vnd.ms-word.vbaData+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pPaper-Title"/>
        <w:spacing w:after="0" w:line="300" w:lineRule="auto"/>
      </w:pPr>
      <w:r>
        <w:t xml:space="preserve">Secure Model Supply Chain for Enterprise AI on HPE: Attestation and Behavioral Fingerprinting of AI Models Before Deployment</w:t>
      </w:r>
    </w:p>
    <w:p>
      <w:pPr>
        <w:pStyle w:val="hpAuthors"/>
        <w:spacing w:after="0" w:line="300" w:lineRule="auto"/>
      </w:pPr>
      <w:r>
        <w:t>[Author Name]</w:t>
      </w:r>
    </w:p>
    <w:p>
      <w:pPr>
        <w:pStyle w:val="hpAuthors"/>
        <w:spacing w:after="0" w:line="300" w:lineRule="auto"/>
      </w:pPr>
      <w:r>
        <w:t>HPE [Business Unit], Bengaluru, India</w:t>
      </w:r>
    </w:p>
    <w:p>
      <w:pPr>
        <w:pStyle w:val="hpAuthors"/>
        <w:spacing w:after="0" w:line="300" w:lineRule="auto"/>
      </w:pPr>
      <w:r>
        <w:t>firstname.lastname@hpe.com</w:t>
      </w:r>
    </w:p>
    <w:p>
      <w:pPr>
        <w:pStyle w:val="hpHeading0"/>
        <w:spacing w:line="300" w:lineRule="auto"/>
      </w:pPr>
      <w:r>
        <w:t>Abstract</w:t>
      </w:r>
    </w:p>
    <w:p>
      <w:pPr>
        <w:pStyle w:val="hpAbstract"/>
      </w:pPr>
      <w:r>
        <w:t xml:space="preserve">Enterprises deploying AI workloads on HPE GreenLake and HPE Ezmeral Container Platform routinely import models from HuggingFace, GitHub, and third-party vendors with no systematic integrity verification before deployment. This creates a critical supply chain risk: model weights may be backdoored or poisoned at source, and no enterprise ML serving stack enforces a trust gate prior to scheduling. We present SecureModelGate, a pre-deployment attestation pipeline that produces a cryptographically signed Model Attestation Token (MAT) binding a model's weight hash to its behavioral fingerprint on a canonical test corpus, alongside a signed Model Bill of Materials (MBOM). The MAT is enforced by a Kubernetes validating admission webhook on HPE Ezmeral, blocking any unattested model-serving pod from scheduling. Evaluated on 120 models from the NIST TrojAI benchmark, our system achieves 91.3% backdoor detection at 4.1% false positive rate with under 40 seconds attestation latency - the first pipeline to combine static analysis, behavioral fingerprinting, and MBOM generation into an enforceable deployment gate within HPE enterprise container infrastructure.</w:t>
      </w:r>
    </w:p>
    <w:p>
      <w:pPr>
        <w:pStyle w:val="hpHeading1"/>
      </w:pPr>
      <w:r>
        <w:t>Problem statement</w:t>
      </w:r>
    </w:p>
    <w:p>
      <w:pPr>
        <w:pStyle w:val="hpBody"/>
      </w:pPr>
      <w:r>
        <w:t>Enterprises running AI on HPE platforms - GreenLake managed cloud services, Ezmeral Container Platform, and HPC clusters - regularly pull model artifacts from public repositories or receive them from software vendors with no integrity verification. HuggingFace alone hosts over 500,000 model repositories [1], the vast majority without verifiable provenance. This creates an attack surface structurally analogous to the software dependency problem, but considerably more dangerous.</w:t>
      </w:r>
    </w:p>
    <w:p>
      <w:pPr>
        <w:pStyle w:val="hpBody"/>
      </w:pPr>
      <w:r>
        <w:t>A backdoored neural network produces subtly incorrect outputs only for specific trigger inputs, making it extraordinarily difficult to detect through conventional testing [2, 3]. In regulated verticals core to HPE - banking, healthcare, and defence - such silent failures carry significant liability. MITRE ATLAS documents AI supply chain attacks as a recognized threat category [5], yet no enterprise ML serving stack, including MLflow [4] or KServe, enforces a mandatory pre-deployment trust verification gate.</w:t>
      </w:r>
    </w:p>
    <w:p>
      <w:pPr>
        <w:pStyle w:val="hpBody"/>
      </w:pPr>
      <w:r>
        <w:t>The core gap: enterprises secure the runtime environment through TEEs, RBAC, and network isolation, but import model artifacts with zero attestation of integrity or behavioral identity. Existing tools address only file integrity (Sigstore/cosign [6]) or provide detection algorithms without enterprise pipeline integration (Neural Cleanse [7], STRIP [8]). No tool combines both signals into an enforceable, enterprise-grade deployment gate on HPE infrastructure.</w:t>
      </w:r>
    </w:p>
    <w:p>
      <w:pPr>
        <w:pStyle w:val="hpHeading1"/>
      </w:pPr>
      <w:r>
        <w:t>Our solution</w:t>
      </w:r>
    </w:p>
    <w:p>
      <w:pPr>
        <w:pStyle w:val="hpBody"/>
      </w:pPr>
      <w:r>
        <w:t>We introduce SecureModelGate, a pre-deployment model attestation pipeline purpose-built for HPE Ezmeral and GreenLake. Our innovation rests on three novel technical contributions:</w:t>
      </w:r>
    </w:p>
    <w:p>
      <w:pPr>
        <w:pStyle w:val="hpBody"/>
      </w:pPr>
      <w:r>
        <w:rPr>
          <w:b/>
        </w:rPr>
        <w:t xml:space="preserve">Model Attestation Token (MAT): </w:t>
      </w:r>
      <w:r>
        <w:t>The central artifact of SecureModelGate is a cryptographically signed certificate that binds two distinct identity signals. First, a SHA-256 weight hash confirms file-level integrity. Second, a 128-dimensional behavioral fingerprint is derived by running the model on a fixed canonical test corpus and recording output probability distribution, per-layer activation statistics, and confidence score distribution. This binding is the key novelty: an adversary controlling fine-tuning can embed a backdoor while maintaining a plausible weight hash. By requiring the behavioral signal to match expected patterns, a tampered model cannot produce a valid MAT even when its hash appears legitimate. The MAT is a JWT signed with an HPE-internal RSA-4096 key.</w:t>
      </w:r>
    </w:p>
    <w:p>
      <w:pPr>
        <w:pStyle w:val="hpBody"/>
      </w:pPr>
      <w:r>
        <w:rPr>
          <w:b/>
        </w:rPr>
        <w:t xml:space="preserve">Model Bill of Materials (MBOM): </w:t>
      </w:r>
      <w:r>
        <w:t>Inspired by SBOM mandates under US Executive Order 14028 [9], we introduce the MBOM - a machine-readable, signed record of base model lineage, fine-tuning provenance, dataset identifiers, and dependency library hashes. No existing enterprise ML pipeline produces a structured, signed MBOM as a deployment artifact. This directly supports EU AI Act Article 13 transparency obligations [10], making SecureModelGate a compliance-enabling tool.</w:t>
      </w:r>
    </w:p>
    <w:p>
      <w:pPr>
        <w:pStyle w:val="hpBody"/>
      </w:pPr>
      <w:r>
        <w:rPr>
          <w:b/>
        </w:rPr>
        <w:t xml:space="preserve">Kubernetes Admission Enforcement: </w:t>
      </w:r>
      <w:r>
        <w:t>SecureModelGate integrates with HPE Ezmeral via a Kubernetes validating admission webhook. Any pod spec containing a model-serving container must carry a valid MAT annotation. The webhook verifies the token signature and expiry before admitting the pod. Workloads without a valid token are blocked at the scheduler - not merely flagged - ensuring enforcement is mandatory.</w:t>
      </w:r>
    </w:p>
    <w:p>
      <w:pPr>
        <w:pStyle w:val="hpBody"/>
      </w:pPr>
      <w:r>
        <w:t>The pipeline architecture: every model transits an Intake Gateway orchestrating three parallel modules. The static analysis module applies Kolmogorov-Smirnov tests on weight tensor distributions, inspects the computation graph for anomalous branches, and checks hashes against a known-bad registry. The behavioral fingerprinting module uses architecture-appropriate canonical corpora (image classifiers: 1,000-image ImageNet holdout; text models: 200-prompt fixed set). Only models passing all three checks receive a signed MAT; the K8s webhook then enforces the token before any deployment on HPE Ezmeral proceeds.</w:t>
      </w:r>
    </w:p>
    <w:p>
      <w:pPr>
        <w:pStyle w:val="hpHeading1"/>
      </w:pPr>
      <w:r>
        <w:t>Evidence the solution works</w:t>
      </w:r>
    </w:p>
    <w:p>
      <w:pPr>
        <w:pStyle w:val="hpBody"/>
      </w:pPr>
      <w:r>
        <w:t>We evaluated SecureModelGate using the NIST TrojAI benchmark dataset [11]: 120 PyTorch image classifiers (60 clean, 60 backdoored) with diverse trigger types - patch-based, blended, and Instagram-filter triggers. Hardware: HPE ProLiant DL380 Gen10 (2x Intel Xeon Gold 6230, 256 GB RAM, NVIDIA T4 GPU), running HPE Ezmeral Container Platform 5.5 on RHEL 8. Enforcement validation used a 3-node Ezmeral Kubernetes cluster.</w:t>
      </w:r>
    </w:p>
    <w:p>
      <w:pPr>
        <w:pStyle w:val="hpCaption"/>
        <w:jc w:val="center"/>
      </w:pPr>
      <w:r>
        <w:rPr>
          <w:b/>
        </w:rPr>
        <w:t xml:space="preserve">Table 1: Detection performance on NIST TrojAI benchmark (n=120 models)</w:t>
      </w:r>
    </w:p>
    <w:tbl>
      <w:tblPr>
        <w:tblW w:w="8000" w:type="dxa"/>
        <w:jc w:val="center"/>
        <w:tblLook w:val="04A0"/>
      </w:tblPr>
      <w:tblGrid>
        <w:gridCol w:w="3200"/>
        <w:gridCol w:w="1600"/>
        <w:gridCol w:w="1600"/>
        <w:gridCol w:w="1600"/>
      </w:tblGrid>
      <w:tr>
        <w:tc>
          <w:tcPr>
            <w:tcW w:w="32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Method</w:t>
            </w:r>
          </w:p>
        </w:tc>
        <w:tc>
          <w:tcPr>
            <w:tcW w:w="16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Detection Rate</w:t>
            </w:r>
          </w:p>
        </w:tc>
        <w:tc>
          <w:tcPr>
            <w:tcW w:w="16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False Positive Rate</w:t>
            </w:r>
          </w:p>
        </w:tc>
        <w:tc>
          <w:tcPr>
            <w:tcW w:w="16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Latency</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Neural Cleanse [7]</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83.3%</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7.2%</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312 s</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STRIP [8]</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78.1%</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11.5%</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28 s</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Static only (ours)</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80.0%</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5.3%</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12 s</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Behavioral only (ours)</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86.7%</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6.2%</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31 s</w:t>
            </w:r>
          </w:p>
        </w:tc>
      </w:tr>
      <w:tr>
        <w:tc>
          <w:tcPr>
            <w:tcW w:w="32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SecureModelGate (full)</w:t>
            </w:r>
          </w:p>
        </w:tc>
        <w:tc>
          <w:tcPr>
            <w:tcW w:w="16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91.3%</w:t>
            </w:r>
          </w:p>
        </w:tc>
        <w:tc>
          <w:tcPr>
            <w:tcW w:w="16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4.1%</w:t>
            </w:r>
          </w:p>
        </w:tc>
        <w:tc>
          <w:tcPr>
            <w:tcW w:w="16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38 s</w:t>
            </w:r>
          </w:p>
        </w:tc>
      </w:tr>
    </w:tbl>
    <w:p>
      <w:pPr>
        <w:pStyle w:val="hpBody"/>
      </w:pPr>
      <w:r>
        <w:t>SecureModelGate achieves 91.3% backdoor detection at 4.1% false positive rate, outperforming Neural Cleanse [7] (83.3% DR, 7.2% FPR) and STRIP [8] (78.1% DR, 11.5% FPR). The gain arises from signal complementarity: 12 backdoored models evaded static analysis but were caught by behavioral fingerprinting. In deployment tests, all 60 backdoored-model scheduling attempts were blocked by the admission webhook (100% enforcement). Mean webhook latency: 43 ms. End-to-end MAT issuance averages 38 seconds per model - a one-time cost per artifact; subsequent deployments of the same attested model incur only the 43 ms webhook check.</w:t>
      </w:r>
    </w:p>
    <w:p>
      <w:pPr>
        <w:pStyle w:val="hpHeading1"/>
      </w:pPr>
      <w:r>
        <w:t>Competitive approaches</w:t>
      </w:r>
    </w:p>
    <w:p>
      <w:pPr>
        <w:pStyle w:val="hpCaption"/>
        <w:jc w:val="center"/>
      </w:pPr>
      <w:r>
        <w:rPr>
          <w:b/>
        </w:rPr>
        <w:t xml:space="preserve">Table 2: Competitive landscape - SecureModelGate vs. existing tools</w:t>
      </w:r>
    </w:p>
    <w:tbl>
      <w:tblPr>
        <w:tblW w:w="8000" w:type="dxa"/>
        <w:jc w:val="center"/>
        <w:tblLook w:val="04A0"/>
      </w:tblPr>
      <w:tblGrid>
        <w:gridCol w:w="2400"/>
        <w:gridCol w:w="1400"/>
        <w:gridCol w:w="1400"/>
        <w:gridCol w:w="1400"/>
        <w:gridCol w:w="1400"/>
      </w:tblGrid>
      <w:tr>
        <w:tc>
          <w:tcPr>
            <w:tcW w:w="2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Tool</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Behav. Attest.</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MBOM</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K8s Enforce</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Signed Token</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Sigstore / cosign [6]</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Yes</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Yes</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HuggingFace scanning</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MLflow registry [4]</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Neural Cleanse [7]</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Yes</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r>
      <w:tr>
        <w:tc>
          <w:tcPr>
            <w:tcW w:w="2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SecureModelGate (ours)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r>
    </w:tbl>
    <w:p>
      <w:pPr>
        <w:pStyle w:val="hpBody"/>
      </w:pPr>
      <w:r>
        <w:t>Sigstore/cosign [6] provides container image signing on file hashes only - no behavioral signal and no MBOM. HuggingFace scanning performs basic malware detection only, with no behavioral fingerprinting and no deployment enforcement. MLflow [4] tracks model lineage without integrity verification or enforcement capability. Neural Cleanse [7] and STRIP [8] are research-grade detection algorithms with no enterprise pipeline integration. SecureModelGate is the first tool to combine all four properties: behavioral attestation, MBOM, Kubernetes enforcement, and a signed token - within an HPE enterprise infrastructure context.</w:t>
      </w:r>
    </w:p>
    <w:p>
      <w:pPr>
        <w:pStyle w:val="hpHeading1"/>
      </w:pPr>
      <w:r>
        <w:t>Current status</w:t>
      </w:r>
    </w:p>
    <w:p>
      <w:pPr>
        <w:pStyle w:val="hpBody"/>
      </w:pPr>
      <w:r>
        <w:t>The proof-of-concept is fully implemented and evaluated: static analysis and behavioral fingerprinting modules in Python/PyTorch, MAT issuance service with JWT signing, Kubernetes validating admission webhook deployed on HPE Ezmeral 5.5, and complete evaluation on the NIST TrojAI benchmark (120 models). The system runs end-to-end on HPE ProLiant hardware and has been validated for Ezmeral integration.</w:t>
      </w:r>
    </w:p>
    <w:p>
      <w:pPr>
        <w:pStyle w:val="hpHeading1"/>
      </w:pPr>
      <w:r>
        <w:t>Next steps</w:t>
      </w:r>
    </w:p>
    <w:p>
      <w:pPr>
        <w:pStyle w:val="hpBody"/>
      </w:pPr>
      <w:r>
        <w:t>SecureModelGate can be productized as a Trusted AI Pipeline module for HPE GreenLake and Ezmeral, requiring no customer workload changes. Target verticals - BFSI, healthcare, defence - face AI governance mandates and hold existing HPE relationships. The EU AI Act (enforcement from August 2026) mandates provenance documentation for high-risk AI [10]; our MBOM directly addresses Article 13. No hyperscaler (AWS SageMaker, Azure ML, Google Vertex AI) currently offers behavioral model attestation as a managed service, creating a first-mover opportunity for HPE. This work spans HPE Security, Ezmeral Platform, and GreenLake teams.</w:t>
      </w:r>
    </w:p>
    <w:p>
      <w:pPr>
        <w:pStyle w:val="hpBody"/>
      </w:pPr>
      <w:r>
        <w:t>Planned extensions:</w:t>
      </w:r>
    </w:p>
    <w:p>
      <w:pPr>
        <w:pStyle w:val="hpBody"/>
        <w:numPr>
          <w:ilvl w:val="0"/>
          <w:numId w:val="1"/>
        </w:numPr>
      </w:pPr>
      <w:r>
        <w:t xml:space="preserve">Extend MBOM to capture fine-tuning data lineage automatically via PyTorch training hooks (Q1 2026)</w:t>
      </w:r>
    </w:p>
    <w:p>
      <w:pPr>
        <w:pStyle w:val="hpBody"/>
        <w:numPr>
          <w:ilvl w:val="0"/>
          <w:numId w:val="1"/>
        </w:numPr>
      </w:pPr>
      <w:r>
        <w:t xml:space="preserve">Integrate MAT status as an OpsRamp observability metric for fleet-wide attestation visibility across GreenLake (Q2 2026)</w:t>
      </w:r>
    </w:p>
    <w:p>
      <w:pPr>
        <w:pStyle w:val="hpBody"/>
        <w:numPr>
          <w:ilvl w:val="0"/>
          <w:numId w:val="1"/>
        </w:numPr>
      </w:pPr>
      <w:r>
        <w:t xml:space="preserve">Validate on LLM and GGUF-format quantized model artifacts used in GreenLake AI inference services (Q2 2026)</w:t>
      </w:r>
    </w:p>
    <w:p>
      <w:pPr>
        <w:pStyle w:val="hpBody"/>
        <w:numPr>
          <w:ilvl w:val="0"/>
          <w:numId w:val="1"/>
        </w:numPr>
      </w:pPr>
      <w:r>
        <w:t xml:space="preserve">Continuous re-attestation: periodic behavioral re-fingerprinting of deployed models to detect post-deployment weight tampering (Q3 2026)</w:t>
      </w:r>
    </w:p>
    <w:p>
      <w:pPr>
        <w:pStyle w:val="hpHeading1"/>
      </w:pPr>
      <w:r>
        <w:t>Acknowledgements</w:t>
      </w:r>
    </w:p>
    <w:p>
      <w:pPr>
        <w:pStyle w:val="hpBody"/>
      </w:pPr>
      <w:r>
        <w:t>The authors thank the HPE Security and HPE Ezmeral Platform teams for infrastructure access and technical guidance. We also acknowledge the NIST TrojAI program for providing the benchmark dataset used in this evaluation.</w:t>
      </w:r>
    </w:p>
    <w:p>
      <w:pPr>
        <w:pStyle w:val="hpHeading1"/>
      </w:pPr>
      <w:r>
        <w:t>References</w:t>
      </w:r>
    </w:p>
    <w:p>
      <w:pPr>
        <w:pStyle w:val="hprefsbody"/>
      </w:pPr>
      <w:r>
        <w:t xml:space="preserve">[1] HuggingFace, "HuggingFace Hub Statistics," 2024. [Online]. huggingface.co</w:t>
      </w:r>
    </w:p>
    <w:p>
      <w:pPr>
        <w:pStyle w:val="hprefsbody"/>
      </w:pPr>
      <w:r>
        <w:t xml:space="preserve">[2] X. Chen et al., "Targeted backdoor attacks on deep learning systems using data poisoning," arXiv:1712.05526, 2017.</w:t>
      </w:r>
    </w:p>
    <w:p>
      <w:pPr>
        <w:pStyle w:val="hprefsbody"/>
      </w:pPr>
      <w:r>
        <w:t xml:space="preserve">[3] T. Gu, B. Dolan-Gavitt, and S. Garg, "BadNets: Identifying vulnerabilities in the machine learning model supply chain," arXiv:1708.06733, 2019.</w:t>
      </w:r>
    </w:p>
    <w:p>
      <w:pPr>
        <w:pStyle w:val="hprefsbody"/>
      </w:pPr>
      <w:r>
        <w:t xml:space="preserve">[4] M. Zaharia et al., "Accelerating the machine learning lifecycle with MLflow," IEEE Data Eng. Bull., vol. 41, no. 4, 2018.</w:t>
      </w:r>
    </w:p>
    <w:p>
      <w:pPr>
        <w:pStyle w:val="hprefsbody"/>
      </w:pPr>
      <w:r>
        <w:t xml:space="preserve">[5] MITRE, "MITRE ATLAS: Adversarial Threat Landscape for AI Systems," 2023. atlas.mitre.org</w:t>
      </w:r>
    </w:p>
    <w:p>
      <w:pPr>
        <w:pStyle w:val="hprefsbody"/>
      </w:pPr>
      <w:r>
        <w:t xml:space="preserve">[6] L. Dex et al., "Sigstore: Software signing for everybody," in Proc. ACM CCS, 2022.</w:t>
      </w:r>
    </w:p>
    <w:p>
      <w:pPr>
        <w:pStyle w:val="hprefsbody"/>
      </w:pPr>
      <w:r>
        <w:t xml:space="preserve">[7] B. Wang et al., "Neural cleanse: Identifying and mitigating backdoor attacks in neural networks," in Proc. IEEE S&amp;P, 2019.</w:t>
      </w:r>
    </w:p>
    <w:p>
      <w:pPr>
        <w:pStyle w:val="hprefsbody"/>
      </w:pPr>
      <w:r>
        <w:t xml:space="preserve">[8] Y. Gao et al., "STRIP: A defence against trojan attacks on deep neural networks," in Proc. ACSAC, 2019.</w:t>
      </w:r>
    </w:p>
    <w:p>
      <w:pPr>
        <w:pStyle w:val="hprefsbody"/>
      </w:pPr>
      <w:r>
        <w:t xml:space="preserve">[9] The White House, "Executive Order 14028 on Improving the Nation's Cybersecurity," May 2021.</w:t>
      </w:r>
    </w:p>
    <w:p>
      <w:pPr>
        <w:pStyle w:val="hprefsbody"/>
      </w:pPr>
      <w:r>
        <w:t xml:space="preserve">[10] European Parliament, "Regulation (EU) 2024/1689 - Artificial Intelligence Act," 2024.</w:t>
      </w:r>
    </w:p>
    <w:p>
      <w:pPr>
        <w:pStyle w:val="hprefsbody"/>
      </w:pPr>
      <w:r>
        <w:t xml:space="preserve">[11] IARPA TrojAI Program, "NIST TrojAI Benchmark Dataset," NIST, 2021. pages.nist.gov/trojai</w:t>
      </w:r>
    </w:p>
    <w:sectPr w:rsidR="00E94E3B" w:rsidSect="000213A3">
      <w:headerReference w:type="default" r:id="rId12"/>
      <w:footerReference w:type="default" r:id="rId13"/>
      <w:type w:val="continuous"/>
      <w:pgSz w:w="12240" w:h="15840" w:code="1"/>
      <w:pgMar w:top="1080" w:right="1080" w:bottom="1440" w:left="108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9EC9" w14:textId="77777777" w:rsidR="00782827" w:rsidRDefault="00782827">
      <w:r>
        <w:separator/>
      </w:r>
    </w:p>
  </w:endnote>
  <w:endnote w:type="continuationSeparator" w:id="0">
    <w:p w14:paraId="3132DA13" w14:textId="77777777" w:rsidR="00782827" w:rsidRDefault="0078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348221"/>
      <w:docPartObj>
        <w:docPartGallery w:val="Page Numbers (Bottom of Page)"/>
        <w:docPartUnique/>
      </w:docPartObj>
    </w:sdtPr>
    <w:sdtContent>
      <w:sdt>
        <w:sdtPr>
          <w:id w:val="-1669238322"/>
          <w:docPartObj>
            <w:docPartGallery w:val="Page Numbers (Top of Page)"/>
            <w:docPartUnique/>
          </w:docPartObj>
        </w:sdtPr>
        <w:sdtContent>
          <w:p w14:paraId="2F68FE3E" w14:textId="4E73E811" w:rsidR="00F6350D" w:rsidRDefault="00BA2DC5" w:rsidP="0091064B">
            <w:pPr>
              <w:pStyle w:val="Footer"/>
              <w:pBdr>
                <w:top w:val="single" w:sz="4" w:space="1" w:color="BFBFBF" w:themeColor="background1" w:themeShade="BF"/>
              </w:pBdr>
              <w:tabs>
                <w:tab w:val="clear" w:pos="4320"/>
                <w:tab w:val="clear" w:pos="8640"/>
                <w:tab w:val="center" w:pos="5040"/>
                <w:tab w:val="right" w:pos="10080"/>
              </w:tabs>
            </w:pPr>
            <w:r>
              <w:t xml:space="preserve">                                                      </w:t>
            </w:r>
            <w:r w:rsidR="00F6350D">
              <w:tab/>
              <w:t xml:space="preserve">Page </w:t>
            </w:r>
            <w:r w:rsidR="00F6350D">
              <w:rPr>
                <w:b/>
                <w:bCs/>
                <w:sz w:val="24"/>
              </w:rPr>
              <w:fldChar w:fldCharType="begin"/>
            </w:r>
            <w:r w:rsidR="00F6350D">
              <w:rPr>
                <w:b/>
                <w:bCs/>
              </w:rPr>
              <w:instrText xml:space="preserve"> PAGE </w:instrText>
            </w:r>
            <w:r w:rsidR="00F6350D">
              <w:rPr>
                <w:b/>
                <w:bCs/>
                <w:sz w:val="24"/>
              </w:rPr>
              <w:fldChar w:fldCharType="separate"/>
            </w:r>
            <w:r w:rsidR="0045542F">
              <w:rPr>
                <w:b/>
                <w:bCs/>
                <w:noProof/>
              </w:rPr>
              <w:t>1</w:t>
            </w:r>
            <w:r w:rsidR="00F6350D">
              <w:rPr>
                <w:b/>
                <w:bCs/>
                <w:sz w:val="24"/>
              </w:rPr>
              <w:fldChar w:fldCharType="end"/>
            </w:r>
            <w:r w:rsidR="00F6350D">
              <w:t xml:space="preserve"> of </w:t>
            </w:r>
            <w:r w:rsidR="00F6350D">
              <w:rPr>
                <w:b/>
                <w:bCs/>
                <w:sz w:val="24"/>
              </w:rPr>
              <w:fldChar w:fldCharType="begin"/>
            </w:r>
            <w:r w:rsidR="00F6350D">
              <w:rPr>
                <w:b/>
                <w:bCs/>
              </w:rPr>
              <w:instrText xml:space="preserve"> NUMPAGES  </w:instrText>
            </w:r>
            <w:r w:rsidR="00F6350D">
              <w:rPr>
                <w:b/>
                <w:bCs/>
                <w:sz w:val="24"/>
              </w:rPr>
              <w:fldChar w:fldCharType="separate"/>
            </w:r>
            <w:r w:rsidR="0045542F">
              <w:rPr>
                <w:b/>
                <w:bCs/>
                <w:noProof/>
              </w:rPr>
              <w:t>2</w:t>
            </w:r>
            <w:r w:rsidR="00F6350D">
              <w:rPr>
                <w:b/>
                <w:bCs/>
                <w:sz w:val="24"/>
              </w:rPr>
              <w:fldChar w:fldCharType="end"/>
            </w:r>
            <w:r>
              <w:rPr>
                <w:b/>
                <w:bCs/>
                <w:sz w:val="24"/>
              </w:rPr>
              <w:t xml:space="preserve">                 </w:t>
            </w:r>
            <w:r>
              <w:t>HPE Confidential</w:t>
            </w:r>
            <w:r w:rsidR="00F6350D">
              <w:tab/>
            </w:r>
          </w:p>
        </w:sdtContent>
      </w:sdt>
    </w:sdtContent>
  </w:sdt>
  <w:p w14:paraId="2F68FE3F" w14:textId="198B0AA3" w:rsidR="00F6350D" w:rsidRPr="0091064B" w:rsidRDefault="00F6350D" w:rsidP="0091064B">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62AD" w14:textId="77777777" w:rsidR="00782827" w:rsidRDefault="00782827">
      <w:r>
        <w:separator/>
      </w:r>
    </w:p>
  </w:footnote>
  <w:footnote w:type="continuationSeparator" w:id="0">
    <w:p w14:paraId="7A799838" w14:textId="77777777" w:rsidR="00782827" w:rsidRDefault="00782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FE3D" w14:textId="09E198D8" w:rsidR="00F6350D" w:rsidRPr="0091064B" w:rsidRDefault="00E24D51" w:rsidP="00211325">
    <w:pPr>
      <w:pStyle w:val="Header"/>
      <w:pBdr>
        <w:bottom w:val="single" w:sz="4" w:space="1" w:color="BFBFBF" w:themeColor="background1" w:themeShade="BF"/>
      </w:pBdr>
      <w:tabs>
        <w:tab w:val="clear" w:pos="4320"/>
        <w:tab w:val="clear" w:pos="8640"/>
        <w:tab w:val="center" w:pos="5040"/>
        <w:tab w:val="right" w:pos="10080"/>
      </w:tabs>
    </w:pPr>
    <w:r>
      <w:rPr>
        <w:noProof/>
      </w:rPr>
      <w:drawing>
        <wp:inline distT="0" distB="0" distL="0" distR="0" wp14:anchorId="728D8E5D" wp14:editId="2DDCFF08">
          <wp:extent cx="542696" cy="161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42696" cy="161856"/>
                  </a:xfrm>
                  <a:prstGeom prst="rect">
                    <a:avLst/>
                  </a:prstGeom>
                </pic:spPr>
              </pic:pic>
            </a:graphicData>
          </a:graphic>
        </wp:inline>
      </w:drawing>
    </w:r>
    <w:r w:rsidR="00F6350D">
      <w:tab/>
    </w:r>
    <w:r w:rsidR="00F6350D">
      <w:tab/>
    </w:r>
    <w:r>
      <w:rPr>
        <w:noProof/>
      </w:rPr>
      <w:drawing>
        <wp:inline distT="0" distB="0" distL="0" distR="0" wp14:anchorId="2EB1441A" wp14:editId="535DBEF7">
          <wp:extent cx="322955" cy="2286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322955"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B5B89"/>
    <w:multiLevelType w:val="hybridMultilevel"/>
    <w:tmpl w:val="BFDA9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84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enforcement="1" w:cryptProviderType="rsaAES" w:cryptAlgorithmClass="hash" w:cryptAlgorithmType="typeAny" w:cryptAlgorithmSid="14" w:cryptSpinCount="100000" w:hash="YjL8DPn0J+XyOPfkawAswu+3Ok5ZJzniUCaIu2EiDhBuJnlf6k+LmMMhcC0jWYJnS5Fi3QxRdrye/TqJuaByRQ==" w:salt="y2QgPAxubaYCd7JngdE1MA=="/>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D38"/>
    <w:rsid w:val="0000067C"/>
    <w:rsid w:val="000213A3"/>
    <w:rsid w:val="00093A70"/>
    <w:rsid w:val="000B492D"/>
    <w:rsid w:val="000C50C4"/>
    <w:rsid w:val="000C6F1F"/>
    <w:rsid w:val="000F65A1"/>
    <w:rsid w:val="00116FBD"/>
    <w:rsid w:val="00126E42"/>
    <w:rsid w:val="00135BEE"/>
    <w:rsid w:val="00136B14"/>
    <w:rsid w:val="001427BD"/>
    <w:rsid w:val="00153C48"/>
    <w:rsid w:val="00176120"/>
    <w:rsid w:val="001873A1"/>
    <w:rsid w:val="00190440"/>
    <w:rsid w:val="001A0AF6"/>
    <w:rsid w:val="001C6E57"/>
    <w:rsid w:val="001D3369"/>
    <w:rsid w:val="00200D47"/>
    <w:rsid w:val="00211325"/>
    <w:rsid w:val="00213630"/>
    <w:rsid w:val="00215CE6"/>
    <w:rsid w:val="00223D4D"/>
    <w:rsid w:val="00236CFD"/>
    <w:rsid w:val="0024413E"/>
    <w:rsid w:val="00254F42"/>
    <w:rsid w:val="00262CE0"/>
    <w:rsid w:val="00267FA5"/>
    <w:rsid w:val="002842E0"/>
    <w:rsid w:val="00290A65"/>
    <w:rsid w:val="002C1717"/>
    <w:rsid w:val="002C7A3F"/>
    <w:rsid w:val="002D7D13"/>
    <w:rsid w:val="002E6125"/>
    <w:rsid w:val="00306E39"/>
    <w:rsid w:val="00321303"/>
    <w:rsid w:val="00367251"/>
    <w:rsid w:val="003732F6"/>
    <w:rsid w:val="0039304C"/>
    <w:rsid w:val="00395D9F"/>
    <w:rsid w:val="00395EC2"/>
    <w:rsid w:val="00397C05"/>
    <w:rsid w:val="003A222A"/>
    <w:rsid w:val="003A7532"/>
    <w:rsid w:val="003B46E3"/>
    <w:rsid w:val="003C0839"/>
    <w:rsid w:val="003E04F2"/>
    <w:rsid w:val="003E77E6"/>
    <w:rsid w:val="003F21AD"/>
    <w:rsid w:val="003F4EA6"/>
    <w:rsid w:val="003F6696"/>
    <w:rsid w:val="00413A4E"/>
    <w:rsid w:val="00430087"/>
    <w:rsid w:val="00447C23"/>
    <w:rsid w:val="0045282F"/>
    <w:rsid w:val="0045542F"/>
    <w:rsid w:val="004B2D38"/>
    <w:rsid w:val="004B614F"/>
    <w:rsid w:val="004F19CC"/>
    <w:rsid w:val="005118DB"/>
    <w:rsid w:val="005515AE"/>
    <w:rsid w:val="0058228F"/>
    <w:rsid w:val="005B3ECD"/>
    <w:rsid w:val="005B7BDC"/>
    <w:rsid w:val="005C5808"/>
    <w:rsid w:val="005C7EC7"/>
    <w:rsid w:val="005D40C9"/>
    <w:rsid w:val="005F65C8"/>
    <w:rsid w:val="00611FF2"/>
    <w:rsid w:val="00617010"/>
    <w:rsid w:val="00627CC1"/>
    <w:rsid w:val="006336BC"/>
    <w:rsid w:val="00687659"/>
    <w:rsid w:val="0069639D"/>
    <w:rsid w:val="00757909"/>
    <w:rsid w:val="0078050F"/>
    <w:rsid w:val="00782827"/>
    <w:rsid w:val="007A2E3F"/>
    <w:rsid w:val="007A500F"/>
    <w:rsid w:val="007C5995"/>
    <w:rsid w:val="00814AC9"/>
    <w:rsid w:val="00826AF1"/>
    <w:rsid w:val="00831F77"/>
    <w:rsid w:val="00857797"/>
    <w:rsid w:val="00857DAB"/>
    <w:rsid w:val="008626D6"/>
    <w:rsid w:val="00871746"/>
    <w:rsid w:val="008752AC"/>
    <w:rsid w:val="008A2D9E"/>
    <w:rsid w:val="008D5D1D"/>
    <w:rsid w:val="008D6F63"/>
    <w:rsid w:val="008F5322"/>
    <w:rsid w:val="008F5D2C"/>
    <w:rsid w:val="00900491"/>
    <w:rsid w:val="0090703A"/>
    <w:rsid w:val="0091064B"/>
    <w:rsid w:val="00912E09"/>
    <w:rsid w:val="009164E4"/>
    <w:rsid w:val="009279FB"/>
    <w:rsid w:val="0093411E"/>
    <w:rsid w:val="00936B1B"/>
    <w:rsid w:val="00946EB4"/>
    <w:rsid w:val="00947BCD"/>
    <w:rsid w:val="009575D3"/>
    <w:rsid w:val="00965BEB"/>
    <w:rsid w:val="009660B2"/>
    <w:rsid w:val="00973B88"/>
    <w:rsid w:val="00984AAB"/>
    <w:rsid w:val="009C385F"/>
    <w:rsid w:val="00A044A2"/>
    <w:rsid w:val="00A20770"/>
    <w:rsid w:val="00A50F18"/>
    <w:rsid w:val="00A67073"/>
    <w:rsid w:val="00AC6B8C"/>
    <w:rsid w:val="00AD30A3"/>
    <w:rsid w:val="00B33C9A"/>
    <w:rsid w:val="00BA0F6C"/>
    <w:rsid w:val="00BA2DC5"/>
    <w:rsid w:val="00BA7E42"/>
    <w:rsid w:val="00BD3D36"/>
    <w:rsid w:val="00BE4418"/>
    <w:rsid w:val="00C00739"/>
    <w:rsid w:val="00C17CA1"/>
    <w:rsid w:val="00C47EC2"/>
    <w:rsid w:val="00C76E1B"/>
    <w:rsid w:val="00CD4B29"/>
    <w:rsid w:val="00D053BE"/>
    <w:rsid w:val="00D3151E"/>
    <w:rsid w:val="00D34DE7"/>
    <w:rsid w:val="00D3748E"/>
    <w:rsid w:val="00D378A3"/>
    <w:rsid w:val="00D417B0"/>
    <w:rsid w:val="00D51B97"/>
    <w:rsid w:val="00D626A5"/>
    <w:rsid w:val="00D66611"/>
    <w:rsid w:val="00D81FA1"/>
    <w:rsid w:val="00D877C3"/>
    <w:rsid w:val="00DC2014"/>
    <w:rsid w:val="00DC3EC7"/>
    <w:rsid w:val="00DC4A76"/>
    <w:rsid w:val="00DD022D"/>
    <w:rsid w:val="00DD6518"/>
    <w:rsid w:val="00E238FC"/>
    <w:rsid w:val="00E24D51"/>
    <w:rsid w:val="00E32874"/>
    <w:rsid w:val="00E56898"/>
    <w:rsid w:val="00E630CD"/>
    <w:rsid w:val="00E8631C"/>
    <w:rsid w:val="00E941CE"/>
    <w:rsid w:val="00E94E3B"/>
    <w:rsid w:val="00EA61D1"/>
    <w:rsid w:val="00EB7BAF"/>
    <w:rsid w:val="00EE2FC3"/>
    <w:rsid w:val="00EE3CB1"/>
    <w:rsid w:val="00EE4328"/>
    <w:rsid w:val="00F14F00"/>
    <w:rsid w:val="00F17F51"/>
    <w:rsid w:val="00F3758E"/>
    <w:rsid w:val="00F449BC"/>
    <w:rsid w:val="00F44DE9"/>
    <w:rsid w:val="00F47905"/>
    <w:rsid w:val="00F6350D"/>
    <w:rsid w:val="00F8633F"/>
    <w:rsid w:val="00F90C9A"/>
    <w:rsid w:val="00FA4EC4"/>
    <w:rsid w:val="00FA7330"/>
    <w:rsid w:val="00FC34B2"/>
    <w:rsid w:val="00FD735C"/>
    <w:rsid w:val="00FE349F"/>
    <w:rsid w:val="00FF11CE"/>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8FE1C"/>
  <w15:docId w15:val="{5B16F56F-B3D5-4378-98BB-8F215122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13A3"/>
    <w:pPr>
      <w:widowControl w:val="0"/>
      <w:autoSpaceDE w:val="0"/>
      <w:autoSpaceDN w:val="0"/>
      <w:adjustRightInd w:val="0"/>
    </w:pPr>
    <w:rPr>
      <w:szCs w:val="24"/>
      <w:lang w:val="en-US" w:eastAsia="en-US"/>
    </w:rPr>
  </w:style>
  <w:style w:type="paragraph" w:styleId="Heading2">
    <w:name w:val="heading 2"/>
    <w:basedOn w:val="Normal"/>
    <w:next w:val="Normal"/>
    <w:link w:val="Heading2Char"/>
    <w:uiPriority w:val="9"/>
    <w:unhideWhenUsed/>
    <w:rsid w:val="00254F4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pAbstract">
    <w:name w:val="_hp_Abstract"/>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both"/>
    </w:pPr>
    <w:rPr>
      <w:i/>
      <w:color w:val="000000"/>
    </w:rPr>
  </w:style>
  <w:style w:type="paragraph" w:customStyle="1" w:styleId="hpAuthors">
    <w:name w:val="_hp_Authors"/>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center"/>
    </w:pPr>
    <w:rPr>
      <w:color w:val="000000"/>
      <w:sz w:val="24"/>
    </w:rPr>
  </w:style>
  <w:style w:type="paragraph" w:customStyle="1" w:styleId="hpBody">
    <w:name w:val="_hp_Body"/>
    <w:basedOn w:val="Normal"/>
    <w:link w:val="hpBodyChar"/>
    <w:qFormat/>
    <w:rsid w:val="000213A3"/>
    <w:pPr>
      <w:spacing w:after="120"/>
      <w:jc w:val="both"/>
    </w:pPr>
    <w:rPr>
      <w:color w:val="000000"/>
      <w:sz w:val="22"/>
    </w:rPr>
  </w:style>
  <w:style w:type="paragraph" w:customStyle="1" w:styleId="hpCaption">
    <w:name w:val="_hp_Caption"/>
    <w:basedOn w:val="Normal"/>
    <w:qFormat/>
    <w:rsid w:val="000213A3"/>
    <w:pPr>
      <w:spacing w:after="120"/>
      <w:jc w:val="center"/>
    </w:pPr>
    <w:rPr>
      <w:color w:val="000000"/>
    </w:rPr>
  </w:style>
  <w:style w:type="paragraph" w:customStyle="1" w:styleId="hpHeading0">
    <w:name w:val="_hp_Heading 0"/>
    <w:basedOn w:val="Normal"/>
    <w:next w:val="hpAbstract"/>
    <w:link w:val="hpHeading0Char"/>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center"/>
    </w:pPr>
    <w:rPr>
      <w:rFonts w:ascii="Helvetica" w:hAnsi="Helvetica" w:cs="Helvetica"/>
      <w:b/>
      <w:color w:val="000000"/>
      <w:sz w:val="28"/>
    </w:rPr>
  </w:style>
  <w:style w:type="paragraph" w:customStyle="1" w:styleId="hpHeading1">
    <w:name w:val="_hp_Heading 1"/>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pPr>
    <w:rPr>
      <w:rFonts w:ascii="Arial" w:hAnsi="Arial" w:cs="Arial"/>
      <w:b/>
      <w:color w:val="000000"/>
      <w:sz w:val="28"/>
    </w:rPr>
  </w:style>
  <w:style w:type="paragraph" w:customStyle="1" w:styleId="hpHeading2">
    <w:name w:val="_hp_Heading 2"/>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both"/>
    </w:pPr>
    <w:rPr>
      <w:rFonts w:ascii="Arial" w:hAnsi="Arial" w:cs="Arial"/>
      <w:b/>
      <w:color w:val="000000"/>
      <w:sz w:val="24"/>
    </w:rPr>
  </w:style>
  <w:style w:type="paragraph" w:customStyle="1" w:styleId="hpHeading3">
    <w:name w:val="_hp_Heading 3"/>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both"/>
    </w:pPr>
    <w:rPr>
      <w:rFonts w:ascii="Arial" w:hAnsi="Arial" w:cs="Arial"/>
      <w:b/>
      <w:i/>
      <w:color w:val="000000"/>
      <w:sz w:val="22"/>
    </w:rPr>
  </w:style>
  <w:style w:type="paragraph" w:customStyle="1" w:styleId="hpPaper-Title">
    <w:name w:val="_hp_Paper-Title"/>
    <w:basedOn w:val="Normal"/>
    <w:next w:val="hpAuthors"/>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line="260" w:lineRule="atLeast"/>
      <w:jc w:val="center"/>
    </w:pPr>
    <w:rPr>
      <w:rFonts w:ascii="Arial" w:hAnsi="Arial" w:cs="Arial"/>
      <w:b/>
      <w:color w:val="000000"/>
      <w:sz w:val="32"/>
    </w:rPr>
  </w:style>
  <w:style w:type="paragraph" w:customStyle="1" w:styleId="Footnote">
    <w:name w:val="Footnote"/>
    <w:basedOn w:val="Normal"/>
    <w:rsid w:val="000213A3"/>
    <w:pPr>
      <w:tabs>
        <w:tab w:val="left" w:pos="720"/>
      </w:tabs>
      <w:ind w:left="720" w:right="360"/>
    </w:pPr>
    <w:rPr>
      <w:rFonts w:ascii="Times" w:hAnsi="Times" w:cs="Times"/>
      <w:color w:val="000000"/>
      <w:sz w:val="24"/>
    </w:rPr>
  </w:style>
  <w:style w:type="paragraph" w:customStyle="1" w:styleId="References">
    <w:name w:val="References"/>
    <w:basedOn w:val="Normal"/>
    <w:rsid w:val="000213A3"/>
    <w:pPr>
      <w:jc w:val="both"/>
    </w:pPr>
    <w:rPr>
      <w:color w:val="000000"/>
    </w:rPr>
  </w:style>
  <w:style w:type="character" w:customStyle="1" w:styleId="DefaultXREFstyle">
    <w:name w:val="Default_XREF_style"/>
    <w:rsid w:val="000213A3"/>
    <w:rPr>
      <w:color w:val="00FF00"/>
    </w:rPr>
  </w:style>
  <w:style w:type="character" w:customStyle="1" w:styleId="Symbol">
    <w:name w:val="Symbol"/>
    <w:rsid w:val="00254F42"/>
  </w:style>
  <w:style w:type="paragraph" w:styleId="Header">
    <w:name w:val="header"/>
    <w:basedOn w:val="Normal"/>
    <w:semiHidden/>
    <w:rsid w:val="000213A3"/>
    <w:pPr>
      <w:tabs>
        <w:tab w:val="center" w:pos="4320"/>
        <w:tab w:val="right" w:pos="8640"/>
      </w:tabs>
    </w:pPr>
  </w:style>
  <w:style w:type="paragraph" w:styleId="Footer">
    <w:name w:val="footer"/>
    <w:basedOn w:val="Normal"/>
    <w:link w:val="FooterChar"/>
    <w:uiPriority w:val="99"/>
    <w:rsid w:val="00EE4328"/>
    <w:pPr>
      <w:tabs>
        <w:tab w:val="center" w:pos="4320"/>
        <w:tab w:val="right" w:pos="8640"/>
      </w:tabs>
      <w:jc w:val="center"/>
    </w:pPr>
  </w:style>
  <w:style w:type="character" w:styleId="CommentReference">
    <w:name w:val="annotation reference"/>
    <w:basedOn w:val="DefaultParagraphFont"/>
    <w:uiPriority w:val="99"/>
    <w:semiHidden/>
    <w:unhideWhenUsed/>
    <w:rsid w:val="00857DAB"/>
    <w:rPr>
      <w:sz w:val="16"/>
      <w:szCs w:val="16"/>
    </w:rPr>
  </w:style>
  <w:style w:type="paragraph" w:styleId="CommentText">
    <w:name w:val="annotation text"/>
    <w:basedOn w:val="Normal"/>
    <w:link w:val="CommentTextChar"/>
    <w:uiPriority w:val="99"/>
    <w:semiHidden/>
    <w:unhideWhenUsed/>
    <w:rsid w:val="00857DAB"/>
    <w:rPr>
      <w:szCs w:val="20"/>
    </w:rPr>
  </w:style>
  <w:style w:type="character" w:customStyle="1" w:styleId="CommentTextChar">
    <w:name w:val="Comment Text Char"/>
    <w:basedOn w:val="DefaultParagraphFont"/>
    <w:link w:val="CommentText"/>
    <w:uiPriority w:val="99"/>
    <w:semiHidden/>
    <w:rsid w:val="00857DAB"/>
    <w:rPr>
      <w:lang w:val="en-US" w:eastAsia="en-US"/>
    </w:rPr>
  </w:style>
  <w:style w:type="paragraph" w:styleId="CommentSubject">
    <w:name w:val="annotation subject"/>
    <w:basedOn w:val="CommentText"/>
    <w:next w:val="CommentText"/>
    <w:link w:val="CommentSubjectChar"/>
    <w:uiPriority w:val="99"/>
    <w:semiHidden/>
    <w:unhideWhenUsed/>
    <w:rsid w:val="00857DAB"/>
    <w:rPr>
      <w:b/>
      <w:bCs/>
    </w:rPr>
  </w:style>
  <w:style w:type="character" w:customStyle="1" w:styleId="CommentSubjectChar">
    <w:name w:val="Comment Subject Char"/>
    <w:basedOn w:val="CommentTextChar"/>
    <w:link w:val="CommentSubject"/>
    <w:uiPriority w:val="99"/>
    <w:semiHidden/>
    <w:rsid w:val="00857DAB"/>
    <w:rPr>
      <w:b/>
      <w:bCs/>
      <w:lang w:val="en-US" w:eastAsia="en-US"/>
    </w:rPr>
  </w:style>
  <w:style w:type="paragraph" w:styleId="BalloonText">
    <w:name w:val="Balloon Text"/>
    <w:basedOn w:val="Normal"/>
    <w:link w:val="BalloonTextChar"/>
    <w:uiPriority w:val="99"/>
    <w:semiHidden/>
    <w:unhideWhenUsed/>
    <w:rsid w:val="00857DAB"/>
    <w:rPr>
      <w:rFonts w:ascii="Tahoma" w:hAnsi="Tahoma" w:cs="Tahoma"/>
      <w:sz w:val="16"/>
      <w:szCs w:val="16"/>
    </w:rPr>
  </w:style>
  <w:style w:type="character" w:customStyle="1" w:styleId="BalloonTextChar">
    <w:name w:val="Balloon Text Char"/>
    <w:basedOn w:val="DefaultParagraphFont"/>
    <w:link w:val="BalloonText"/>
    <w:uiPriority w:val="99"/>
    <w:semiHidden/>
    <w:rsid w:val="00857DAB"/>
    <w:rPr>
      <w:rFonts w:ascii="Tahoma" w:hAnsi="Tahoma" w:cs="Tahoma"/>
      <w:sz w:val="16"/>
      <w:szCs w:val="16"/>
      <w:lang w:val="en-US" w:eastAsia="en-US"/>
    </w:rPr>
  </w:style>
  <w:style w:type="character" w:styleId="Hyperlink">
    <w:name w:val="Hyperlink"/>
    <w:basedOn w:val="DefaultParagraphFont"/>
    <w:uiPriority w:val="99"/>
    <w:unhideWhenUsed/>
    <w:rsid w:val="00617010"/>
    <w:rPr>
      <w:color w:val="0000FF"/>
      <w:u w:val="single"/>
    </w:rPr>
  </w:style>
  <w:style w:type="character" w:styleId="Strong">
    <w:name w:val="Strong"/>
    <w:basedOn w:val="DefaultParagraphFont"/>
    <w:rsid w:val="008752AC"/>
    <w:rPr>
      <w:b/>
      <w:bCs/>
    </w:rPr>
  </w:style>
  <w:style w:type="character" w:customStyle="1" w:styleId="Heading2Char">
    <w:name w:val="Heading 2 Char"/>
    <w:basedOn w:val="DefaultParagraphFont"/>
    <w:link w:val="Heading2"/>
    <w:uiPriority w:val="9"/>
    <w:rsid w:val="00254F42"/>
    <w:rPr>
      <w:rFonts w:asciiTheme="majorHAnsi" w:eastAsiaTheme="majorEastAsia" w:hAnsiTheme="majorHAnsi" w:cstheme="majorBidi"/>
      <w:b/>
      <w:bCs/>
      <w:color w:val="4F81BD" w:themeColor="accent1"/>
      <w:sz w:val="26"/>
      <w:szCs w:val="26"/>
      <w:lang w:val="en-US" w:eastAsia="en-US"/>
    </w:rPr>
  </w:style>
  <w:style w:type="paragraph" w:customStyle="1" w:styleId="hpreferences">
    <w:name w:val="_hp_references"/>
    <w:basedOn w:val="hpHeading0"/>
    <w:link w:val="hpreferencesChar"/>
    <w:qFormat/>
    <w:rsid w:val="00367251"/>
  </w:style>
  <w:style w:type="paragraph" w:customStyle="1" w:styleId="hprefsbody">
    <w:name w:val="_hp_refs_body"/>
    <w:basedOn w:val="hpBody"/>
    <w:link w:val="hprefsbodyChar"/>
    <w:qFormat/>
    <w:rsid w:val="005D40C9"/>
    <w:pPr>
      <w:jc w:val="left"/>
    </w:pPr>
    <w:rPr>
      <w:sz w:val="20"/>
      <w:szCs w:val="20"/>
    </w:rPr>
  </w:style>
  <w:style w:type="character" w:customStyle="1" w:styleId="hpHeading0Char">
    <w:name w:val="_hp_Heading 0 Char"/>
    <w:basedOn w:val="DefaultParagraphFont"/>
    <w:link w:val="hpHeading0"/>
    <w:rsid w:val="00367251"/>
    <w:rPr>
      <w:rFonts w:ascii="Helvetica" w:hAnsi="Helvetica" w:cs="Helvetica"/>
      <w:b/>
      <w:color w:val="000000"/>
      <w:sz w:val="28"/>
      <w:szCs w:val="24"/>
      <w:lang w:val="en-US" w:eastAsia="en-US"/>
    </w:rPr>
  </w:style>
  <w:style w:type="character" w:customStyle="1" w:styleId="hpreferencesChar">
    <w:name w:val="_hp_references Char"/>
    <w:basedOn w:val="hpHeading0Char"/>
    <w:link w:val="hpreferences"/>
    <w:rsid w:val="00367251"/>
    <w:rPr>
      <w:rFonts w:ascii="Helvetica" w:hAnsi="Helvetica" w:cs="Helvetica"/>
      <w:b/>
      <w:color w:val="000000"/>
      <w:sz w:val="28"/>
      <w:szCs w:val="24"/>
      <w:lang w:val="en-US" w:eastAsia="en-US"/>
    </w:rPr>
  </w:style>
  <w:style w:type="character" w:customStyle="1" w:styleId="hpBodyChar">
    <w:name w:val="_hp_Body Char"/>
    <w:basedOn w:val="DefaultParagraphFont"/>
    <w:link w:val="hpBody"/>
    <w:rsid w:val="003F21AD"/>
    <w:rPr>
      <w:color w:val="000000"/>
      <w:sz w:val="22"/>
      <w:szCs w:val="24"/>
      <w:lang w:val="en-US" w:eastAsia="en-US"/>
    </w:rPr>
  </w:style>
  <w:style w:type="character" w:customStyle="1" w:styleId="hprefsbodyChar">
    <w:name w:val="_hp_refs_body Char"/>
    <w:basedOn w:val="hpBodyChar"/>
    <w:link w:val="hprefsbody"/>
    <w:rsid w:val="005D40C9"/>
    <w:rPr>
      <w:color w:val="000000"/>
      <w:sz w:val="22"/>
      <w:szCs w:val="24"/>
      <w:lang w:val="en-US" w:eastAsia="en-US"/>
    </w:rPr>
  </w:style>
  <w:style w:type="character" w:customStyle="1" w:styleId="FooterChar">
    <w:name w:val="Footer Char"/>
    <w:basedOn w:val="DefaultParagraphFont"/>
    <w:link w:val="Footer"/>
    <w:uiPriority w:val="99"/>
    <w:rsid w:val="00EE4328"/>
    <w:rPr>
      <w:szCs w:val="24"/>
      <w:lang w:val="en-US" w:eastAsia="en-US"/>
    </w:rPr>
  </w:style>
  <w:style w:type="paragraph" w:customStyle="1" w:styleId="hpacknowledgements">
    <w:name w:val="_hp_acknowledgements"/>
    <w:basedOn w:val="hpreferences"/>
    <w:link w:val="hpacknowledgementsChar"/>
    <w:qFormat/>
    <w:rsid w:val="003F6696"/>
  </w:style>
  <w:style w:type="character" w:customStyle="1" w:styleId="hpacknowledgementsChar">
    <w:name w:val="_hp_acknowledgements Char"/>
    <w:basedOn w:val="hpreferencesChar"/>
    <w:link w:val="hpacknowledgements"/>
    <w:rsid w:val="003F6696"/>
    <w:rPr>
      <w:rFonts w:ascii="Helvetica" w:hAnsi="Helvetica" w:cs="Helvetica"/>
      <w:b/>
      <w:color w:val="000000"/>
      <w:sz w:val="28"/>
      <w:szCs w:val="24"/>
      <w:lang w:val="en-US" w:eastAsia="en-US"/>
    </w:rPr>
  </w:style>
</w:styles>
</file>

<file path=word/vbaData.xml><?xml version="1.0" encoding="utf-8"?>
<wne:vbaSupp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mcds>
    <wne:mcd wne:macroName="PROJECT.NEWMACROS.DELETEINSTRUCTIONPAGE" wne:name="Project.NewMacros.deleteInstructionPage" wne:bEncrypt="00" wne:cmg="56"/>
    <wne:mcd wne:macroName="PROJECT.NEWMACROS.AUTOOPEN" wne:name="Project.NewMacros.AutoOpen"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29817">
      <w:bodyDiv w:val="1"/>
      <w:marLeft w:val="0"/>
      <w:marRight w:val="0"/>
      <w:marTop w:val="0"/>
      <w:marBottom w:val="0"/>
      <w:divBdr>
        <w:top w:val="none" w:sz="0" w:space="0" w:color="auto"/>
        <w:left w:val="none" w:sz="0" w:space="0" w:color="auto"/>
        <w:bottom w:val="none" w:sz="0" w:space="0" w:color="auto"/>
        <w:right w:val="none" w:sz="0" w:space="0" w:color="auto"/>
      </w:divBdr>
    </w:div>
    <w:div w:id="1441099390">
      <w:bodyDiv w:val="1"/>
      <w:marLeft w:val="0"/>
      <w:marRight w:val="0"/>
      <w:marTop w:val="0"/>
      <w:marBottom w:val="0"/>
      <w:divBdr>
        <w:top w:val="none" w:sz="0" w:space="0" w:color="auto"/>
        <w:left w:val="none" w:sz="0" w:space="0" w:color="auto"/>
        <w:bottom w:val="none" w:sz="0" w:space="0" w:color="auto"/>
        <w:right w:val="none" w:sz="0" w:space="0" w:color="auto"/>
      </w:divBdr>
      <w:divsChild>
        <w:div w:id="205134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vbaProject" Target="vbaProject.bin"/><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Relationships xmlns="http://schemas.openxmlformats.org/package/2006/relationships"/>
</file>

<file path=word/_rels/vbaProject.bin.rels><?xml version="1.0" encoding="UTF-8"?><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lcf76f155ced4ddcb4097134ff3c332f xmlns="7dd6b27a-4af5-48ad-9d42-a4dd00bbcf0f">
      <Terms xmlns="http://schemas.microsoft.com/office/infopath/2007/PartnerControls"/>
    </lcf76f155ced4ddcb4097134ff3c332f>
    <TaxCatchAll xmlns="528dc42b-a8a9-4871-b1aa-61453096122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0E0211245F4D499B5D9E76334FC4C1" ma:contentTypeVersion="16" ma:contentTypeDescription="Create a new document." ma:contentTypeScope="" ma:versionID="a1215cc302de47505f7147e5766ba5b8">
  <xsd:schema xmlns:xsd="http://www.w3.org/2001/XMLSchema" xmlns:xs="http://www.w3.org/2001/XMLSchema" xmlns:p="http://schemas.microsoft.com/office/2006/metadata/properties" xmlns:ns2="b434d3da-f333-4612-a6ed-cf54e8194959" xmlns:ns3="7dd6b27a-4af5-48ad-9d42-a4dd00bbcf0f" xmlns:ns4="528dc42b-a8a9-4871-b1aa-61453096122c" targetNamespace="http://schemas.microsoft.com/office/2006/metadata/properties" ma:root="true" ma:fieldsID="793d4dd1f892a14b20d34225e9df0c20" ns2:_="" ns3:_="" ns4:_="">
    <xsd:import namespace="b434d3da-f333-4612-a6ed-cf54e8194959"/>
    <xsd:import namespace="7dd6b27a-4af5-48ad-9d42-a4dd00bbcf0f"/>
    <xsd:import namespace="528dc42b-a8a9-4871-b1aa-61453096122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ObjectDetectorVersions" minOccurs="0"/>
                <xsd:element ref="ns3:MediaServiceSearchProperties"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4d3da-f333-4612-a6ed-cf54e819495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d6b27a-4af5-48ad-9d42-a4dd00bbcf0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5aa102e-2e4d-4f82-9951-c6a7f8de6b7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8dc42b-a8a9-4871-b1aa-61453096122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9bb956b-ad4e-42d5-a642-03b13c284a48" ma:internalName="TaxCatchAll" ma:showField="CatchAllData" ma:web="b434d3da-f333-4612-a6ed-cf54e81949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E1BC99-ECBD-4C30-B3BB-483E5EC9F43E}">
  <ds:schemaRefs>
    <ds:schemaRef ds:uri="http://schemas.openxmlformats.org/officeDocument/2006/bibliography"/>
  </ds:schemaRefs>
</ds:datastoreItem>
</file>

<file path=customXml/itemProps2.xml><?xml version="1.0" encoding="utf-8"?>
<ds:datastoreItem xmlns:ds="http://schemas.openxmlformats.org/officeDocument/2006/customXml" ds:itemID="{9665D616-F11F-45A7-A825-3A981B2FC4FF}">
  <ds:schemaRefs>
    <ds:schemaRef ds:uri="http://schemas.microsoft.com/office/2006/metadata/properties"/>
  </ds:schemaRefs>
</ds:datastoreItem>
</file>

<file path=customXml/itemProps3.xml><?xml version="1.0" encoding="utf-8"?>
<ds:datastoreItem xmlns:ds="http://schemas.openxmlformats.org/officeDocument/2006/customXml" ds:itemID="{B5D3C95D-CDC2-4A7B-B3E9-B52CD64094B6}"/>
</file>

<file path=customXml/itemProps4.xml><?xml version="1.0" encoding="utf-8"?>
<ds:datastoreItem xmlns:ds="http://schemas.openxmlformats.org/officeDocument/2006/customXml" ds:itemID="{BC2AECB8-0FD5-456E-8F36-18684AEE23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HPTC2003.dot</Template>
  <TotalTime>225</TotalTime>
  <Pages>2</Pages>
  <Words>324</Words>
  <Characters>1853</Characters>
  <Application>Microsoft Office Word</Application>
  <DocSecurity>8</DocSecurity>
  <Lines>15</Lines>
  <Paragraphs>4</Paragraphs>
  <ScaleCrop>false</ScaleCrop>
  <HeadingPairs>
    <vt:vector size="2" baseType="variant">
      <vt:variant>
        <vt:lpstr>Title</vt:lpstr>
      </vt:variant>
      <vt:variant>
        <vt:i4>1</vt:i4>
      </vt:variant>
    </vt:vector>
  </HeadingPairs>
  <TitlesOfParts>
    <vt:vector size="1" baseType="lpstr">
      <vt:lpstr>WORD Template for Parasparam - HP India Event</vt:lpstr>
    </vt:vector>
  </TitlesOfParts>
  <Company>dotPS Document Production Services</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for Parasparam - HP India Event</dc:title>
  <dc:creator>ChristenseJ</dc:creator>
  <cp:lastModifiedBy>Chitale, Mandar Jagannath</cp:lastModifiedBy>
  <cp:revision>15</cp:revision>
  <cp:lastPrinted>2009-09-14T14:56:00Z</cp:lastPrinted>
  <dcterms:created xsi:type="dcterms:W3CDTF">2021-05-03T03:52:00Z</dcterms:created>
  <dcterms:modified xsi:type="dcterms:W3CDTF">2026-03-26T10:11:00Z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0x0101007C0E0211245F4D499B5D9E76334FC4C1</vt:lpwstr>
  </property>
  <property fmtid="{D5CDD505-2E9C-101B-9397-08002B2CF9AE}" pid="3" name="Order">
    <vt:r8>1400</vt:r8>
  </property>
  <property fmtid="{D5CDD505-2E9C-101B-9397-08002B2CF9AE}" pid="4" name="TemplateUrl">
    <vt:lpwstr/>
  </property>
  <property fmtid="{D5CDD505-2E9C-101B-9397-08002B2CF9AE}" pid="5" name="_CopySource">
    <vt:lpwstr>http://teams5.sharepoint.hp.com/teams/techcon/TechCon11/abstract_template_Word2007.docx</vt:lpwstr>
  </property>
  <property fmtid="{D5CDD505-2E9C-101B-9397-08002B2CF9AE}" pid="6" name="xd_ProgID">
    <vt:lpwstr/>
  </property>
  <property fmtid="{D5CDD505-2E9C-101B-9397-08002B2CF9AE}" pid="7" name="GrammarlyDocumentId">
    <vt:lpwstr>6f0571960397691a17207f738dd7c699b3e960f9721b0c647760fcf5db5e922f</vt:lpwstr>
  </property>
</Properties>
</file>