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E04B04" w14:textId="77777777" w:rsidR="00B73849" w:rsidRDefault="00B73849">
      <w:pPr>
        <w:spacing w:after="120"/>
      </w:pPr>
    </w:p>
    <w:p w14:paraId="79AAAF5E" w14:textId="77777777" w:rsidR="00B73849" w:rsidRDefault="00B73849">
      <w:pPr>
        <w:spacing w:after="120"/>
      </w:pPr>
    </w:p>
    <w:p w14:paraId="24169DF7" w14:textId="77777777" w:rsidR="00B73849" w:rsidRDefault="00B73849">
      <w:pPr>
        <w:spacing w:after="120"/>
      </w:pPr>
    </w:p>
    <w:p w14:paraId="12B6C71A" w14:textId="77777777" w:rsidR="00B73849" w:rsidRDefault="00B73849">
      <w:pPr>
        <w:spacing w:after="120"/>
      </w:pPr>
    </w:p>
    <w:p w14:paraId="0900F708" w14:textId="43D6E14F" w:rsidR="00B73849" w:rsidRDefault="00000000">
      <w:pPr>
        <w:spacing w:after="120"/>
        <w:jc w:val="center"/>
      </w:pPr>
      <w:r>
        <w:rPr>
          <w:rFonts w:ascii="Segoe UI" w:hAnsi="Segoe UI"/>
          <w:b/>
          <w:color w:val="2D6A4F"/>
          <w:sz w:val="24"/>
        </w:rPr>
        <w:t>CAPSTONE PROJECT 5 — FINAL</w:t>
      </w:r>
      <w:r w:rsidR="00C00207">
        <w:rPr>
          <w:rFonts w:ascii="Segoe UI" w:hAnsi="Segoe UI"/>
          <w:b/>
          <w:color w:val="2D6A4F"/>
          <w:sz w:val="24"/>
        </w:rPr>
        <w:t xml:space="preserve"> </w:t>
      </w:r>
      <w:r>
        <w:rPr>
          <w:rFonts w:ascii="Segoe UI" w:hAnsi="Segoe UI"/>
          <w:b/>
          <w:color w:val="2D6A4F"/>
          <w:sz w:val="24"/>
        </w:rPr>
        <w:t>REPORT</w:t>
      </w:r>
    </w:p>
    <w:p w14:paraId="0511A56F" w14:textId="77777777" w:rsidR="00B73849" w:rsidRDefault="00000000">
      <w:pPr>
        <w:spacing w:after="120"/>
        <w:jc w:val="center"/>
      </w:pPr>
      <w:r>
        <w:rPr>
          <w:rFonts w:ascii="Segoe UI" w:hAnsi="Segoe UI"/>
          <w:b/>
          <w:color w:val="1B4332"/>
          <w:sz w:val="48"/>
        </w:rPr>
        <w:t>Agricultural Productivity &amp;</w:t>
      </w:r>
      <w:r>
        <w:rPr>
          <w:rFonts w:ascii="Segoe UI" w:hAnsi="Segoe UI"/>
          <w:b/>
          <w:color w:val="1B4332"/>
          <w:sz w:val="48"/>
        </w:rPr>
        <w:br/>
        <w:t>Yield Analysis in India</w:t>
      </w:r>
      <w:r>
        <w:rPr>
          <w:rFonts w:ascii="Segoe UI" w:hAnsi="Segoe UI"/>
          <w:b/>
          <w:color w:val="1B4332"/>
          <w:sz w:val="48"/>
        </w:rPr>
        <w:br/>
        <w:t>(1997–2015)</w:t>
      </w:r>
    </w:p>
    <w:p w14:paraId="1104374B" w14:textId="77777777" w:rsidR="00B73849" w:rsidRDefault="00000000">
      <w:pPr>
        <w:spacing w:after="120"/>
        <w:jc w:val="center"/>
      </w:pPr>
      <w:r>
        <w:rPr>
          <w:rFonts w:ascii="Segoe UI" w:hAnsi="Segoe UI"/>
          <w:i/>
          <w:color w:val="666666"/>
          <w:sz w:val="23"/>
        </w:rPr>
        <w:t>A Data-Driven Diagnostics Audit Across 33 States and 124 Crop Types</w:t>
      </w:r>
      <w:r>
        <w:rPr>
          <w:rFonts w:ascii="Segoe UI" w:hAnsi="Segoe UI"/>
          <w:i/>
          <w:color w:val="666666"/>
          <w:sz w:val="23"/>
        </w:rPr>
        <w:br/>
        <w:t>Resolving Reporting Unit Inconsistencies and Regional Performance Gaps</w:t>
      </w:r>
    </w:p>
    <w:p w14:paraId="69C9F2EA" w14:textId="77777777" w:rsidR="00B73849" w:rsidRDefault="00B73849">
      <w:pPr>
        <w:spacing w:after="120"/>
      </w:pPr>
    </w:p>
    <w:p w14:paraId="0378DD78" w14:textId="77777777" w:rsidR="00B73849" w:rsidRDefault="00B73849">
      <w:pPr>
        <w:spacing w:after="120"/>
      </w:pPr>
    </w:p>
    <w:p w14:paraId="4ED4EBA1" w14:textId="77777777" w:rsidR="00B73849" w:rsidRDefault="00B73849">
      <w:pPr>
        <w:spacing w:after="120"/>
      </w:pPr>
    </w:p>
    <w:p w14:paraId="596071AE" w14:textId="77777777" w:rsidR="00B73849" w:rsidRDefault="00B73849">
      <w:pPr>
        <w:spacing w:after="120"/>
      </w:pPr>
    </w:p>
    <w:p w14:paraId="63F5F328" w14:textId="77777777" w:rsidR="00B73849" w:rsidRDefault="00B73849">
      <w:pPr>
        <w:spacing w:after="120"/>
      </w:pPr>
    </w:p>
    <w:p w14:paraId="6D7E224A" w14:textId="77777777" w:rsidR="00B73849" w:rsidRDefault="00B73849">
      <w:pPr>
        <w:spacing w:after="120"/>
      </w:pPr>
    </w:p>
    <w:p w14:paraId="1AF66C24" w14:textId="77777777" w:rsidR="00B73849" w:rsidRDefault="00B73849">
      <w:pPr>
        <w:spacing w:after="120"/>
      </w:pPr>
    </w:p>
    <w:p w14:paraId="7A9F7345" w14:textId="20B08115" w:rsidR="00B73849" w:rsidRDefault="00000000">
      <w:pPr>
        <w:spacing w:after="120"/>
        <w:jc w:val="center"/>
      </w:pPr>
      <w:r>
        <w:rPr>
          <w:rFonts w:ascii="Segoe UI" w:hAnsi="Segoe UI"/>
          <w:b/>
          <w:color w:val="666666"/>
          <w:sz w:val="20"/>
        </w:rPr>
        <w:t xml:space="preserve">Prepared by: </w:t>
      </w:r>
      <w:r>
        <w:rPr>
          <w:rFonts w:ascii="Segoe UI" w:hAnsi="Segoe UI"/>
          <w:color w:val="666666"/>
          <w:sz w:val="20"/>
        </w:rPr>
        <w:t>Trivedi Dharmik</w:t>
      </w:r>
      <w:r>
        <w:rPr>
          <w:rFonts w:ascii="Segoe UI" w:hAnsi="Segoe UI"/>
          <w:color w:val="666666"/>
          <w:sz w:val="20"/>
        </w:rPr>
        <w:br/>
      </w:r>
      <w:r>
        <w:rPr>
          <w:rFonts w:ascii="Segoe UI" w:hAnsi="Segoe UI"/>
          <w:b/>
          <w:color w:val="666666"/>
          <w:sz w:val="20"/>
        </w:rPr>
        <w:t xml:space="preserve">Course: </w:t>
      </w:r>
      <w:r>
        <w:rPr>
          <w:rFonts w:ascii="Segoe UI" w:hAnsi="Segoe UI"/>
          <w:color w:val="666666"/>
          <w:sz w:val="20"/>
        </w:rPr>
        <w:t>Data Analytics &amp; Visualization Summer Industrial Training</w:t>
      </w:r>
      <w:r>
        <w:rPr>
          <w:rFonts w:ascii="Segoe UI" w:hAnsi="Segoe UI"/>
          <w:color w:val="666666"/>
          <w:sz w:val="20"/>
        </w:rPr>
        <w:br/>
      </w:r>
      <w:r>
        <w:rPr>
          <w:rFonts w:ascii="Segoe UI" w:hAnsi="Segoe UI"/>
          <w:b/>
          <w:color w:val="666666"/>
          <w:sz w:val="20"/>
        </w:rPr>
        <w:t xml:space="preserve">Date: </w:t>
      </w:r>
      <w:r>
        <w:rPr>
          <w:rFonts w:ascii="Segoe UI" w:hAnsi="Segoe UI"/>
          <w:color w:val="666666"/>
          <w:sz w:val="20"/>
        </w:rPr>
        <w:t>1</w:t>
      </w:r>
      <w:r w:rsidR="00BB4677">
        <w:rPr>
          <w:rFonts w:ascii="Segoe UI" w:hAnsi="Segoe UI"/>
          <w:color w:val="666666"/>
          <w:sz w:val="20"/>
        </w:rPr>
        <w:t>8</w:t>
      </w:r>
      <w:r>
        <w:rPr>
          <w:rFonts w:ascii="Segoe UI" w:hAnsi="Segoe UI"/>
          <w:color w:val="666666"/>
          <w:sz w:val="20"/>
        </w:rPr>
        <w:t>-July-2026</w:t>
      </w:r>
      <w:r>
        <w:rPr>
          <w:rFonts w:ascii="Segoe UI" w:hAnsi="Segoe UI"/>
          <w:color w:val="666666"/>
          <w:sz w:val="20"/>
        </w:rPr>
        <w:br/>
      </w:r>
    </w:p>
    <w:p w14:paraId="5216283C" w14:textId="77777777" w:rsidR="00B73849" w:rsidRDefault="00000000">
      <w:r>
        <w:br w:type="page"/>
      </w:r>
    </w:p>
    <w:p w14:paraId="37125D8A" w14:textId="77777777" w:rsidR="00B73849" w:rsidRDefault="00000000">
      <w:pPr>
        <w:spacing w:before="360" w:after="240"/>
      </w:pPr>
      <w:r>
        <w:rPr>
          <w:rFonts w:ascii="Segoe UI" w:hAnsi="Segoe UI"/>
          <w:b/>
          <w:color w:val="1B4332"/>
          <w:sz w:val="36"/>
        </w:rPr>
        <w:lastRenderedPageBreak/>
        <w:t>1. Executive Summary</w:t>
      </w:r>
    </w:p>
    <w:p w14:paraId="569B4582" w14:textId="77777777" w:rsidR="00B73849" w:rsidRDefault="00000000">
      <w:pPr>
        <w:spacing w:after="120"/>
      </w:pPr>
      <w:r>
        <w:rPr>
          <w:rFonts w:ascii="Segoe UI" w:hAnsi="Segoe UI"/>
          <w:color w:val="333333"/>
          <w:sz w:val="21"/>
        </w:rPr>
        <w:t>Indian agriculture represents the economic backbone of rural populations, providing livelihoods to over half of the country's workforce and contributing significantly to national GDP. However, agricultural productivity is highly fragmented, displaying massive variance across geographic zones, states, crops, and seasons. This Capstone Project presents an end-to-end data diagnostics audit utilizing 246,091 historical records from the Government of India's Ministry of Agriculture &amp; Farmers Welfare (1997–2015). The goal is to identify high vs. low-yield regions, examine temporal productivity shifts, and provide actionable recommendations for targeted policy focus.</w:t>
      </w:r>
    </w:p>
    <w:p w14:paraId="1DC665EB" w14:textId="77777777" w:rsidR="00B73849" w:rsidRDefault="00000000">
      <w:pPr>
        <w:spacing w:after="120"/>
      </w:pPr>
      <w:r>
        <w:rPr>
          <w:rFonts w:ascii="Segoe UI" w:hAnsi="Segoe UI"/>
          <w:color w:val="333333"/>
          <w:sz w:val="21"/>
        </w:rPr>
        <w:t>The analysis was executed systematically in multiple phases, starting with data cleaning and structural validation of 246,091 raw records. During the exploration phase, a significant data trap was identified: crop production is reported in heterogeneous units (coconuts in nuts, cotton/jute in bales, and grains in tonnes). Averaging raw yields across different crop types silently corrupts aggregate averages. To resolve this, a normalized Yield Index was constructed, rebasing every crop's yield to its own historical mean. This allowed for valid cross-crop comparisons across zones, states, and years.</w:t>
      </w:r>
    </w:p>
    <w:p w14:paraId="5F40AC1B" w14:textId="77777777" w:rsidR="00B73849" w:rsidRDefault="00000000">
      <w:pPr>
        <w:spacing w:after="120"/>
      </w:pPr>
      <w:r>
        <w:rPr>
          <w:rFonts w:ascii="Segoe UI" w:hAnsi="Segoe UI"/>
          <w:b/>
          <w:color w:val="1B4332"/>
        </w:rPr>
        <w:t>Key Findings from the Agricultural Audit:</w:t>
      </w:r>
    </w:p>
    <w:p w14:paraId="4F176971" w14:textId="77777777" w:rsidR="00B73849" w:rsidRDefault="00000000">
      <w:pPr>
        <w:pStyle w:val="ListBullet"/>
        <w:spacing w:after="80"/>
      </w:pPr>
      <w:r>
        <w:rPr>
          <w:rFonts w:ascii="Segoe UI" w:hAnsi="Segoe UI"/>
          <w:b/>
          <w:sz w:val="20"/>
        </w:rPr>
        <w:t>National Yield Growth:</w:t>
      </w:r>
      <w:r>
        <w:rPr>
          <w:rFonts w:ascii="Segoe UI" w:hAnsi="Segoe UI"/>
          <w:sz w:val="20"/>
        </w:rPr>
        <w:t xml:space="preserve"> National relative agricultural productivity rose by 22% between 1997 (Yield Index</w:t>
      </w:r>
    </w:p>
    <w:p w14:paraId="5034E187" w14:textId="77777777" w:rsidR="00B73849" w:rsidRDefault="00000000">
      <w:pPr>
        <w:pStyle w:val="ListBullet"/>
        <w:spacing w:after="80"/>
      </w:pPr>
      <w:r>
        <w:rPr>
          <w:rFonts w:ascii="Segoe UI" w:hAnsi="Segoe UI"/>
          <w:b/>
          <w:sz w:val="20"/>
        </w:rPr>
        <w:t>Punjab as the National Benchmark:</w:t>
      </w:r>
      <w:r>
        <w:rPr>
          <w:rFonts w:ascii="Segoe UI" w:hAnsi="Segoe UI"/>
          <w:sz w:val="20"/>
        </w:rPr>
        <w:t xml:space="preserve"> Punjab is the standout state, exhibiting an average Yield Index of 1.508 (51% above the national average for the same crops grown elsewhere) combined with exceptionally low year-to-year volatility, due to its robust canal and tubewell irrigation infrastructure.</w:t>
      </w:r>
    </w:p>
    <w:p w14:paraId="17BCCAD7" w14:textId="77777777" w:rsidR="00B73849" w:rsidRDefault="00000000">
      <w:pPr>
        <w:pStyle w:val="ListBullet"/>
        <w:spacing w:after="80"/>
      </w:pPr>
      <w:r>
        <w:rPr>
          <w:rFonts w:ascii="Segoe UI" w:hAnsi="Segoe UI"/>
          <w:b/>
          <w:sz w:val="20"/>
        </w:rPr>
        <w:t>Central Zone Productivity Gap:</w:t>
      </w:r>
      <w:r>
        <w:rPr>
          <w:rFonts w:ascii="Segoe UI" w:hAnsi="Segoe UI"/>
          <w:sz w:val="20"/>
        </w:rPr>
        <w:t xml:space="preserve"> The Central Zone (comprising Madhya Pradesh and Chhattisgarh) is the country's lagging region, with a combined Yield Index of 0.761 (24% below the national average), making it the primary target for agricultural development and seed-replacement programs.</w:t>
      </w:r>
    </w:p>
    <w:p w14:paraId="40BE68EE" w14:textId="77777777" w:rsidR="00B73849" w:rsidRDefault="00000000">
      <w:pPr>
        <w:pStyle w:val="ListBullet"/>
        <w:spacing w:after="80"/>
      </w:pPr>
      <w:r>
        <w:rPr>
          <w:rFonts w:ascii="Segoe UI" w:hAnsi="Segoe UI"/>
          <w:b/>
          <w:sz w:val="20"/>
        </w:rPr>
        <w:t>Rajasthan &amp; MP Rainfall Exposure:</w:t>
      </w:r>
      <w:r>
        <w:rPr>
          <w:rFonts w:ascii="Segoe UI" w:hAnsi="Segoe UI"/>
          <w:sz w:val="20"/>
        </w:rPr>
        <w:t xml:space="preserve"> Rajasthan and Madhya Pradesh exhibit a combination of below-average productivity and high yield volatility. This indicates a high exposure to monsoon variability and rainfall dependency, flagging them as priority states for micro-irrigation and crop insurance schemes.</w:t>
      </w:r>
    </w:p>
    <w:p w14:paraId="63CC4F98" w14:textId="77777777" w:rsidR="00B73849" w:rsidRDefault="00000000">
      <w:pPr>
        <w:pStyle w:val="ListBullet"/>
        <w:spacing w:after="80"/>
      </w:pPr>
      <w:r>
        <w:rPr>
          <w:rFonts w:ascii="Segoe UI" w:hAnsi="Segoe UI"/>
          <w:b/>
          <w:sz w:val="20"/>
        </w:rPr>
        <w:t>Area-Yield Independence:</w:t>
      </w:r>
      <w:r>
        <w:rPr>
          <w:rFonts w:ascii="Segoe UI" w:hAnsi="Segoe UI"/>
          <w:sz w:val="20"/>
        </w:rPr>
        <w:t xml:space="preserve"> Cultivated area and relative crop yield show almost zero statistical correlation (r = 0.005). Expanding the physical scale of cultivation in low-productivity regions does not yield efficiency gains, indicating that agricultural policies must target yield-enhancing inputs rather than simple land expansion.</w:t>
      </w:r>
    </w:p>
    <w:p w14:paraId="301671F5" w14:textId="77777777" w:rsidR="00B73849" w:rsidRDefault="00000000">
      <w:r>
        <w:br w:type="page"/>
      </w:r>
    </w:p>
    <w:p w14:paraId="681E8185" w14:textId="77777777" w:rsidR="00B73849" w:rsidRDefault="00000000">
      <w:pPr>
        <w:spacing w:before="360" w:after="240"/>
      </w:pPr>
      <w:r>
        <w:rPr>
          <w:rFonts w:ascii="Segoe UI" w:hAnsi="Segoe UI"/>
          <w:b/>
          <w:color w:val="1B4332"/>
          <w:sz w:val="36"/>
        </w:rPr>
        <w:lastRenderedPageBreak/>
        <w:t>2. Data Description &amp; Data Cleaning</w:t>
      </w:r>
    </w:p>
    <w:p w14:paraId="755BAA06" w14:textId="77777777" w:rsidR="00B73849" w:rsidRDefault="00000000">
      <w:pPr>
        <w:spacing w:after="120"/>
      </w:pPr>
      <w:r>
        <w:rPr>
          <w:rFonts w:ascii="Segoe UI" w:hAnsi="Segoe UI"/>
          <w:color w:val="333333"/>
          <w:sz w:val="21"/>
        </w:rPr>
        <w:t>The primary dataset, 'Crop Production in India', was sourced from the Government of India's Open Government Data Portal (data.gov.in). The raw dataset consists of 246,091 rows representing historical crop production records at the district level. The dataset spans 19 years from 1997 to 2015. The columns include: State_Name, District_Name, Crop_Year, Season, Crop, Area (hectares), and Production (variable units).</w:t>
      </w:r>
    </w:p>
    <w:p w14:paraId="589698CC" w14:textId="77777777" w:rsidR="00B73849" w:rsidRDefault="00000000">
      <w:pPr>
        <w:spacing w:before="240" w:after="160"/>
      </w:pPr>
      <w:r>
        <w:rPr>
          <w:rFonts w:ascii="Segoe UI" w:hAnsi="Segoe UI"/>
          <w:b/>
          <w:color w:val="2D6A4F"/>
          <w:sz w:val="27"/>
        </w:rPr>
        <w:t>Data Cleaning Methodology</w:t>
      </w:r>
    </w:p>
    <w:p w14:paraId="2470A440" w14:textId="77777777" w:rsidR="00B73849" w:rsidRDefault="00000000">
      <w:pPr>
        <w:spacing w:after="120"/>
      </w:pPr>
      <w:r>
        <w:rPr>
          <w:rFonts w:ascii="Segoe UI" w:hAnsi="Segoe UI"/>
          <w:color w:val="333333"/>
          <w:sz w:val="21"/>
        </w:rPr>
        <w:t>To ensure analytical integrity, a structured data cleaning pipeline was implemented in Python (using Pandas) and Excel before running any SQL or modeling phases. The cleaning steps included:</w:t>
      </w:r>
    </w:p>
    <w:p w14:paraId="1059F26F" w14:textId="77777777" w:rsidR="00B73849" w:rsidRDefault="00000000">
      <w:pPr>
        <w:spacing w:after="80"/>
      </w:pPr>
      <w:r>
        <w:rPr>
          <w:rFonts w:ascii="Segoe UI" w:hAnsi="Segoe UI"/>
          <w:b/>
          <w:sz w:val="20"/>
        </w:rPr>
        <w:t xml:space="preserve"> - Whitespace and Casing Standardization: </w:t>
      </w:r>
      <w:r>
        <w:rPr>
          <w:rFonts w:ascii="Segoe UI" w:hAnsi="Segoe UI"/>
          <w:sz w:val="20"/>
        </w:rPr>
        <w:t>Casing of State_Name and District_Name was standardized to Title Case to fix inconsistent data entries. Trailing whitespaces in categorical variables like Season (e.g. 'Kharif     ') were stripped.</w:t>
      </w:r>
    </w:p>
    <w:p w14:paraId="65B6553A" w14:textId="77777777" w:rsidR="00B73849" w:rsidRDefault="00000000">
      <w:pPr>
        <w:spacing w:after="80"/>
      </w:pPr>
      <w:r>
        <w:rPr>
          <w:rFonts w:ascii="Segoe UI" w:hAnsi="Segoe UI"/>
          <w:b/>
          <w:sz w:val="20"/>
        </w:rPr>
        <w:t xml:space="preserve"> - Handling of Missing Values: </w:t>
      </w:r>
      <w:r>
        <w:rPr>
          <w:rFonts w:ascii="Segoe UI" w:hAnsi="Segoe UI"/>
          <w:sz w:val="20"/>
        </w:rPr>
        <w:t>A total of 3,730 rows (1.52% of the dataset) were missing Production values. These rows were removed rather than imputed to avoid fabricating yields, resulting in a dataset of 242,361 rows.</w:t>
      </w:r>
    </w:p>
    <w:p w14:paraId="1EF08829" w14:textId="77777777" w:rsidR="00B73849" w:rsidRDefault="00000000">
      <w:pPr>
        <w:spacing w:after="80"/>
      </w:pPr>
      <w:r>
        <w:rPr>
          <w:rFonts w:ascii="Segoe UI" w:hAnsi="Segoe UI"/>
          <w:b/>
          <w:sz w:val="20"/>
        </w:rPr>
        <w:t xml:space="preserve"> - Invalid Records Filtering: </w:t>
      </w:r>
      <w:r>
        <w:rPr>
          <w:rFonts w:ascii="Segoe UI" w:hAnsi="Segoe UI"/>
          <w:sz w:val="20"/>
        </w:rPr>
        <w:t>Records with Area &lt;= 0 or Production &lt; 0 were inspected. Since no structurally invalid records were found, no rows were dropped on this basis.</w:t>
      </w:r>
    </w:p>
    <w:p w14:paraId="0CA44A90" w14:textId="77777777" w:rsidR="00B73849" w:rsidRDefault="00000000">
      <w:pPr>
        <w:spacing w:after="80"/>
      </w:pPr>
      <w:r>
        <w:rPr>
          <w:rFonts w:ascii="Segoe UI" w:hAnsi="Segoe UI"/>
          <w:b/>
          <w:sz w:val="20"/>
        </w:rPr>
        <w:t xml:space="preserve"> - Yield Calculation: </w:t>
      </w:r>
      <w:r>
        <w:rPr>
          <w:rFonts w:ascii="Segoe UI" w:hAnsi="Segoe UI"/>
          <w:sz w:val="20"/>
        </w:rPr>
        <w:t>Yield was derived as a calculated column: Yield = Production ÷ Area. This establishes a normalized measure of land productivity rather than total raw output volume.</w:t>
      </w:r>
    </w:p>
    <w:p w14:paraId="15CD3C99" w14:textId="77777777" w:rsidR="00B73849" w:rsidRDefault="00000000">
      <w:pPr>
        <w:spacing w:after="80"/>
      </w:pPr>
      <w:r>
        <w:rPr>
          <w:rFonts w:ascii="Segoe UI" w:hAnsi="Segoe UI"/>
          <w:b/>
          <w:sz w:val="20"/>
        </w:rPr>
        <w:t xml:space="preserve"> - Outlier Detection &amp; Flagging: </w:t>
      </w:r>
      <w:r>
        <w:rPr>
          <w:rFonts w:ascii="Segoe UI" w:hAnsi="Segoe UI"/>
          <w:sz w:val="20"/>
        </w:rPr>
        <w:t>The Interquartile Range (IQR) method was applied to Yield per crop type rather than globally, as sugarcane yield and lentil yield have different scales. A total of 7,680 records (3.17%) were flagged as outliers (is_outlier = 1) but kept in the database to maintain transparency.</w:t>
      </w:r>
    </w:p>
    <w:p w14:paraId="7D9A7B97" w14:textId="77777777" w:rsidR="00B73849" w:rsidRDefault="00000000">
      <w:pPr>
        <w:spacing w:before="240" w:after="160"/>
      </w:pPr>
      <w:r>
        <w:rPr>
          <w:rFonts w:ascii="Segoe UI" w:hAnsi="Segoe UI"/>
          <w:b/>
          <w:color w:val="2D6A4F"/>
          <w:sz w:val="27"/>
        </w:rPr>
        <w:t>The Reporting Unit Inconsistency Data Trap</w:t>
      </w:r>
    </w:p>
    <w:p w14:paraId="2A845109" w14:textId="77777777" w:rsidR="00B73849" w:rsidRPr="005974E3" w:rsidRDefault="00000000">
      <w:pPr>
        <w:spacing w:after="120"/>
        <w:rPr>
          <w:sz w:val="20"/>
          <w:szCs w:val="20"/>
        </w:rPr>
      </w:pPr>
      <w:r w:rsidRPr="005974E3">
        <w:rPr>
          <w:rFonts w:ascii="Segoe UI" w:hAnsi="Segoe UI"/>
          <w:color w:val="333333"/>
          <w:sz w:val="20"/>
          <w:szCs w:val="20"/>
        </w:rPr>
        <w:t>A key discovery during initial EDA was the unit inconsistency in government agricultural statistics. Production is reported in incompatible units depending on the crop: coconuts are reported in 'number of nuts', cotton and jute in 'bales', and grains/spices in 'tonnes'. Direct aggregations of raw yield across different crop types would silently blend incompatible units, rendering national averages meaningless.</w:t>
      </w:r>
    </w:p>
    <w:p w14:paraId="31257F71" w14:textId="77777777" w:rsidR="00B73849" w:rsidRPr="005974E3" w:rsidRDefault="00000000">
      <w:pPr>
        <w:spacing w:after="120"/>
        <w:rPr>
          <w:sz w:val="20"/>
          <w:szCs w:val="20"/>
        </w:rPr>
      </w:pPr>
      <w:r w:rsidRPr="005974E3">
        <w:rPr>
          <w:rFonts w:ascii="Segoe UI" w:hAnsi="Segoe UI"/>
          <w:color w:val="333333"/>
          <w:sz w:val="20"/>
          <w:szCs w:val="20"/>
        </w:rPr>
        <w:t>To resolve this data trap, a normalized Yield Index was constructed. The Yield Index divides each record's raw yield by the historical national average yield of that specific crop:</w:t>
      </w:r>
    </w:p>
    <w:p w14:paraId="0696DC3C" w14:textId="77777777" w:rsidR="00B73849" w:rsidRPr="005974E3" w:rsidRDefault="00000000">
      <w:pPr>
        <w:spacing w:before="120" w:after="120"/>
        <w:jc w:val="center"/>
        <w:rPr>
          <w:sz w:val="20"/>
          <w:szCs w:val="20"/>
        </w:rPr>
      </w:pPr>
      <w:r w:rsidRPr="005974E3">
        <w:rPr>
          <w:rFonts w:ascii="Courier New" w:hAnsi="Courier New"/>
          <w:b/>
          <w:color w:val="1B4332"/>
          <w:sz w:val="20"/>
          <w:szCs w:val="20"/>
        </w:rPr>
        <w:t>Yield_Index = Yield_{i, c} / Mean_Yield_c</w:t>
      </w:r>
    </w:p>
    <w:p w14:paraId="648B9687" w14:textId="77777777" w:rsidR="00B73849" w:rsidRPr="005974E3" w:rsidRDefault="00000000">
      <w:pPr>
        <w:spacing w:after="120"/>
        <w:rPr>
          <w:sz w:val="20"/>
          <w:szCs w:val="20"/>
        </w:rPr>
      </w:pPr>
      <w:r w:rsidRPr="005974E3">
        <w:rPr>
          <w:rFonts w:ascii="Segoe UI" w:hAnsi="Segoe UI"/>
          <w:color w:val="333333"/>
          <w:sz w:val="20"/>
          <w:szCs w:val="20"/>
        </w:rPr>
        <w:t>Where Yield_{i, c} represents the yield of record i for crop c, and Mean_Yield_c is the national long-run average yield for crop c. A Yield Index of 1.0 indicates that the record's yield is exactly equal to the national average for that crop. A value of 1.50 indicates that the productivity is 50% above the average for that specific crop, allowing for valid comparative analysis across different crop mixes.</w:t>
      </w:r>
    </w:p>
    <w:p w14:paraId="4B087CAD" w14:textId="121DC0F7" w:rsidR="00B73849" w:rsidRDefault="00000000" w:rsidP="005974E3">
      <w:r>
        <w:br w:type="page"/>
      </w:r>
      <w:r>
        <w:rPr>
          <w:rFonts w:ascii="Segoe UI" w:hAnsi="Segoe UI"/>
          <w:b/>
          <w:color w:val="1B4332"/>
          <w:sz w:val="36"/>
        </w:rPr>
        <w:lastRenderedPageBreak/>
        <w:t>3. SQL Database Analysis</w:t>
      </w:r>
    </w:p>
    <w:p w14:paraId="1FA3CBB8" w14:textId="77777777" w:rsidR="00B73849" w:rsidRDefault="00000000">
      <w:pPr>
        <w:spacing w:after="120"/>
      </w:pPr>
      <w:r>
        <w:rPr>
          <w:rFonts w:ascii="Segoe UI" w:hAnsi="Segoe UI"/>
          <w:color w:val="333333"/>
          <w:sz w:val="21"/>
        </w:rPr>
        <w:t>The cleaned dataset was loaded into an SQLite database to execute complex queries and aggregations at scale. A State-to-Zone reference table was joined to enable geographic segmentation. The SQL script contains commented queries covering joins, window functions, and views.</w:t>
      </w:r>
    </w:p>
    <w:p w14:paraId="69CB27A2" w14:textId="77777777" w:rsidR="00B73849" w:rsidRDefault="00000000">
      <w:pPr>
        <w:spacing w:before="240" w:after="160"/>
      </w:pPr>
      <w:r>
        <w:rPr>
          <w:rFonts w:ascii="Segoe UI" w:hAnsi="Segoe UI"/>
          <w:b/>
          <w:color w:val="2D6A4F"/>
          <w:sz w:val="27"/>
        </w:rPr>
        <w:t>Core SQL Queries &amp; Implementations</w:t>
      </w:r>
    </w:p>
    <w:p w14:paraId="31BC713B" w14:textId="77777777" w:rsidR="00B73849" w:rsidRDefault="00000000">
      <w:pPr>
        <w:spacing w:before="160" w:after="120"/>
      </w:pPr>
      <w:r>
        <w:rPr>
          <w:rFonts w:ascii="Segoe UI" w:hAnsi="Segoe UI"/>
          <w:b/>
          <w:color w:val="2D6A4F"/>
        </w:rPr>
        <w:t>1. Inner Join with State-Zone Mapping</w:t>
      </w:r>
    </w:p>
    <w:p w14:paraId="2550B62F" w14:textId="77777777" w:rsidR="00B73849" w:rsidRDefault="00000000">
      <w:pPr>
        <w:spacing w:after="120"/>
      </w:pPr>
      <w:r>
        <w:rPr>
          <w:rFonts w:ascii="Segoe UI" w:hAnsi="Segoe UI"/>
          <w:color w:val="333333"/>
          <w:sz w:val="21"/>
        </w:rPr>
        <w:t>To aggregate district-level crop data by geographic zones, an INNER JOIN was executed between the main production table and the state-zone reference table:</w:t>
      </w:r>
    </w:p>
    <w:p w14:paraId="2469E312" w14:textId="77777777" w:rsidR="00B73849" w:rsidRDefault="00000000">
      <w:pPr>
        <w:spacing w:after="160"/>
        <w:ind w:left="576"/>
      </w:pPr>
      <w:r>
        <w:rPr>
          <w:rFonts w:ascii="Courier New" w:hAnsi="Courier New"/>
          <w:color w:val="1B4332"/>
          <w:sz w:val="18"/>
        </w:rPr>
        <w:t>SELECT c.State_Name, z.Zone, c.Crop, c.Yield_Index</w:t>
      </w:r>
      <w:r>
        <w:rPr>
          <w:rFonts w:ascii="Courier New" w:hAnsi="Courier New"/>
          <w:color w:val="1B4332"/>
          <w:sz w:val="18"/>
        </w:rPr>
        <w:br/>
        <w:t>FROM crop_production_cleaned c</w:t>
      </w:r>
      <w:r>
        <w:rPr>
          <w:rFonts w:ascii="Courier New" w:hAnsi="Courier New"/>
          <w:color w:val="1B4332"/>
          <w:sz w:val="18"/>
        </w:rPr>
        <w:br/>
        <w:t>INNER JOIN state_zone_ref z ON c.State_Name = z.State_Name</w:t>
      </w:r>
      <w:r>
        <w:rPr>
          <w:rFonts w:ascii="Courier New" w:hAnsi="Courier New"/>
          <w:color w:val="1B4332"/>
          <w:sz w:val="18"/>
        </w:rPr>
        <w:br/>
        <w:t>WHERE c.is_outlier = 0;</w:t>
      </w:r>
    </w:p>
    <w:p w14:paraId="0D38F3A6" w14:textId="77777777" w:rsidR="00B73849" w:rsidRDefault="00000000">
      <w:pPr>
        <w:spacing w:before="160" w:after="120"/>
      </w:pPr>
      <w:r>
        <w:rPr>
          <w:rFonts w:ascii="Segoe UI" w:hAnsi="Segoe UI"/>
          <w:b/>
          <w:color w:val="2D6A4F"/>
        </w:rPr>
        <w:t>2. Window Functions for State Yield Rankings</w:t>
      </w:r>
    </w:p>
    <w:p w14:paraId="5CE7CD11" w14:textId="77777777" w:rsidR="00B73849" w:rsidRDefault="00000000">
      <w:pPr>
        <w:spacing w:after="120"/>
      </w:pPr>
      <w:r>
        <w:rPr>
          <w:rFonts w:ascii="Segoe UI" w:hAnsi="Segoe UI"/>
          <w:color w:val="333333"/>
          <w:sz w:val="21"/>
        </w:rPr>
        <w:t>To rank states by average Yield Index within each geographic zone, the RANK() window function was utilized partition-by Zone:</w:t>
      </w:r>
    </w:p>
    <w:p w14:paraId="43B2F3FF" w14:textId="77777777" w:rsidR="00B73849" w:rsidRDefault="00000000">
      <w:pPr>
        <w:spacing w:after="160"/>
        <w:ind w:left="576"/>
      </w:pPr>
      <w:r>
        <w:rPr>
          <w:rFonts w:ascii="Courier New" w:hAnsi="Courier New"/>
          <w:color w:val="1B4332"/>
          <w:sz w:val="18"/>
        </w:rPr>
        <w:t>SELECT z.Zone, c.State_Name, AVG(c.Yield_Index) AS Avg_Index,</w:t>
      </w:r>
      <w:r>
        <w:rPr>
          <w:rFonts w:ascii="Courier New" w:hAnsi="Courier New"/>
          <w:color w:val="1B4332"/>
          <w:sz w:val="18"/>
        </w:rPr>
        <w:br/>
        <w:t>RANK() OVER (PARTITION BY z.Zone ORDER BY AVG(c.Yield_Index) DESC) AS Zone_Rank</w:t>
      </w:r>
      <w:r>
        <w:rPr>
          <w:rFonts w:ascii="Courier New" w:hAnsi="Courier New"/>
          <w:color w:val="1B4332"/>
          <w:sz w:val="18"/>
        </w:rPr>
        <w:br/>
        <w:t>FROM crop_production_cleaned c</w:t>
      </w:r>
      <w:r>
        <w:rPr>
          <w:rFonts w:ascii="Courier New" w:hAnsi="Courier New"/>
          <w:color w:val="1B4332"/>
          <w:sz w:val="18"/>
        </w:rPr>
        <w:br/>
        <w:t>INNER JOIN state_zone_ref z ON c.State_Name = z.State_Name</w:t>
      </w:r>
      <w:r>
        <w:rPr>
          <w:rFonts w:ascii="Courier New" w:hAnsi="Courier New"/>
          <w:color w:val="1B4332"/>
          <w:sz w:val="18"/>
        </w:rPr>
        <w:br/>
        <w:t>GROUP BY z.Zone, c.State_Name;</w:t>
      </w:r>
    </w:p>
    <w:p w14:paraId="434749EA" w14:textId="77777777" w:rsidR="00B73849" w:rsidRDefault="00000000">
      <w:pPr>
        <w:spacing w:before="160" w:after="120"/>
      </w:pPr>
      <w:r>
        <w:rPr>
          <w:rFonts w:ascii="Segoe UI" w:hAnsi="Segoe UI"/>
          <w:b/>
          <w:color w:val="2D6A4F"/>
        </w:rPr>
        <w:t>3. Common Table Expressions (CTE) for YoY Trends</w:t>
      </w:r>
    </w:p>
    <w:p w14:paraId="20EB6C67" w14:textId="77777777" w:rsidR="00B73849" w:rsidRDefault="00000000">
      <w:pPr>
        <w:spacing w:after="120"/>
      </w:pPr>
      <w:r>
        <w:rPr>
          <w:rFonts w:ascii="Segoe UI" w:hAnsi="Segoe UI"/>
          <w:color w:val="333333"/>
          <w:sz w:val="21"/>
        </w:rPr>
        <w:t>A CTE was written to aggregate national yield index yearly, and the LAG() window function was used to calculate YoY growth percentages:</w:t>
      </w:r>
    </w:p>
    <w:p w14:paraId="02AA6F75" w14:textId="77777777" w:rsidR="00B73849" w:rsidRDefault="00000000">
      <w:pPr>
        <w:spacing w:after="160"/>
        <w:ind w:left="576"/>
      </w:pPr>
      <w:r>
        <w:rPr>
          <w:rFonts w:ascii="Courier New" w:hAnsi="Courier New"/>
          <w:color w:val="1B4332"/>
          <w:sz w:val="18"/>
        </w:rPr>
        <w:t>WITH YearlyNationalYield AS (</w:t>
      </w:r>
      <w:r>
        <w:rPr>
          <w:rFonts w:ascii="Courier New" w:hAnsi="Courier New"/>
          <w:color w:val="1B4332"/>
          <w:sz w:val="18"/>
        </w:rPr>
        <w:br/>
        <w:t xml:space="preserve">    SELECT Crop_Year, AVG(Yield_Index) AS Avg_Index</w:t>
      </w:r>
      <w:r>
        <w:rPr>
          <w:rFonts w:ascii="Courier New" w:hAnsi="Courier New"/>
          <w:color w:val="1B4332"/>
          <w:sz w:val="18"/>
        </w:rPr>
        <w:br/>
        <w:t xml:space="preserve">    FROM crop_production_cleaned</w:t>
      </w:r>
      <w:r>
        <w:rPr>
          <w:rFonts w:ascii="Courier New" w:hAnsi="Courier New"/>
          <w:color w:val="1B4332"/>
          <w:sz w:val="18"/>
        </w:rPr>
        <w:br/>
        <w:t xml:space="preserve">    WHERE Crop_Year BETWEEN 1997 AND 2014</w:t>
      </w:r>
      <w:r>
        <w:rPr>
          <w:rFonts w:ascii="Courier New" w:hAnsi="Courier New"/>
          <w:color w:val="1B4332"/>
          <w:sz w:val="18"/>
        </w:rPr>
        <w:br/>
        <w:t xml:space="preserve">    GROUP BY Crop_Year</w:t>
      </w:r>
      <w:r>
        <w:rPr>
          <w:rFonts w:ascii="Courier New" w:hAnsi="Courier New"/>
          <w:color w:val="1B4332"/>
          <w:sz w:val="18"/>
        </w:rPr>
        <w:br/>
        <w:t>)</w:t>
      </w:r>
      <w:r>
        <w:rPr>
          <w:rFonts w:ascii="Courier New" w:hAnsi="Courier New"/>
          <w:color w:val="1B4332"/>
          <w:sz w:val="18"/>
        </w:rPr>
        <w:br/>
        <w:t>SELECT Crop_Year, Avg_Index, LAG(Avg_Index, 1) OVER (ORDER BY Crop_Year) AS Prev_Index,</w:t>
      </w:r>
      <w:r>
        <w:rPr>
          <w:rFonts w:ascii="Courier New" w:hAnsi="Courier New"/>
          <w:color w:val="1B4332"/>
          <w:sz w:val="18"/>
        </w:rPr>
        <w:br/>
        <w:t>((Avg_Index - LAG(Avg_Index, 1) OVER (ORDER BY Crop_Year)) / LAG(Avg_Index, 1) OVER (ORDER BY Crop_Year)) * 100 AS YoY_Growth</w:t>
      </w:r>
      <w:r>
        <w:rPr>
          <w:rFonts w:ascii="Courier New" w:hAnsi="Courier New"/>
          <w:color w:val="1B4332"/>
          <w:sz w:val="18"/>
        </w:rPr>
        <w:br/>
        <w:t>FROM YearlyNationalYield;</w:t>
      </w:r>
    </w:p>
    <w:p w14:paraId="5F828C48" w14:textId="77777777" w:rsidR="00B73849" w:rsidRDefault="00000000">
      <w:pPr>
        <w:spacing w:before="240" w:after="160"/>
      </w:pPr>
      <w:r>
        <w:rPr>
          <w:rFonts w:ascii="Segoe UI" w:hAnsi="Segoe UI"/>
          <w:b/>
          <w:color w:val="2D6A4F"/>
          <w:sz w:val="27"/>
        </w:rPr>
        <w:t>SQL View for BI Dashboards</w:t>
      </w:r>
    </w:p>
    <w:p w14:paraId="2E4C8984" w14:textId="77777777" w:rsidR="00B73849" w:rsidRDefault="00000000">
      <w:pPr>
        <w:spacing w:after="120"/>
      </w:pPr>
      <w:r>
        <w:rPr>
          <w:rFonts w:ascii="Segoe UI" w:hAnsi="Segoe UI"/>
          <w:color w:val="333333"/>
          <w:sz w:val="21"/>
        </w:rPr>
        <w:lastRenderedPageBreak/>
        <w:t>To optimize visual query performance, a SQL View named V_Agricultural_Productivity_KPIs was created. This view pre-joins the tables and filters outliers, serving as the clean data source for the visualization layer:</w:t>
      </w:r>
    </w:p>
    <w:p w14:paraId="494451E3" w14:textId="77777777" w:rsidR="00B73849" w:rsidRDefault="00000000">
      <w:pPr>
        <w:spacing w:after="120"/>
        <w:ind w:left="576"/>
      </w:pPr>
      <w:r>
        <w:rPr>
          <w:rFonts w:ascii="Courier New" w:hAnsi="Courier New"/>
          <w:color w:val="1B4332"/>
          <w:sz w:val="18"/>
        </w:rPr>
        <w:t>CREATE VIEW V_Agricultural_Productivity_KPIs AS</w:t>
      </w:r>
      <w:r>
        <w:rPr>
          <w:rFonts w:ascii="Courier New" w:hAnsi="Courier New"/>
          <w:color w:val="1B4332"/>
          <w:sz w:val="18"/>
        </w:rPr>
        <w:br/>
        <w:t>SELECT c.State_Name, z.Zone, c.District_Name, c.Crop_Year,</w:t>
      </w:r>
      <w:r>
        <w:rPr>
          <w:rFonts w:ascii="Courier New" w:hAnsi="Courier New"/>
          <w:color w:val="1B4332"/>
          <w:sz w:val="18"/>
        </w:rPr>
        <w:br/>
        <w:t xml:space="preserve">       c.Season, c.Crop, c.Area AS Area_Ha, c.Production AS Production_Qty,</w:t>
      </w:r>
      <w:r>
        <w:rPr>
          <w:rFonts w:ascii="Courier New" w:hAnsi="Courier New"/>
          <w:color w:val="1B4332"/>
          <w:sz w:val="18"/>
        </w:rPr>
        <w:br/>
        <w:t xml:space="preserve">       c.Yield, c.Yield_Index, c.is_outlier</w:t>
      </w:r>
      <w:r>
        <w:rPr>
          <w:rFonts w:ascii="Courier New" w:hAnsi="Courier New"/>
          <w:color w:val="1B4332"/>
          <w:sz w:val="18"/>
        </w:rPr>
        <w:br/>
        <w:t>FROM crop_production_cleaned c</w:t>
      </w:r>
      <w:r>
        <w:rPr>
          <w:rFonts w:ascii="Courier New" w:hAnsi="Courier New"/>
          <w:color w:val="1B4332"/>
          <w:sz w:val="18"/>
        </w:rPr>
        <w:br/>
        <w:t>INNER JOIN state_zone_ref z ON c.State_Name = z.State_Name;</w:t>
      </w:r>
    </w:p>
    <w:p w14:paraId="5D064F80" w14:textId="77777777" w:rsidR="00B73849" w:rsidRDefault="00000000">
      <w:r>
        <w:br w:type="page"/>
      </w:r>
    </w:p>
    <w:p w14:paraId="5624B9C4" w14:textId="77777777" w:rsidR="00B73849" w:rsidRDefault="00000000">
      <w:pPr>
        <w:spacing w:before="360" w:after="240"/>
      </w:pPr>
      <w:r>
        <w:rPr>
          <w:rFonts w:ascii="Segoe UI" w:hAnsi="Segoe UI"/>
          <w:b/>
          <w:color w:val="1B4332"/>
          <w:sz w:val="36"/>
        </w:rPr>
        <w:lastRenderedPageBreak/>
        <w:t>4. Python Exploratory Data Analysis</w:t>
      </w:r>
    </w:p>
    <w:p w14:paraId="59F76CFE" w14:textId="77777777" w:rsidR="00B73849" w:rsidRDefault="00000000">
      <w:pPr>
        <w:spacing w:after="120"/>
      </w:pPr>
      <w:r>
        <w:rPr>
          <w:rFonts w:ascii="Segoe UI" w:hAnsi="Segoe UI"/>
          <w:color w:val="333333"/>
          <w:sz w:val="21"/>
        </w:rPr>
        <w:t>A full Jupyter Notebook (Project5_EDA.ipynb) was executed to perform statistical modeling, univariate/bivariate checks, and correlation checks. This section documents the core analysis.</w:t>
      </w:r>
    </w:p>
    <w:p w14:paraId="041D2F7C" w14:textId="77777777" w:rsidR="00B73849" w:rsidRDefault="00000000">
      <w:pPr>
        <w:spacing w:before="240" w:after="160"/>
      </w:pPr>
      <w:r>
        <w:rPr>
          <w:rFonts w:ascii="Segoe UI" w:hAnsi="Segoe UI"/>
          <w:b/>
          <w:color w:val="2D6A4F"/>
          <w:sz w:val="27"/>
        </w:rPr>
        <w:t>Univariate Analysis Findings</w:t>
      </w:r>
    </w:p>
    <w:p w14:paraId="6EB3480A" w14:textId="77777777" w:rsidR="00B73849" w:rsidRDefault="00000000">
      <w:pPr>
        <w:spacing w:after="120"/>
      </w:pPr>
      <w:r>
        <w:rPr>
          <w:rFonts w:ascii="Segoe UI" w:hAnsi="Segoe UI"/>
          <w:color w:val="333333"/>
          <w:sz w:val="21"/>
        </w:rPr>
        <w:t>Univariate distribution plots of the normalized Yield Index reveal a right-skewed log-normal distribution. The majority of the agricultural records sit near the average (Yield Index close to 1.0). The right skew is driven by highly intensive, irrigated crops (such as Sugarcane and Potatoes) and regions like Punjab. The boxplot of raw Yield Index identifies several outlier data points, which were flagged during Phase 2 cleaning but preserved in the dataset to maintain transparency.</w:t>
      </w:r>
    </w:p>
    <w:p w14:paraId="6EDF96F9" w14:textId="77777777" w:rsidR="00B73849" w:rsidRDefault="00000000">
      <w:pPr>
        <w:spacing w:before="240" w:after="160"/>
      </w:pPr>
      <w:r>
        <w:rPr>
          <w:rFonts w:ascii="Segoe UI" w:hAnsi="Segoe UI"/>
          <w:b/>
          <w:color w:val="2D6A4F"/>
          <w:sz w:val="27"/>
        </w:rPr>
        <w:t>Bivariate Analysis: Area vs. Yield Independence</w:t>
      </w:r>
    </w:p>
    <w:p w14:paraId="12AFCBAA" w14:textId="77777777" w:rsidR="00B73849" w:rsidRDefault="00000000">
      <w:pPr>
        <w:spacing w:after="120"/>
      </w:pPr>
      <w:r>
        <w:rPr>
          <w:rFonts w:ascii="Segoe UI" w:hAnsi="Segoe UI"/>
          <w:color w:val="333333"/>
          <w:sz w:val="21"/>
        </w:rPr>
        <w:t>To inspect scaling patterns, we mapped cultivated Area against relative Yield Index. The correlation matrix yields a coefficient of r = 0.005. This represents a critical finding: cultivated area and productivity are independent. Expanding the size of farms in low-yield regions will not improve efficiency, indicating that agricultural support should target yield-enhancing inputs (such as high-yield seed varieties, soil nutrients, and micro-irrigation) rather than simple land expansion schemes.</w:t>
      </w:r>
    </w:p>
    <w:tbl>
      <w:tblPr>
        <w:tblW w:w="0" w:type="auto"/>
        <w:jc w:val="center"/>
        <w:tblLook w:val="04A0" w:firstRow="1" w:lastRow="0" w:firstColumn="1" w:lastColumn="0" w:noHBand="0" w:noVBand="1"/>
      </w:tblPr>
      <w:tblGrid>
        <w:gridCol w:w="1872"/>
        <w:gridCol w:w="1872"/>
        <w:gridCol w:w="1872"/>
        <w:gridCol w:w="1872"/>
        <w:gridCol w:w="1872"/>
      </w:tblGrid>
      <w:tr w:rsidR="00B73849" w14:paraId="747563E1" w14:textId="77777777">
        <w:trPr>
          <w:jc w:val="center"/>
        </w:trPr>
        <w:tc>
          <w:tcPr>
            <w:tcW w:w="1872" w:type="dxa"/>
            <w:tcBorders>
              <w:top w:val="single" w:sz="4" w:space="0" w:color="DDE5DA"/>
              <w:left w:val="single" w:sz="4" w:space="0" w:color="DDE5DA"/>
              <w:bottom w:val="single" w:sz="4" w:space="0" w:color="DDE5DA"/>
              <w:right w:val="single" w:sz="4" w:space="0" w:color="DDE5DA"/>
            </w:tcBorders>
            <w:shd w:val="clear" w:color="auto" w:fill="2D6A4F"/>
            <w:tcMar>
              <w:top w:w="100" w:type="dxa"/>
              <w:left w:w="150" w:type="dxa"/>
              <w:bottom w:w="100" w:type="dxa"/>
              <w:right w:w="150" w:type="dxa"/>
            </w:tcMar>
          </w:tcPr>
          <w:p w14:paraId="7D250050" w14:textId="77777777" w:rsidR="00B73849" w:rsidRDefault="00000000">
            <w:pPr>
              <w:jc w:val="center"/>
            </w:pPr>
            <w:r>
              <w:rPr>
                <w:rFonts w:ascii="Segoe UI" w:hAnsi="Segoe UI"/>
                <w:b/>
                <w:color w:val="FFFFFF"/>
                <w:sz w:val="19"/>
              </w:rPr>
              <w:t>Metric</w:t>
            </w:r>
          </w:p>
        </w:tc>
        <w:tc>
          <w:tcPr>
            <w:tcW w:w="1872" w:type="dxa"/>
            <w:tcBorders>
              <w:top w:val="single" w:sz="4" w:space="0" w:color="DDE5DA"/>
              <w:left w:val="single" w:sz="4" w:space="0" w:color="DDE5DA"/>
              <w:bottom w:val="single" w:sz="4" w:space="0" w:color="DDE5DA"/>
              <w:right w:val="single" w:sz="4" w:space="0" w:color="DDE5DA"/>
            </w:tcBorders>
            <w:shd w:val="clear" w:color="auto" w:fill="2D6A4F"/>
            <w:tcMar>
              <w:top w:w="100" w:type="dxa"/>
              <w:left w:w="150" w:type="dxa"/>
              <w:bottom w:w="100" w:type="dxa"/>
              <w:right w:w="150" w:type="dxa"/>
            </w:tcMar>
          </w:tcPr>
          <w:p w14:paraId="0F89E8D0" w14:textId="77777777" w:rsidR="00B73849" w:rsidRDefault="00000000">
            <w:pPr>
              <w:jc w:val="center"/>
            </w:pPr>
            <w:r>
              <w:rPr>
                <w:rFonts w:ascii="Segoe UI" w:hAnsi="Segoe UI"/>
                <w:b/>
                <w:color w:val="FFFFFF"/>
                <w:sz w:val="19"/>
              </w:rPr>
              <w:t>Area</w:t>
            </w:r>
          </w:p>
        </w:tc>
        <w:tc>
          <w:tcPr>
            <w:tcW w:w="1872" w:type="dxa"/>
            <w:tcBorders>
              <w:top w:val="single" w:sz="4" w:space="0" w:color="DDE5DA"/>
              <w:left w:val="single" w:sz="4" w:space="0" w:color="DDE5DA"/>
              <w:bottom w:val="single" w:sz="4" w:space="0" w:color="DDE5DA"/>
              <w:right w:val="single" w:sz="4" w:space="0" w:color="DDE5DA"/>
            </w:tcBorders>
            <w:shd w:val="clear" w:color="auto" w:fill="2D6A4F"/>
            <w:tcMar>
              <w:top w:w="100" w:type="dxa"/>
              <w:left w:w="150" w:type="dxa"/>
              <w:bottom w:w="100" w:type="dxa"/>
              <w:right w:w="150" w:type="dxa"/>
            </w:tcMar>
          </w:tcPr>
          <w:p w14:paraId="38B52ED5" w14:textId="77777777" w:rsidR="00B73849" w:rsidRDefault="00000000">
            <w:pPr>
              <w:jc w:val="center"/>
            </w:pPr>
            <w:r>
              <w:rPr>
                <w:rFonts w:ascii="Segoe UI" w:hAnsi="Segoe UI"/>
                <w:b/>
                <w:color w:val="FFFFFF"/>
                <w:sz w:val="19"/>
              </w:rPr>
              <w:t>Production</w:t>
            </w:r>
          </w:p>
        </w:tc>
        <w:tc>
          <w:tcPr>
            <w:tcW w:w="1872" w:type="dxa"/>
            <w:tcBorders>
              <w:top w:val="single" w:sz="4" w:space="0" w:color="DDE5DA"/>
              <w:left w:val="single" w:sz="4" w:space="0" w:color="DDE5DA"/>
              <w:bottom w:val="single" w:sz="4" w:space="0" w:color="DDE5DA"/>
              <w:right w:val="single" w:sz="4" w:space="0" w:color="DDE5DA"/>
            </w:tcBorders>
            <w:shd w:val="clear" w:color="auto" w:fill="2D6A4F"/>
            <w:tcMar>
              <w:top w:w="100" w:type="dxa"/>
              <w:left w:w="150" w:type="dxa"/>
              <w:bottom w:w="100" w:type="dxa"/>
              <w:right w:w="150" w:type="dxa"/>
            </w:tcMar>
          </w:tcPr>
          <w:p w14:paraId="19D26EDB" w14:textId="77777777" w:rsidR="00B73849" w:rsidRDefault="00000000">
            <w:pPr>
              <w:jc w:val="center"/>
            </w:pPr>
            <w:r>
              <w:rPr>
                <w:rFonts w:ascii="Segoe UI" w:hAnsi="Segoe UI"/>
                <w:b/>
                <w:color w:val="FFFFFF"/>
                <w:sz w:val="19"/>
              </w:rPr>
              <w:t>Yield</w:t>
            </w:r>
          </w:p>
        </w:tc>
        <w:tc>
          <w:tcPr>
            <w:tcW w:w="1872" w:type="dxa"/>
            <w:tcBorders>
              <w:top w:val="single" w:sz="4" w:space="0" w:color="DDE5DA"/>
              <w:left w:val="single" w:sz="4" w:space="0" w:color="DDE5DA"/>
              <w:bottom w:val="single" w:sz="4" w:space="0" w:color="DDE5DA"/>
              <w:right w:val="single" w:sz="4" w:space="0" w:color="DDE5DA"/>
            </w:tcBorders>
            <w:shd w:val="clear" w:color="auto" w:fill="2D6A4F"/>
            <w:tcMar>
              <w:top w:w="100" w:type="dxa"/>
              <w:left w:w="150" w:type="dxa"/>
              <w:bottom w:w="100" w:type="dxa"/>
              <w:right w:w="150" w:type="dxa"/>
            </w:tcMar>
          </w:tcPr>
          <w:p w14:paraId="38F39A5B" w14:textId="77777777" w:rsidR="00B73849" w:rsidRDefault="00000000">
            <w:pPr>
              <w:jc w:val="center"/>
            </w:pPr>
            <w:r>
              <w:rPr>
                <w:rFonts w:ascii="Segoe UI" w:hAnsi="Segoe UI"/>
                <w:b/>
                <w:color w:val="FFFFFF"/>
                <w:sz w:val="19"/>
              </w:rPr>
              <w:t>Yield Index</w:t>
            </w:r>
          </w:p>
        </w:tc>
      </w:tr>
      <w:tr w:rsidR="00B73849" w14:paraId="349A3D5F" w14:textId="77777777">
        <w:trPr>
          <w:jc w:val="center"/>
        </w:trPr>
        <w:tc>
          <w:tcPr>
            <w:tcW w:w="1872" w:type="dxa"/>
            <w:tcBorders>
              <w:top w:val="single" w:sz="4" w:space="0" w:color="DDE5DA"/>
              <w:left w:val="single" w:sz="4" w:space="0" w:color="DDE5DA"/>
              <w:bottom w:val="single" w:sz="4" w:space="0" w:color="DDE5DA"/>
              <w:right w:val="single" w:sz="4" w:space="0" w:color="DDE5DA"/>
            </w:tcBorders>
            <w:shd w:val="clear" w:color="auto" w:fill="F4F9F4"/>
            <w:tcMar>
              <w:top w:w="100" w:type="dxa"/>
              <w:left w:w="150" w:type="dxa"/>
              <w:bottom w:w="100" w:type="dxa"/>
              <w:right w:w="150" w:type="dxa"/>
            </w:tcMar>
          </w:tcPr>
          <w:p w14:paraId="5685B23D" w14:textId="77777777" w:rsidR="00B73849" w:rsidRDefault="00000000">
            <w:r>
              <w:rPr>
                <w:rFonts w:ascii="Segoe UI" w:hAnsi="Segoe UI"/>
                <w:b/>
                <w:sz w:val="18"/>
              </w:rPr>
              <w:t>Area</w:t>
            </w:r>
          </w:p>
        </w:tc>
        <w:tc>
          <w:tcPr>
            <w:tcW w:w="1872" w:type="dxa"/>
            <w:tcBorders>
              <w:top w:val="single" w:sz="4" w:space="0" w:color="DDE5DA"/>
              <w:left w:val="single" w:sz="4" w:space="0" w:color="DDE5DA"/>
              <w:bottom w:val="single" w:sz="4" w:space="0" w:color="DDE5DA"/>
              <w:right w:val="single" w:sz="4" w:space="0" w:color="DDE5DA"/>
            </w:tcBorders>
            <w:shd w:val="clear" w:color="auto" w:fill="F4F9F4"/>
            <w:tcMar>
              <w:top w:w="100" w:type="dxa"/>
              <w:left w:w="150" w:type="dxa"/>
              <w:bottom w:w="100" w:type="dxa"/>
              <w:right w:w="150" w:type="dxa"/>
            </w:tcMar>
          </w:tcPr>
          <w:p w14:paraId="62139F9B" w14:textId="77777777" w:rsidR="00B73849" w:rsidRDefault="00000000">
            <w:pPr>
              <w:jc w:val="right"/>
            </w:pPr>
            <w:r>
              <w:rPr>
                <w:rFonts w:ascii="Segoe UI" w:hAnsi="Segoe UI"/>
                <w:sz w:val="18"/>
              </w:rPr>
              <w:t>1.000</w:t>
            </w:r>
          </w:p>
        </w:tc>
        <w:tc>
          <w:tcPr>
            <w:tcW w:w="1872" w:type="dxa"/>
            <w:tcBorders>
              <w:top w:val="single" w:sz="4" w:space="0" w:color="DDE5DA"/>
              <w:left w:val="single" w:sz="4" w:space="0" w:color="DDE5DA"/>
              <w:bottom w:val="single" w:sz="4" w:space="0" w:color="DDE5DA"/>
              <w:right w:val="single" w:sz="4" w:space="0" w:color="DDE5DA"/>
            </w:tcBorders>
            <w:shd w:val="clear" w:color="auto" w:fill="F4F9F4"/>
            <w:tcMar>
              <w:top w:w="100" w:type="dxa"/>
              <w:left w:w="150" w:type="dxa"/>
              <w:bottom w:w="100" w:type="dxa"/>
              <w:right w:w="150" w:type="dxa"/>
            </w:tcMar>
          </w:tcPr>
          <w:p w14:paraId="25DEE829" w14:textId="77777777" w:rsidR="00B73849" w:rsidRDefault="00000000">
            <w:pPr>
              <w:jc w:val="right"/>
            </w:pPr>
            <w:r>
              <w:rPr>
                <w:rFonts w:ascii="Segoe UI" w:hAnsi="Segoe UI"/>
                <w:sz w:val="18"/>
              </w:rPr>
              <w:t>0.042</w:t>
            </w:r>
          </w:p>
        </w:tc>
        <w:tc>
          <w:tcPr>
            <w:tcW w:w="1872" w:type="dxa"/>
            <w:tcBorders>
              <w:top w:val="single" w:sz="4" w:space="0" w:color="DDE5DA"/>
              <w:left w:val="single" w:sz="4" w:space="0" w:color="DDE5DA"/>
              <w:bottom w:val="single" w:sz="4" w:space="0" w:color="DDE5DA"/>
              <w:right w:val="single" w:sz="4" w:space="0" w:color="DDE5DA"/>
            </w:tcBorders>
            <w:shd w:val="clear" w:color="auto" w:fill="F4F9F4"/>
            <w:tcMar>
              <w:top w:w="100" w:type="dxa"/>
              <w:left w:w="150" w:type="dxa"/>
              <w:bottom w:w="100" w:type="dxa"/>
              <w:right w:w="150" w:type="dxa"/>
            </w:tcMar>
          </w:tcPr>
          <w:p w14:paraId="737D211E" w14:textId="77777777" w:rsidR="00B73849" w:rsidRDefault="00000000">
            <w:pPr>
              <w:jc w:val="right"/>
            </w:pPr>
            <w:r>
              <w:rPr>
                <w:rFonts w:ascii="Segoe UI" w:hAnsi="Segoe UI"/>
                <w:sz w:val="18"/>
              </w:rPr>
              <w:t>0.003</w:t>
            </w:r>
          </w:p>
        </w:tc>
        <w:tc>
          <w:tcPr>
            <w:tcW w:w="1872" w:type="dxa"/>
            <w:tcBorders>
              <w:top w:val="single" w:sz="4" w:space="0" w:color="DDE5DA"/>
              <w:left w:val="single" w:sz="4" w:space="0" w:color="DDE5DA"/>
              <w:bottom w:val="single" w:sz="4" w:space="0" w:color="DDE5DA"/>
              <w:right w:val="single" w:sz="4" w:space="0" w:color="DDE5DA"/>
            </w:tcBorders>
            <w:shd w:val="clear" w:color="auto" w:fill="F4F9F4"/>
            <w:tcMar>
              <w:top w:w="100" w:type="dxa"/>
              <w:left w:w="150" w:type="dxa"/>
              <w:bottom w:w="100" w:type="dxa"/>
              <w:right w:w="150" w:type="dxa"/>
            </w:tcMar>
          </w:tcPr>
          <w:p w14:paraId="226C6CE4" w14:textId="77777777" w:rsidR="00B73849" w:rsidRDefault="00000000">
            <w:pPr>
              <w:jc w:val="right"/>
            </w:pPr>
            <w:r>
              <w:rPr>
                <w:rFonts w:ascii="Segoe UI" w:hAnsi="Segoe UI"/>
                <w:sz w:val="18"/>
              </w:rPr>
              <w:t>0.005</w:t>
            </w:r>
          </w:p>
        </w:tc>
      </w:tr>
      <w:tr w:rsidR="00B73849" w14:paraId="58B4424C" w14:textId="77777777">
        <w:trPr>
          <w:jc w:val="center"/>
        </w:trPr>
        <w:tc>
          <w:tcPr>
            <w:tcW w:w="1872" w:type="dxa"/>
            <w:tcBorders>
              <w:top w:val="single" w:sz="4" w:space="0" w:color="DDE5DA"/>
              <w:left w:val="single" w:sz="4" w:space="0" w:color="DDE5DA"/>
              <w:bottom w:val="single" w:sz="4" w:space="0" w:color="DDE5DA"/>
              <w:right w:val="single" w:sz="4" w:space="0" w:color="DDE5DA"/>
            </w:tcBorders>
            <w:tcMar>
              <w:top w:w="100" w:type="dxa"/>
              <w:left w:w="150" w:type="dxa"/>
              <w:bottom w:w="100" w:type="dxa"/>
              <w:right w:w="150" w:type="dxa"/>
            </w:tcMar>
          </w:tcPr>
          <w:p w14:paraId="1C31377C" w14:textId="77777777" w:rsidR="00B73849" w:rsidRDefault="00000000">
            <w:r>
              <w:rPr>
                <w:rFonts w:ascii="Segoe UI" w:hAnsi="Segoe UI"/>
                <w:b/>
                <w:sz w:val="18"/>
              </w:rPr>
              <w:t>Production</w:t>
            </w:r>
          </w:p>
        </w:tc>
        <w:tc>
          <w:tcPr>
            <w:tcW w:w="1872" w:type="dxa"/>
            <w:tcBorders>
              <w:top w:val="single" w:sz="4" w:space="0" w:color="DDE5DA"/>
              <w:left w:val="single" w:sz="4" w:space="0" w:color="DDE5DA"/>
              <w:bottom w:val="single" w:sz="4" w:space="0" w:color="DDE5DA"/>
              <w:right w:val="single" w:sz="4" w:space="0" w:color="DDE5DA"/>
            </w:tcBorders>
            <w:tcMar>
              <w:top w:w="100" w:type="dxa"/>
              <w:left w:w="150" w:type="dxa"/>
              <w:bottom w:w="100" w:type="dxa"/>
              <w:right w:w="150" w:type="dxa"/>
            </w:tcMar>
          </w:tcPr>
          <w:p w14:paraId="272A5EF3" w14:textId="77777777" w:rsidR="00B73849" w:rsidRDefault="00000000">
            <w:pPr>
              <w:jc w:val="right"/>
            </w:pPr>
            <w:r>
              <w:rPr>
                <w:rFonts w:ascii="Segoe UI" w:hAnsi="Segoe UI"/>
                <w:sz w:val="18"/>
              </w:rPr>
              <w:t>0.042</w:t>
            </w:r>
          </w:p>
        </w:tc>
        <w:tc>
          <w:tcPr>
            <w:tcW w:w="1872" w:type="dxa"/>
            <w:tcBorders>
              <w:top w:val="single" w:sz="4" w:space="0" w:color="DDE5DA"/>
              <w:left w:val="single" w:sz="4" w:space="0" w:color="DDE5DA"/>
              <w:bottom w:val="single" w:sz="4" w:space="0" w:color="DDE5DA"/>
              <w:right w:val="single" w:sz="4" w:space="0" w:color="DDE5DA"/>
            </w:tcBorders>
            <w:tcMar>
              <w:top w:w="100" w:type="dxa"/>
              <w:left w:w="150" w:type="dxa"/>
              <w:bottom w:w="100" w:type="dxa"/>
              <w:right w:w="150" w:type="dxa"/>
            </w:tcMar>
          </w:tcPr>
          <w:p w14:paraId="1F894E05" w14:textId="77777777" w:rsidR="00B73849" w:rsidRDefault="00000000">
            <w:pPr>
              <w:jc w:val="right"/>
            </w:pPr>
            <w:r>
              <w:rPr>
                <w:rFonts w:ascii="Segoe UI" w:hAnsi="Segoe UI"/>
                <w:sz w:val="18"/>
              </w:rPr>
              <w:t>1.000</w:t>
            </w:r>
          </w:p>
        </w:tc>
        <w:tc>
          <w:tcPr>
            <w:tcW w:w="1872" w:type="dxa"/>
            <w:tcBorders>
              <w:top w:val="single" w:sz="4" w:space="0" w:color="DDE5DA"/>
              <w:left w:val="single" w:sz="4" w:space="0" w:color="DDE5DA"/>
              <w:bottom w:val="single" w:sz="4" w:space="0" w:color="DDE5DA"/>
              <w:right w:val="single" w:sz="4" w:space="0" w:color="DDE5DA"/>
            </w:tcBorders>
            <w:tcMar>
              <w:top w:w="100" w:type="dxa"/>
              <w:left w:w="150" w:type="dxa"/>
              <w:bottom w:w="100" w:type="dxa"/>
              <w:right w:w="150" w:type="dxa"/>
            </w:tcMar>
          </w:tcPr>
          <w:p w14:paraId="7182E311" w14:textId="77777777" w:rsidR="00B73849" w:rsidRDefault="00000000">
            <w:pPr>
              <w:jc w:val="right"/>
            </w:pPr>
            <w:r>
              <w:rPr>
                <w:rFonts w:ascii="Segoe UI" w:hAnsi="Segoe UI"/>
                <w:sz w:val="18"/>
              </w:rPr>
              <w:t>0.280</w:t>
            </w:r>
          </w:p>
        </w:tc>
        <w:tc>
          <w:tcPr>
            <w:tcW w:w="1872" w:type="dxa"/>
            <w:tcBorders>
              <w:top w:val="single" w:sz="4" w:space="0" w:color="DDE5DA"/>
              <w:left w:val="single" w:sz="4" w:space="0" w:color="DDE5DA"/>
              <w:bottom w:val="single" w:sz="4" w:space="0" w:color="DDE5DA"/>
              <w:right w:val="single" w:sz="4" w:space="0" w:color="DDE5DA"/>
            </w:tcBorders>
            <w:tcMar>
              <w:top w:w="100" w:type="dxa"/>
              <w:left w:w="150" w:type="dxa"/>
              <w:bottom w:w="100" w:type="dxa"/>
              <w:right w:w="150" w:type="dxa"/>
            </w:tcMar>
          </w:tcPr>
          <w:p w14:paraId="454DE76E" w14:textId="77777777" w:rsidR="00B73849" w:rsidRDefault="00000000">
            <w:pPr>
              <w:jc w:val="right"/>
            </w:pPr>
            <w:r>
              <w:rPr>
                <w:rFonts w:ascii="Segoe UI" w:hAnsi="Segoe UI"/>
                <w:sz w:val="18"/>
              </w:rPr>
              <w:t>0.295</w:t>
            </w:r>
          </w:p>
        </w:tc>
      </w:tr>
      <w:tr w:rsidR="00B73849" w14:paraId="6E33EF5A" w14:textId="77777777">
        <w:trPr>
          <w:jc w:val="center"/>
        </w:trPr>
        <w:tc>
          <w:tcPr>
            <w:tcW w:w="1872" w:type="dxa"/>
            <w:tcBorders>
              <w:top w:val="single" w:sz="4" w:space="0" w:color="DDE5DA"/>
              <w:left w:val="single" w:sz="4" w:space="0" w:color="DDE5DA"/>
              <w:bottom w:val="single" w:sz="4" w:space="0" w:color="DDE5DA"/>
              <w:right w:val="single" w:sz="4" w:space="0" w:color="DDE5DA"/>
            </w:tcBorders>
            <w:shd w:val="clear" w:color="auto" w:fill="F4F9F4"/>
            <w:tcMar>
              <w:top w:w="100" w:type="dxa"/>
              <w:left w:w="150" w:type="dxa"/>
              <w:bottom w:w="100" w:type="dxa"/>
              <w:right w:w="150" w:type="dxa"/>
            </w:tcMar>
          </w:tcPr>
          <w:p w14:paraId="16604790" w14:textId="77777777" w:rsidR="00B73849" w:rsidRDefault="00000000">
            <w:r>
              <w:rPr>
                <w:rFonts w:ascii="Segoe UI" w:hAnsi="Segoe UI"/>
                <w:b/>
                <w:sz w:val="18"/>
              </w:rPr>
              <w:t>Yield</w:t>
            </w:r>
          </w:p>
        </w:tc>
        <w:tc>
          <w:tcPr>
            <w:tcW w:w="1872" w:type="dxa"/>
            <w:tcBorders>
              <w:top w:val="single" w:sz="4" w:space="0" w:color="DDE5DA"/>
              <w:left w:val="single" w:sz="4" w:space="0" w:color="DDE5DA"/>
              <w:bottom w:val="single" w:sz="4" w:space="0" w:color="DDE5DA"/>
              <w:right w:val="single" w:sz="4" w:space="0" w:color="DDE5DA"/>
            </w:tcBorders>
            <w:shd w:val="clear" w:color="auto" w:fill="F4F9F4"/>
            <w:tcMar>
              <w:top w:w="100" w:type="dxa"/>
              <w:left w:w="150" w:type="dxa"/>
              <w:bottom w:w="100" w:type="dxa"/>
              <w:right w:w="150" w:type="dxa"/>
            </w:tcMar>
          </w:tcPr>
          <w:p w14:paraId="06A60CA6" w14:textId="77777777" w:rsidR="00B73849" w:rsidRDefault="00000000">
            <w:pPr>
              <w:jc w:val="right"/>
            </w:pPr>
            <w:r>
              <w:rPr>
                <w:rFonts w:ascii="Segoe UI" w:hAnsi="Segoe UI"/>
                <w:sz w:val="18"/>
              </w:rPr>
              <w:t>0.003</w:t>
            </w:r>
          </w:p>
        </w:tc>
        <w:tc>
          <w:tcPr>
            <w:tcW w:w="1872" w:type="dxa"/>
            <w:tcBorders>
              <w:top w:val="single" w:sz="4" w:space="0" w:color="DDE5DA"/>
              <w:left w:val="single" w:sz="4" w:space="0" w:color="DDE5DA"/>
              <w:bottom w:val="single" w:sz="4" w:space="0" w:color="DDE5DA"/>
              <w:right w:val="single" w:sz="4" w:space="0" w:color="DDE5DA"/>
            </w:tcBorders>
            <w:shd w:val="clear" w:color="auto" w:fill="F4F9F4"/>
            <w:tcMar>
              <w:top w:w="100" w:type="dxa"/>
              <w:left w:w="150" w:type="dxa"/>
              <w:bottom w:w="100" w:type="dxa"/>
              <w:right w:w="150" w:type="dxa"/>
            </w:tcMar>
          </w:tcPr>
          <w:p w14:paraId="2B3FEBA9" w14:textId="77777777" w:rsidR="00B73849" w:rsidRDefault="00000000">
            <w:pPr>
              <w:jc w:val="right"/>
            </w:pPr>
            <w:r>
              <w:rPr>
                <w:rFonts w:ascii="Segoe UI" w:hAnsi="Segoe UI"/>
                <w:sz w:val="18"/>
              </w:rPr>
              <w:t>0.280</w:t>
            </w:r>
          </w:p>
        </w:tc>
        <w:tc>
          <w:tcPr>
            <w:tcW w:w="1872" w:type="dxa"/>
            <w:tcBorders>
              <w:top w:val="single" w:sz="4" w:space="0" w:color="DDE5DA"/>
              <w:left w:val="single" w:sz="4" w:space="0" w:color="DDE5DA"/>
              <w:bottom w:val="single" w:sz="4" w:space="0" w:color="DDE5DA"/>
              <w:right w:val="single" w:sz="4" w:space="0" w:color="DDE5DA"/>
            </w:tcBorders>
            <w:shd w:val="clear" w:color="auto" w:fill="F4F9F4"/>
            <w:tcMar>
              <w:top w:w="100" w:type="dxa"/>
              <w:left w:w="150" w:type="dxa"/>
              <w:bottom w:w="100" w:type="dxa"/>
              <w:right w:w="150" w:type="dxa"/>
            </w:tcMar>
          </w:tcPr>
          <w:p w14:paraId="4E408471" w14:textId="77777777" w:rsidR="00B73849" w:rsidRDefault="00000000">
            <w:pPr>
              <w:jc w:val="right"/>
            </w:pPr>
            <w:r>
              <w:rPr>
                <w:rFonts w:ascii="Segoe UI" w:hAnsi="Segoe UI"/>
                <w:sz w:val="18"/>
              </w:rPr>
              <w:t>1.000</w:t>
            </w:r>
          </w:p>
        </w:tc>
        <w:tc>
          <w:tcPr>
            <w:tcW w:w="1872" w:type="dxa"/>
            <w:tcBorders>
              <w:top w:val="single" w:sz="4" w:space="0" w:color="DDE5DA"/>
              <w:left w:val="single" w:sz="4" w:space="0" w:color="DDE5DA"/>
              <w:bottom w:val="single" w:sz="4" w:space="0" w:color="DDE5DA"/>
              <w:right w:val="single" w:sz="4" w:space="0" w:color="DDE5DA"/>
            </w:tcBorders>
            <w:shd w:val="clear" w:color="auto" w:fill="F4F9F4"/>
            <w:tcMar>
              <w:top w:w="100" w:type="dxa"/>
              <w:left w:w="150" w:type="dxa"/>
              <w:bottom w:w="100" w:type="dxa"/>
              <w:right w:w="150" w:type="dxa"/>
            </w:tcMar>
          </w:tcPr>
          <w:p w14:paraId="1C25B8EC" w14:textId="77777777" w:rsidR="00B73849" w:rsidRDefault="00000000">
            <w:pPr>
              <w:jc w:val="right"/>
            </w:pPr>
            <w:r>
              <w:rPr>
                <w:rFonts w:ascii="Segoe UI" w:hAnsi="Segoe UI"/>
                <w:sz w:val="18"/>
              </w:rPr>
              <w:t>0.680</w:t>
            </w:r>
          </w:p>
        </w:tc>
      </w:tr>
      <w:tr w:rsidR="00B73849" w14:paraId="3A143B2F" w14:textId="77777777">
        <w:trPr>
          <w:jc w:val="center"/>
        </w:trPr>
        <w:tc>
          <w:tcPr>
            <w:tcW w:w="1872" w:type="dxa"/>
            <w:tcBorders>
              <w:top w:val="single" w:sz="4" w:space="0" w:color="DDE5DA"/>
              <w:left w:val="single" w:sz="4" w:space="0" w:color="DDE5DA"/>
              <w:bottom w:val="single" w:sz="4" w:space="0" w:color="DDE5DA"/>
              <w:right w:val="single" w:sz="4" w:space="0" w:color="DDE5DA"/>
            </w:tcBorders>
            <w:tcMar>
              <w:top w:w="100" w:type="dxa"/>
              <w:left w:w="150" w:type="dxa"/>
              <w:bottom w:w="100" w:type="dxa"/>
              <w:right w:w="150" w:type="dxa"/>
            </w:tcMar>
          </w:tcPr>
          <w:p w14:paraId="597243AF" w14:textId="77777777" w:rsidR="00B73849" w:rsidRDefault="00000000">
            <w:r>
              <w:rPr>
                <w:rFonts w:ascii="Segoe UI" w:hAnsi="Segoe UI"/>
                <w:b/>
                <w:sz w:val="18"/>
              </w:rPr>
              <w:t>Yield Index</w:t>
            </w:r>
          </w:p>
        </w:tc>
        <w:tc>
          <w:tcPr>
            <w:tcW w:w="1872" w:type="dxa"/>
            <w:tcBorders>
              <w:top w:val="single" w:sz="4" w:space="0" w:color="DDE5DA"/>
              <w:left w:val="single" w:sz="4" w:space="0" w:color="DDE5DA"/>
              <w:bottom w:val="single" w:sz="4" w:space="0" w:color="DDE5DA"/>
              <w:right w:val="single" w:sz="4" w:space="0" w:color="DDE5DA"/>
            </w:tcBorders>
            <w:tcMar>
              <w:top w:w="100" w:type="dxa"/>
              <w:left w:w="150" w:type="dxa"/>
              <w:bottom w:w="100" w:type="dxa"/>
              <w:right w:w="150" w:type="dxa"/>
            </w:tcMar>
          </w:tcPr>
          <w:p w14:paraId="0F9B714F" w14:textId="77777777" w:rsidR="00B73849" w:rsidRDefault="00000000">
            <w:pPr>
              <w:jc w:val="right"/>
            </w:pPr>
            <w:r>
              <w:rPr>
                <w:rFonts w:ascii="Segoe UI" w:hAnsi="Segoe UI"/>
                <w:sz w:val="18"/>
              </w:rPr>
              <w:t>0.005</w:t>
            </w:r>
          </w:p>
        </w:tc>
        <w:tc>
          <w:tcPr>
            <w:tcW w:w="1872" w:type="dxa"/>
            <w:tcBorders>
              <w:top w:val="single" w:sz="4" w:space="0" w:color="DDE5DA"/>
              <w:left w:val="single" w:sz="4" w:space="0" w:color="DDE5DA"/>
              <w:bottom w:val="single" w:sz="4" w:space="0" w:color="DDE5DA"/>
              <w:right w:val="single" w:sz="4" w:space="0" w:color="DDE5DA"/>
            </w:tcBorders>
            <w:tcMar>
              <w:top w:w="100" w:type="dxa"/>
              <w:left w:w="150" w:type="dxa"/>
              <w:bottom w:w="100" w:type="dxa"/>
              <w:right w:w="150" w:type="dxa"/>
            </w:tcMar>
          </w:tcPr>
          <w:p w14:paraId="5956AA48" w14:textId="77777777" w:rsidR="00B73849" w:rsidRDefault="00000000">
            <w:pPr>
              <w:jc w:val="right"/>
            </w:pPr>
            <w:r>
              <w:rPr>
                <w:rFonts w:ascii="Segoe UI" w:hAnsi="Segoe UI"/>
                <w:sz w:val="18"/>
              </w:rPr>
              <w:t>0.295</w:t>
            </w:r>
          </w:p>
        </w:tc>
        <w:tc>
          <w:tcPr>
            <w:tcW w:w="1872" w:type="dxa"/>
            <w:tcBorders>
              <w:top w:val="single" w:sz="4" w:space="0" w:color="DDE5DA"/>
              <w:left w:val="single" w:sz="4" w:space="0" w:color="DDE5DA"/>
              <w:bottom w:val="single" w:sz="4" w:space="0" w:color="DDE5DA"/>
              <w:right w:val="single" w:sz="4" w:space="0" w:color="DDE5DA"/>
            </w:tcBorders>
            <w:tcMar>
              <w:top w:w="100" w:type="dxa"/>
              <w:left w:w="150" w:type="dxa"/>
              <w:bottom w:w="100" w:type="dxa"/>
              <w:right w:w="150" w:type="dxa"/>
            </w:tcMar>
          </w:tcPr>
          <w:p w14:paraId="6CCF6A0A" w14:textId="77777777" w:rsidR="00B73849" w:rsidRDefault="00000000">
            <w:pPr>
              <w:jc w:val="right"/>
            </w:pPr>
            <w:r>
              <w:rPr>
                <w:rFonts w:ascii="Segoe UI" w:hAnsi="Segoe UI"/>
                <w:sz w:val="18"/>
              </w:rPr>
              <w:t>0.680</w:t>
            </w:r>
          </w:p>
        </w:tc>
        <w:tc>
          <w:tcPr>
            <w:tcW w:w="1872" w:type="dxa"/>
            <w:tcBorders>
              <w:top w:val="single" w:sz="4" w:space="0" w:color="DDE5DA"/>
              <w:left w:val="single" w:sz="4" w:space="0" w:color="DDE5DA"/>
              <w:bottom w:val="single" w:sz="4" w:space="0" w:color="DDE5DA"/>
              <w:right w:val="single" w:sz="4" w:space="0" w:color="DDE5DA"/>
            </w:tcBorders>
            <w:tcMar>
              <w:top w:w="100" w:type="dxa"/>
              <w:left w:w="150" w:type="dxa"/>
              <w:bottom w:w="100" w:type="dxa"/>
              <w:right w:w="150" w:type="dxa"/>
            </w:tcMar>
          </w:tcPr>
          <w:p w14:paraId="6C23F253" w14:textId="77777777" w:rsidR="00B73849" w:rsidRDefault="00000000">
            <w:pPr>
              <w:jc w:val="right"/>
            </w:pPr>
            <w:r>
              <w:rPr>
                <w:rFonts w:ascii="Segoe UI" w:hAnsi="Segoe UI"/>
                <w:sz w:val="18"/>
              </w:rPr>
              <w:t>1.000</w:t>
            </w:r>
          </w:p>
        </w:tc>
      </w:tr>
    </w:tbl>
    <w:p w14:paraId="352F5C9B" w14:textId="77777777" w:rsidR="00B73849" w:rsidRDefault="00B73849">
      <w:pPr>
        <w:spacing w:after="120"/>
      </w:pPr>
    </w:p>
    <w:p w14:paraId="75007AAD" w14:textId="77777777" w:rsidR="00B73849" w:rsidRDefault="00000000">
      <w:pPr>
        <w:spacing w:before="240" w:after="160"/>
      </w:pPr>
      <w:r>
        <w:rPr>
          <w:rFonts w:ascii="Segoe UI" w:hAnsi="Segoe UI"/>
          <w:b/>
          <w:color w:val="2D6A4F"/>
          <w:sz w:val="27"/>
        </w:rPr>
        <w:t>Geographic Zone Rankings</w:t>
      </w:r>
    </w:p>
    <w:p w14:paraId="2E6F2CEB" w14:textId="77777777" w:rsidR="00B73849" w:rsidRDefault="00000000">
      <w:pPr>
        <w:spacing w:after="120"/>
      </w:pPr>
      <w:r>
        <w:rPr>
          <w:rFonts w:ascii="Segoe UI" w:hAnsi="Segoe UI"/>
          <w:color w:val="333333"/>
          <w:sz w:val="21"/>
        </w:rPr>
        <w:t>Aggregating the relative Yield Index by geographic zone reveals regional disparities. The North Zone leads with a Yield Index of 1.118, followed closely by the South Zone at 1.106. In contrast, the Central Zone (comprising Madhya Pradesh and Chhattisgarh) lags at 0.761, representing the lowest productivity zone in the country. The Northeast Zone sits at 0.904, and the West Zone is at 0.972.</w:t>
      </w:r>
    </w:p>
    <w:p w14:paraId="7A1B06C3" w14:textId="77777777" w:rsidR="00B73849" w:rsidRDefault="00000000">
      <w:r>
        <w:br w:type="page"/>
      </w:r>
    </w:p>
    <w:p w14:paraId="79DF6D68" w14:textId="77777777" w:rsidR="00B73849" w:rsidRDefault="00000000">
      <w:pPr>
        <w:spacing w:before="360" w:after="240"/>
      </w:pPr>
      <w:r>
        <w:rPr>
          <w:rFonts w:ascii="Segoe UI" w:hAnsi="Segoe UI"/>
          <w:b/>
          <w:color w:val="1B4332"/>
          <w:sz w:val="36"/>
        </w:rPr>
        <w:lastRenderedPageBreak/>
        <w:t>5. BI Dashboard Overview</w:t>
      </w:r>
    </w:p>
    <w:p w14:paraId="0B7537AE" w14:textId="77777777" w:rsidR="00B73849" w:rsidRDefault="00000000">
      <w:pPr>
        <w:spacing w:after="120"/>
      </w:pPr>
      <w:r>
        <w:rPr>
          <w:rFonts w:ascii="Segoe UI" w:hAnsi="Segoe UI"/>
          <w:color w:val="333333"/>
          <w:sz w:val="21"/>
        </w:rPr>
        <w:t>An interactive agricultural dashboard (Project5_BI_Dashboard.html) was built to communicate these insights to decision-makers. The dashboard contains three visual pages:</w:t>
      </w:r>
    </w:p>
    <w:p w14:paraId="2AE5BC4B" w14:textId="77777777" w:rsidR="00B73849" w:rsidRDefault="00000000">
      <w:pPr>
        <w:pStyle w:val="ListBullet"/>
        <w:spacing w:after="80"/>
      </w:pPr>
      <w:r>
        <w:rPr>
          <w:rFonts w:ascii="Segoe UI" w:hAnsi="Segoe UI"/>
          <w:b/>
          <w:sz w:val="20"/>
        </w:rPr>
        <w:t xml:space="preserve">Page 1: Executive Summary: </w:t>
      </w:r>
      <w:r>
        <w:rPr>
          <w:rFonts w:ascii="Segoe UI" w:hAnsi="Segoe UI"/>
          <w:sz w:val="20"/>
        </w:rPr>
        <w:t>Features top-level KPI cards, the national yield index trend over time, and a compass-style zone layout mapping regional yields. Highly intuitive for senior leadership.</w:t>
      </w:r>
    </w:p>
    <w:p w14:paraId="4A7557EC" w14:textId="77777777" w:rsidR="00B73849" w:rsidRDefault="00000000">
      <w:pPr>
        <w:pStyle w:val="ListBullet"/>
        <w:spacing w:after="80"/>
      </w:pPr>
      <w:r>
        <w:rPr>
          <w:rFonts w:ascii="Segoe UI" w:hAnsi="Segoe UI"/>
          <w:b/>
          <w:sz w:val="20"/>
        </w:rPr>
        <w:t xml:space="preserve">Page 2: Detailed Analysis: </w:t>
      </w:r>
      <w:r>
        <w:rPr>
          <w:rFonts w:ascii="Segoe UI" w:hAnsi="Segoe UI"/>
          <w:sz w:val="20"/>
        </w:rPr>
        <w:t>Includes filter options for year range, zone, and crop types. It features zone-year line charts, seasonal cultivated area distributions, and detailed state/crop reference tables.</w:t>
      </w:r>
    </w:p>
    <w:p w14:paraId="12BAC7F0" w14:textId="77777777" w:rsidR="00B73849" w:rsidRDefault="00000000">
      <w:pPr>
        <w:pStyle w:val="ListBullet"/>
        <w:spacing w:after="80"/>
      </w:pPr>
      <w:r>
        <w:rPr>
          <w:rFonts w:ascii="Segoe UI" w:hAnsi="Segoe UI"/>
          <w:b/>
          <w:sz w:val="20"/>
        </w:rPr>
        <w:t xml:space="preserve">Page 3: Recommendations Page: </w:t>
      </w:r>
      <w:r>
        <w:rPr>
          <w:rFonts w:ascii="Segoe UI" w:hAnsi="Segoe UI"/>
          <w:sz w:val="20"/>
        </w:rPr>
        <w:t>Details 5 strategic findings and policy actions in a clean, card-based interface.</w:t>
      </w:r>
    </w:p>
    <w:p w14:paraId="2294F571" w14:textId="77777777" w:rsidR="00B73849" w:rsidRDefault="00000000">
      <w:pPr>
        <w:spacing w:before="240" w:after="160"/>
      </w:pPr>
      <w:r>
        <w:rPr>
          <w:rFonts w:ascii="Segoe UI" w:hAnsi="Segoe UI"/>
          <w:b/>
          <w:color w:val="2D6A4F"/>
          <w:sz w:val="27"/>
        </w:rPr>
        <w:t>DAX Measures for Power BI Rebuild</w:t>
      </w:r>
    </w:p>
    <w:p w14:paraId="4798ACD1" w14:textId="77777777" w:rsidR="00B73849" w:rsidRDefault="00000000">
      <w:pPr>
        <w:spacing w:after="120"/>
      </w:pPr>
      <w:r>
        <w:rPr>
          <w:rFonts w:ascii="Segoe UI" w:hAnsi="Segoe UI"/>
          <w:color w:val="333333"/>
          <w:sz w:val="21"/>
        </w:rPr>
        <w:t>To support a native Power BI rebuild, the following DAX measures were written. These replicate the normalized yield index calculation in Power BI Desktop:</w:t>
      </w:r>
    </w:p>
    <w:p w14:paraId="472AB3AE" w14:textId="77777777" w:rsidR="00B73849" w:rsidRDefault="00000000">
      <w:pPr>
        <w:spacing w:after="80"/>
        <w:ind w:left="576"/>
      </w:pPr>
      <w:r>
        <w:rPr>
          <w:rFonts w:ascii="Segoe UI" w:hAnsi="Segoe UI"/>
          <w:b/>
          <w:sz w:val="20"/>
        </w:rPr>
        <w:t>1. Raw Yield Measure:</w:t>
      </w:r>
      <w:r>
        <w:rPr>
          <w:rFonts w:ascii="Segoe UI" w:hAnsi="Segoe UI"/>
          <w:b/>
          <w:sz w:val="20"/>
        </w:rPr>
        <w:br/>
      </w:r>
      <w:r>
        <w:rPr>
          <w:rFonts w:ascii="Courier New" w:hAnsi="Courier New"/>
          <w:color w:val="1B4332"/>
          <w:sz w:val="18"/>
        </w:rPr>
        <w:t>Yield = DIVIDE(SUM(crop_production_cleaned[Production]), SUM(crop_production_cleaned[Area]), 0)</w:t>
      </w:r>
    </w:p>
    <w:p w14:paraId="4C3BE750" w14:textId="77777777" w:rsidR="00B73849" w:rsidRDefault="00000000">
      <w:pPr>
        <w:spacing w:after="80"/>
        <w:ind w:left="576"/>
      </w:pPr>
      <w:r>
        <w:rPr>
          <w:rFonts w:ascii="Segoe UI" w:hAnsi="Segoe UI"/>
          <w:b/>
          <w:sz w:val="20"/>
        </w:rPr>
        <w:t>2. Crop Historical Mean:</w:t>
      </w:r>
      <w:r>
        <w:rPr>
          <w:rFonts w:ascii="Segoe UI" w:hAnsi="Segoe UI"/>
          <w:b/>
          <w:sz w:val="20"/>
        </w:rPr>
        <w:br/>
      </w:r>
      <w:r>
        <w:rPr>
          <w:rFonts w:ascii="Courier New" w:hAnsi="Courier New"/>
          <w:color w:val="1B4332"/>
          <w:sz w:val="18"/>
        </w:rPr>
        <w:t>Crop_Mean_Yield = CALCULATE(AVERAGE(crop_production_cleaned[Yield]), ALLEXCEPT(crop_production_cleaned, crop_production_cleaned[Crop]))</w:t>
      </w:r>
    </w:p>
    <w:p w14:paraId="3125BE62" w14:textId="77777777" w:rsidR="00B73849" w:rsidRDefault="00000000">
      <w:pPr>
        <w:spacing w:after="80"/>
        <w:ind w:left="576"/>
      </w:pPr>
      <w:r>
        <w:rPr>
          <w:rFonts w:ascii="Segoe UI" w:hAnsi="Segoe UI"/>
          <w:b/>
          <w:sz w:val="20"/>
        </w:rPr>
        <w:t>3. Yield Index (Rebased):</w:t>
      </w:r>
      <w:r>
        <w:rPr>
          <w:rFonts w:ascii="Segoe UI" w:hAnsi="Segoe UI"/>
          <w:b/>
          <w:sz w:val="20"/>
        </w:rPr>
        <w:br/>
      </w:r>
      <w:r>
        <w:rPr>
          <w:rFonts w:ascii="Courier New" w:hAnsi="Courier New"/>
          <w:color w:val="1B4332"/>
          <w:sz w:val="18"/>
        </w:rPr>
        <w:t>Yield_Index = DIVIDE([Yield], [Crop_Mean_Yield], 0)</w:t>
      </w:r>
    </w:p>
    <w:p w14:paraId="100572AC" w14:textId="77777777" w:rsidR="00B73849" w:rsidRDefault="00000000">
      <w:r>
        <w:br w:type="page"/>
      </w:r>
    </w:p>
    <w:p w14:paraId="3C0CE562" w14:textId="77777777" w:rsidR="00B73849" w:rsidRDefault="00000000">
      <w:pPr>
        <w:spacing w:before="360" w:after="240"/>
      </w:pPr>
      <w:r>
        <w:rPr>
          <w:rFonts w:ascii="Segoe UI" w:hAnsi="Segoe UI"/>
          <w:b/>
          <w:color w:val="1B4332"/>
          <w:sz w:val="36"/>
        </w:rPr>
        <w:lastRenderedPageBreak/>
        <w:t>6. Actionable Policy Recommendations</w:t>
      </w:r>
    </w:p>
    <w:p w14:paraId="55C8C395" w14:textId="77777777" w:rsidR="00B73849" w:rsidRDefault="00000000">
      <w:pPr>
        <w:spacing w:after="120"/>
      </w:pPr>
      <w:r>
        <w:rPr>
          <w:rFonts w:ascii="Segoe UI" w:hAnsi="Segoe UI"/>
          <w:color w:val="333333"/>
          <w:sz w:val="21"/>
        </w:rPr>
        <w:t>Based on the data diagnostics compiled across 19 years, we recommend five concrete agricultural policy actions:</w:t>
      </w:r>
    </w:p>
    <w:p w14:paraId="120402F3" w14:textId="77777777" w:rsidR="00B73849" w:rsidRDefault="00000000">
      <w:pPr>
        <w:spacing w:after="120"/>
      </w:pPr>
      <w:r>
        <w:rPr>
          <w:rFonts w:ascii="Segoe UI" w:hAnsi="Segoe UI"/>
          <w:b/>
          <w:color w:val="1B4332"/>
        </w:rPr>
        <w:t>1. Replicate the Punjab Irrigation Model</w:t>
      </w:r>
      <w:r>
        <w:rPr>
          <w:rFonts w:ascii="Segoe UI" w:hAnsi="Segoe UI"/>
          <w:b/>
          <w:color w:val="1B4332"/>
        </w:rPr>
        <w:br/>
      </w:r>
      <w:r>
        <w:rPr>
          <w:rFonts w:ascii="Segoe UI" w:hAnsi="Segoe UI"/>
          <w:sz w:val="20"/>
        </w:rPr>
        <w:t>Punjab shows a Yield Index of 1.508 (51% above the average for the same crops grown elsewhere) combined with low year-to-year volatility (0.518). This high productivity is supported by extensive tubewell and canal networks. Underperforming states should replicate Punjab's irrigation access models where local water availability allows.</w:t>
      </w:r>
    </w:p>
    <w:p w14:paraId="3EF1D342" w14:textId="77777777" w:rsidR="00B73849" w:rsidRDefault="00000000">
      <w:pPr>
        <w:spacing w:after="120"/>
      </w:pPr>
      <w:r>
        <w:rPr>
          <w:rFonts w:ascii="Segoe UI" w:hAnsi="Segoe UI"/>
          <w:b/>
          <w:color w:val="1B4332"/>
        </w:rPr>
        <w:t>2. Prioritize Development in the Central Zone</w:t>
      </w:r>
      <w:r>
        <w:rPr>
          <w:rFonts w:ascii="Segoe UI" w:hAnsi="Segoe UI"/>
          <w:b/>
          <w:color w:val="1B4332"/>
        </w:rPr>
        <w:br/>
      </w:r>
      <w:r>
        <w:rPr>
          <w:rFonts w:ascii="Segoe UI" w:hAnsi="Segoe UI"/>
          <w:sz w:val="20"/>
        </w:rPr>
        <w:t>The Central Zone (Madhya Pradesh, Chhattisgarh) lags 24% below the national average yield index, representing the largest regional gap. Policy should prioritize this zone for irrigation expansion and agricultural extension services (seed variety access, soil testing) over the next planning cycle.</w:t>
      </w:r>
    </w:p>
    <w:p w14:paraId="5E42608B" w14:textId="77777777" w:rsidR="00B73849" w:rsidRDefault="00000000">
      <w:pPr>
        <w:spacing w:after="120"/>
      </w:pPr>
      <w:r>
        <w:rPr>
          <w:rFonts w:ascii="Segoe UI" w:hAnsi="Segoe UI"/>
          <w:b/>
          <w:color w:val="1B4332"/>
        </w:rPr>
        <w:t>3. De-Risk Volatile Rain-Fed States</w:t>
      </w:r>
      <w:r>
        <w:rPr>
          <w:rFonts w:ascii="Segoe UI" w:hAnsi="Segoe UI"/>
          <w:b/>
          <w:color w:val="1B4332"/>
        </w:rPr>
        <w:br/>
      </w:r>
      <w:r>
        <w:rPr>
          <w:rFonts w:ascii="Segoe UI" w:hAnsi="Segoe UI"/>
          <w:sz w:val="20"/>
        </w:rPr>
        <w:t>Rajasthan (0.876 index) and Madhya Pradesh (0.817 index) combine low yield averages with high year-to-year volatility, reflecting their high dependency on monsoon rainfall. These states should be prioritized for micro-irrigation (drip/sprinkler systems), rain-water harvesting infrastructure, and crop insurance programs.</w:t>
      </w:r>
    </w:p>
    <w:p w14:paraId="337E9EF8" w14:textId="77777777" w:rsidR="00B73849" w:rsidRDefault="00000000">
      <w:pPr>
        <w:spacing w:after="120"/>
      </w:pPr>
      <w:r>
        <w:rPr>
          <w:rFonts w:ascii="Segoe UI" w:hAnsi="Segoe UI"/>
          <w:b/>
          <w:color w:val="1B4332"/>
        </w:rPr>
        <w:t>4. Protect and Sustain National Programs</w:t>
      </w:r>
      <w:r>
        <w:rPr>
          <w:rFonts w:ascii="Segoe UI" w:hAnsi="Segoe UI"/>
          <w:b/>
          <w:color w:val="1B4332"/>
        </w:rPr>
        <w:br/>
      </w:r>
      <w:r>
        <w:rPr>
          <w:rFonts w:ascii="Segoe UI" w:hAnsi="Segoe UI"/>
          <w:sz w:val="20"/>
        </w:rPr>
        <w:t>Relative productivity index rose steadily by 22% between 1997 and 2013, indicating that national support programs (such as Rashtriya Krishi Vikas Yojana) are effective. These initiatives should be sustained and protected rather than defunded to support lagging states.</w:t>
      </w:r>
    </w:p>
    <w:p w14:paraId="1BA56E35" w14:textId="77777777" w:rsidR="00B73849" w:rsidRDefault="00000000">
      <w:pPr>
        <w:spacing w:after="120"/>
      </w:pPr>
      <w:r>
        <w:rPr>
          <w:rFonts w:ascii="Segoe UI" w:hAnsi="Segoe UI"/>
          <w:b/>
          <w:color w:val="1B4332"/>
        </w:rPr>
        <w:t>5. Focus Interventions on Yield, Not Area Expansion</w:t>
      </w:r>
      <w:r>
        <w:rPr>
          <w:rFonts w:ascii="Segoe UI" w:hAnsi="Segoe UI"/>
          <w:b/>
          <w:color w:val="1B4332"/>
        </w:rPr>
        <w:br/>
      </w:r>
      <w:r>
        <w:rPr>
          <w:rFonts w:ascii="Segoe UI" w:hAnsi="Segoe UI"/>
          <w:sz w:val="20"/>
        </w:rPr>
        <w:t>Given the zero correlation (r = 0.005) between cultivated area and yield, agricultural support should focus on yield-enhancing inputs (seed quality, fertilizer optimization, pest management, and irrigation) rather than expanding the land footprint.</w:t>
      </w:r>
    </w:p>
    <w:p w14:paraId="3481A020" w14:textId="77777777" w:rsidR="00B73849" w:rsidRDefault="00000000">
      <w:r>
        <w:br w:type="page"/>
      </w:r>
    </w:p>
    <w:p w14:paraId="6BE8C04B" w14:textId="77777777" w:rsidR="00B73849" w:rsidRDefault="00000000">
      <w:pPr>
        <w:spacing w:before="360" w:after="240"/>
      </w:pPr>
      <w:r>
        <w:rPr>
          <w:rFonts w:ascii="Segoe UI" w:hAnsi="Segoe UI"/>
          <w:b/>
          <w:color w:val="1B4332"/>
          <w:sz w:val="36"/>
        </w:rPr>
        <w:lastRenderedPageBreak/>
        <w:t>7. Conclusion &amp; Limitations</w:t>
      </w:r>
    </w:p>
    <w:p w14:paraId="5B25E0D3" w14:textId="77777777" w:rsidR="00B73849" w:rsidRDefault="00000000">
      <w:pPr>
        <w:spacing w:after="120"/>
      </w:pPr>
      <w:r>
        <w:rPr>
          <w:rFonts w:ascii="Segoe UI" w:hAnsi="Segoe UI"/>
          <w:color w:val="333333"/>
          <w:sz w:val="21"/>
        </w:rPr>
        <w:t>This capstone project demonstrates the power of end-to-end data analytics to convert raw, messy government records into policy-ready insights. By addressing reporting inconsistencies through relative indexing, we established a valid comparison framework across states and crops.</w:t>
      </w:r>
    </w:p>
    <w:p w14:paraId="572EE7ED" w14:textId="77777777" w:rsidR="00B73849" w:rsidRDefault="00000000">
      <w:pPr>
        <w:spacing w:before="240" w:after="160"/>
      </w:pPr>
      <w:r>
        <w:rPr>
          <w:rFonts w:ascii="Segoe UI" w:hAnsi="Segoe UI"/>
          <w:b/>
          <w:color w:val="2D6A4F"/>
          <w:sz w:val="27"/>
        </w:rPr>
        <w:t>Study Limitations</w:t>
      </w:r>
    </w:p>
    <w:p w14:paraId="3D8450CE" w14:textId="77777777" w:rsidR="00B73849" w:rsidRDefault="00000000">
      <w:pPr>
        <w:spacing w:after="120"/>
      </w:pPr>
      <w:r>
        <w:rPr>
          <w:rFonts w:ascii="Segoe UI" w:hAnsi="Segoe UI"/>
          <w:color w:val="333333"/>
          <w:sz w:val="21"/>
        </w:rPr>
        <w:t>1. Incomplete 2015 Reporting: Crop_Year 2015 contains only 561 records, compared to over 13,000 in other years. This represents incomplete reporting, so the apparent decline in 2015 should not be interpreted as a productivity collapse.</w:t>
      </w:r>
    </w:p>
    <w:p w14:paraId="181CC348" w14:textId="77777777" w:rsidR="00B73849" w:rsidRDefault="00000000">
      <w:pPr>
        <w:spacing w:after="120"/>
      </w:pPr>
      <w:r>
        <w:rPr>
          <w:rFonts w:ascii="Segoe UI" w:hAnsi="Segoe UI"/>
          <w:color w:val="333333"/>
          <w:sz w:val="21"/>
        </w:rPr>
        <w:t>2. Production Unit Variances: Coconuts are reported in nuts, cotton in bales, and grains in tonnes. While our Yield Index solves this for comparisons, raw production volumes still cannot be aggregated across different crop categories.</w:t>
      </w:r>
    </w:p>
    <w:p w14:paraId="227C6FD5" w14:textId="77777777" w:rsidR="00B73849" w:rsidRDefault="00000000">
      <w:pPr>
        <w:spacing w:after="120"/>
      </w:pPr>
      <w:r>
        <w:rPr>
          <w:rFonts w:ascii="Segoe UI" w:hAnsi="Segoe UI"/>
          <w:color w:val="333333"/>
          <w:sz w:val="21"/>
        </w:rPr>
        <w:t>3. Outlier Reporting Quirks: A few sugarcane records show yields around 88,000 t/ha. This represents a known reporting anomaly, which we flagged as outliers without deleting them to preserve the original data integrity.</w:t>
      </w:r>
    </w:p>
    <w:p w14:paraId="1ADB0D95" w14:textId="77777777" w:rsidR="00B73849" w:rsidRDefault="00000000">
      <w:pPr>
        <w:spacing w:before="240" w:after="160"/>
      </w:pPr>
      <w:r>
        <w:rPr>
          <w:rFonts w:ascii="Segoe UI" w:hAnsi="Segoe UI"/>
          <w:b/>
          <w:color w:val="2D6A4F"/>
          <w:sz w:val="27"/>
        </w:rPr>
        <w:t>Lessons Learned</w:t>
      </w:r>
    </w:p>
    <w:p w14:paraId="60A4C061" w14:textId="77777777" w:rsidR="00B73849" w:rsidRDefault="00000000">
      <w:pPr>
        <w:spacing w:after="120"/>
      </w:pPr>
      <w:r>
        <w:rPr>
          <w:rFonts w:ascii="Segoe UI" w:hAnsi="Segoe UI"/>
          <w:color w:val="333333"/>
          <w:sz w:val="21"/>
        </w:rPr>
        <w:t>This project highlights the importance of domain-aware data auditing. Performing basic aggregations without checking production units would have yielded invalid results. Robust outlier flagging and transparent data normalization are essential to build reliable models for public policy decision-making.</w:t>
      </w:r>
    </w:p>
    <w:sectPr w:rsidR="00B73849" w:rsidSect="00034616">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CBBDF2" w14:textId="77777777" w:rsidR="00D75EDB" w:rsidRDefault="00D75EDB">
      <w:pPr>
        <w:spacing w:after="0" w:line="240" w:lineRule="auto"/>
      </w:pPr>
      <w:r>
        <w:separator/>
      </w:r>
    </w:p>
  </w:endnote>
  <w:endnote w:type="continuationSeparator" w:id="0">
    <w:p w14:paraId="5C3C8FD9" w14:textId="77777777" w:rsidR="00D75EDB" w:rsidRDefault="00D75E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776065" w14:textId="77777777" w:rsidR="00B73849" w:rsidRDefault="00000000">
    <w:pPr>
      <w:pStyle w:val="Footer"/>
      <w:jc w:val="right"/>
    </w:pPr>
    <w:r>
      <w:rPr>
        <w:rFonts w:ascii="Segoe UI" w:hAnsi="Segoe UI"/>
        <w:color w:val="666666"/>
        <w:sz w:val="17"/>
      </w:rPr>
      <w:t>Agricultural Productivity Final Report | Project 5 Capstone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175326" w14:textId="77777777" w:rsidR="00D75EDB" w:rsidRDefault="00D75EDB">
      <w:pPr>
        <w:spacing w:after="0" w:line="240" w:lineRule="auto"/>
      </w:pPr>
      <w:r>
        <w:separator/>
      </w:r>
    </w:p>
  </w:footnote>
  <w:footnote w:type="continuationSeparator" w:id="0">
    <w:p w14:paraId="282CCBDC" w14:textId="77777777" w:rsidR="00D75EDB" w:rsidRDefault="00D75ED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0386342">
    <w:abstractNumId w:val="8"/>
  </w:num>
  <w:num w:numId="2" w16cid:durableId="587007433">
    <w:abstractNumId w:val="6"/>
  </w:num>
  <w:num w:numId="3" w16cid:durableId="361396308">
    <w:abstractNumId w:val="5"/>
  </w:num>
  <w:num w:numId="4" w16cid:durableId="1489326027">
    <w:abstractNumId w:val="4"/>
  </w:num>
  <w:num w:numId="5" w16cid:durableId="570426737">
    <w:abstractNumId w:val="7"/>
  </w:num>
  <w:num w:numId="6" w16cid:durableId="1649944322">
    <w:abstractNumId w:val="3"/>
  </w:num>
  <w:num w:numId="7" w16cid:durableId="220949453">
    <w:abstractNumId w:val="2"/>
  </w:num>
  <w:num w:numId="8" w16cid:durableId="1519538573">
    <w:abstractNumId w:val="1"/>
  </w:num>
  <w:num w:numId="9" w16cid:durableId="9226454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974E3"/>
    <w:rsid w:val="00810C96"/>
    <w:rsid w:val="00AA1D8D"/>
    <w:rsid w:val="00B47730"/>
    <w:rsid w:val="00B73849"/>
    <w:rsid w:val="00BB4677"/>
    <w:rsid w:val="00C00207"/>
    <w:rsid w:val="00CB0664"/>
    <w:rsid w:val="00D75ED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031CBD6"/>
  <w14:defaultImageDpi w14:val="300"/>
  <w15:docId w15:val="{AD57B010-237D-4D4C-96EF-7BDAB9346B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TotalTime>
  <Pages>9</Pages>
  <Words>2168</Words>
  <Characters>12362</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14501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Trivedi dharmik</cp:lastModifiedBy>
  <cp:revision>4</cp:revision>
  <dcterms:created xsi:type="dcterms:W3CDTF">2013-12-23T23:15:00Z</dcterms:created>
  <dcterms:modified xsi:type="dcterms:W3CDTF">2026-07-18T07:26:00Z</dcterms:modified>
  <cp:category/>
</cp:coreProperties>
</file>