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952" w:rsidRPr="00A06952" w:rsidRDefault="00733FE1" w:rsidP="00B452B3">
      <w:pPr>
        <w:pStyle w:val="Heading3"/>
        <w:shd w:val="clear" w:color="auto" w:fill="FFFFFF"/>
        <w:spacing w:before="0" w:beforeAutospacing="0" w:after="30" w:afterAutospacing="0" w:line="285" w:lineRule="atLeast"/>
        <w:ind w:right="1500"/>
        <w:jc w:val="both"/>
        <w:rPr>
          <w:rFonts w:ascii="Bahnschrift Light" w:hAnsi="Bahnschrift Light" w:cs="Arial"/>
          <w:b w:val="0"/>
          <w:bCs w:val="0"/>
          <w:color w:val="222222"/>
          <w:sz w:val="36"/>
          <w:szCs w:val="36"/>
        </w:rPr>
      </w:pPr>
      <w:r w:rsidRPr="00733FE1">
        <w:rPr>
          <w:rFonts w:ascii="Bahnschrift Light" w:hAnsi="Bahnschrift Light"/>
          <w:b w:val="0"/>
          <w:sz w:val="36"/>
          <w:szCs w:val="36"/>
        </w:rPr>
        <w:t>MANAGEMENT OF THE HIGHER EDUCATION INSTITUTIONS INNOVATIVE POTENTIAL: FORMALIZATION AND EVALUATION</w:t>
      </w:r>
      <w:bookmarkStart w:id="0" w:name="_GoBack"/>
      <w:bookmarkEnd w:id="0"/>
    </w:p>
    <w:p w:rsidR="00A06952" w:rsidRDefault="00733FE1">
      <w:r>
        <w:t xml:space="preserve">    </w:t>
      </w:r>
    </w:p>
    <w:p w:rsidR="00B566D3" w:rsidRDefault="00B566D3">
      <w:pPr>
        <w:rPr>
          <w:b/>
          <w:sz w:val="32"/>
          <w:szCs w:val="32"/>
        </w:rPr>
      </w:pPr>
    </w:p>
    <w:p w:rsidR="00733FE1" w:rsidRPr="00B566D3" w:rsidRDefault="00A21827">
      <w:pPr>
        <w:rPr>
          <w:b/>
          <w:sz w:val="32"/>
          <w:szCs w:val="32"/>
        </w:rPr>
      </w:pPr>
      <w:r w:rsidRPr="00B566D3">
        <w:rPr>
          <w:b/>
          <w:sz w:val="32"/>
          <w:szCs w:val="32"/>
        </w:rPr>
        <w:t>RESEARCH PAPER :</w:t>
      </w:r>
    </w:p>
    <w:p w:rsidR="00A21827" w:rsidRPr="00B566D3" w:rsidRDefault="00A21827">
      <w:pPr>
        <w:rPr>
          <w:sz w:val="28"/>
          <w:szCs w:val="28"/>
        </w:rPr>
      </w:pPr>
      <w:r>
        <w:t xml:space="preserve">            </w:t>
      </w:r>
      <w:r w:rsidRPr="00B566D3">
        <w:rPr>
          <w:sz w:val="28"/>
          <w:szCs w:val="28"/>
        </w:rPr>
        <w:t xml:space="preserve">   ISSN 0719-4706 - Volumen 7 / Número 4 / Octubre – Diciembre 2020 pp. 624-645  </w:t>
      </w:r>
    </w:p>
    <w:p w:rsidR="00B566D3" w:rsidRDefault="00B566D3" w:rsidP="00A21827">
      <w:pPr>
        <w:rPr>
          <w:b/>
          <w:sz w:val="32"/>
          <w:szCs w:val="32"/>
        </w:rPr>
      </w:pPr>
      <w:r>
        <w:rPr>
          <w:b/>
          <w:sz w:val="32"/>
          <w:szCs w:val="32"/>
        </w:rPr>
        <w:t xml:space="preserve"> </w:t>
      </w:r>
    </w:p>
    <w:p w:rsidR="00A21827" w:rsidRPr="00B566D3" w:rsidRDefault="00A21827" w:rsidP="00A21827">
      <w:pPr>
        <w:rPr>
          <w:b/>
          <w:sz w:val="32"/>
          <w:szCs w:val="32"/>
        </w:rPr>
      </w:pPr>
      <w:r w:rsidRPr="00B566D3">
        <w:rPr>
          <w:b/>
          <w:sz w:val="32"/>
          <w:szCs w:val="32"/>
        </w:rPr>
        <w:t xml:space="preserve">RESEARCH PAPER </w:t>
      </w:r>
      <w:r w:rsidR="006D504C" w:rsidRPr="00B566D3">
        <w:rPr>
          <w:b/>
          <w:sz w:val="32"/>
          <w:szCs w:val="32"/>
        </w:rPr>
        <w:t>CONTENT:</w:t>
      </w:r>
    </w:p>
    <w:p w:rsidR="006D504C" w:rsidRPr="00B566D3" w:rsidRDefault="006D504C" w:rsidP="00A21827">
      <w:pPr>
        <w:rPr>
          <w:rFonts w:ascii="Times New Roman" w:hAnsi="Times New Roman" w:cs="Times New Roman"/>
          <w:sz w:val="28"/>
          <w:szCs w:val="28"/>
        </w:rPr>
      </w:pPr>
      <w:r w:rsidRPr="00B566D3">
        <w:rPr>
          <w:sz w:val="28"/>
          <w:szCs w:val="28"/>
        </w:rPr>
        <w:t xml:space="preserve">             </w:t>
      </w:r>
      <w:r w:rsidRPr="00B566D3">
        <w:rPr>
          <w:rFonts w:ascii="Times New Roman" w:hAnsi="Times New Roman" w:cs="Times New Roman"/>
          <w:sz w:val="28"/>
          <w:szCs w:val="28"/>
        </w:rPr>
        <w:t xml:space="preserve">   This paper aims to enhance innovation management in higher education institutions by formalizing the structure of innovation potential, developing a ranking system, and using statistical evaluation. The study employs several methods: comparative analysis, induction and deduction, sum of places method, graphical representation of statistical data, correlation analysis, and linear multifactorial regression analysis. </w:t>
      </w:r>
    </w:p>
    <w:p w:rsidR="001F4D7E" w:rsidRPr="00B566D3" w:rsidRDefault="00784105">
      <w:pPr>
        <w:rPr>
          <w:sz w:val="28"/>
          <w:szCs w:val="28"/>
        </w:rPr>
      </w:pPr>
      <w:r w:rsidRPr="00B566D3">
        <w:rPr>
          <w:rFonts w:ascii="Times New Roman" w:hAnsi="Times New Roman" w:cs="Times New Roman"/>
          <w:sz w:val="28"/>
          <w:szCs w:val="28"/>
        </w:rPr>
        <w:t xml:space="preserve">                  Additionally, a statistical multicollinearity test was developed and applied as part of the correlation analysis for the first time. The paper enhances the statistical evaluation of the impact of innovation potential on the development of higher education institutions using linear multivariate regression analysis, identifying the market potential of higher education services as the most significant factor</w:t>
      </w:r>
      <w:r w:rsidRPr="00B566D3">
        <w:rPr>
          <w:sz w:val="28"/>
          <w:szCs w:val="28"/>
        </w:rPr>
        <w:t>.</w:t>
      </w:r>
    </w:p>
    <w:p w:rsidR="001F4D7E" w:rsidRDefault="001F4D7E"/>
    <w:p w:rsidR="001F4D7E" w:rsidRPr="00B566D3" w:rsidRDefault="001F4D7E">
      <w:pPr>
        <w:rPr>
          <w:b/>
          <w:sz w:val="32"/>
          <w:szCs w:val="32"/>
        </w:rPr>
      </w:pPr>
      <w:r w:rsidRPr="00B566D3">
        <w:rPr>
          <w:b/>
          <w:sz w:val="32"/>
          <w:szCs w:val="32"/>
        </w:rPr>
        <w:t>RESEARCH PAPER SUMMARY:</w:t>
      </w:r>
    </w:p>
    <w:p w:rsidR="001F4D7E" w:rsidRPr="00B566D3" w:rsidRDefault="001F4D7E" w:rsidP="001F4D7E">
      <w:pPr>
        <w:pStyle w:val="NormalWeb"/>
        <w:rPr>
          <w:sz w:val="28"/>
          <w:szCs w:val="28"/>
        </w:rPr>
      </w:pPr>
      <w:r w:rsidRPr="00B566D3">
        <w:rPr>
          <w:sz w:val="28"/>
          <w:szCs w:val="28"/>
        </w:rPr>
        <w:t xml:space="preserve">                              This research paper, published in Volume 7, Issue 4 of "ISSN 0719-4706," October-December 2020, pages 624-645, explores the enhancement of innovation management in higher education institutions (HEIs). It addresses the dual role of HEIs as both creators and implementers of new technologies, emphasizing the need for effective management of innovation potential to strengthen their competitive position in the education sector.</w:t>
      </w:r>
    </w:p>
    <w:p w:rsidR="001F4D7E" w:rsidRPr="00B566D3" w:rsidRDefault="001F4D7E" w:rsidP="001F4D7E">
      <w:pPr>
        <w:pStyle w:val="NormalWeb"/>
        <w:rPr>
          <w:sz w:val="28"/>
          <w:szCs w:val="28"/>
        </w:rPr>
      </w:pPr>
      <w:r w:rsidRPr="00B566D3">
        <w:rPr>
          <w:sz w:val="28"/>
          <w:szCs w:val="28"/>
        </w:rPr>
        <w:t xml:space="preserve">                          The study identifies four key components of innovation potential: physical capital, human capital, government regulation, and the market potential of higher education services. Using empirical analysis, the </w:t>
      </w:r>
      <w:r w:rsidRPr="00B566D3">
        <w:rPr>
          <w:sz w:val="28"/>
          <w:szCs w:val="28"/>
        </w:rPr>
        <w:lastRenderedPageBreak/>
        <w:t>paper quantifies 16 indicators and integrates them into a framework that formalizes these components, providing a systematic approach to evaluate the innovation potential of HEIs.</w:t>
      </w:r>
    </w:p>
    <w:p w:rsidR="001F4D7E" w:rsidRPr="00B566D3" w:rsidRDefault="001F4D7E" w:rsidP="001F4D7E">
      <w:pPr>
        <w:pStyle w:val="NormalWeb"/>
        <w:rPr>
          <w:sz w:val="28"/>
          <w:szCs w:val="28"/>
        </w:rPr>
      </w:pPr>
      <w:r w:rsidRPr="00B566D3">
        <w:rPr>
          <w:sz w:val="28"/>
          <w:szCs w:val="28"/>
        </w:rPr>
        <w:t xml:space="preserve">                         Focusing on 20 Ukrainian pedagogical HEIs, the research utilizes various methodologies, including comparative analysis, correlation analysis, and linear multifactorial regression analysis, to statistically evaluate innovation potential. The study reveals an inverse relationship between the number of enrolled students and the sum of places occupied by HEIs, highlighting the dynamic nature of innovation potential.</w:t>
      </w:r>
    </w:p>
    <w:p w:rsidR="001F4D7E" w:rsidRPr="00B566D3" w:rsidRDefault="001F4D7E" w:rsidP="001F4D7E">
      <w:pPr>
        <w:pStyle w:val="NormalWeb"/>
        <w:rPr>
          <w:sz w:val="28"/>
          <w:szCs w:val="28"/>
        </w:rPr>
      </w:pPr>
      <w:r w:rsidRPr="00B566D3">
        <w:rPr>
          <w:sz w:val="28"/>
          <w:szCs w:val="28"/>
        </w:rPr>
        <w:t xml:space="preserve">                       The paper also introduces a multicollinearity test as part of the correlation analysis for the first time, offering new insights into how innovation potential impacts the development of HEIs. The findings indicate that the market potential of higher education services is the most significant component influencing institutional growth and competitiveness.</w:t>
      </w:r>
    </w:p>
    <w:p w:rsidR="001F4D7E" w:rsidRPr="00B566D3" w:rsidRDefault="001F4D7E" w:rsidP="001F4D7E">
      <w:pPr>
        <w:pStyle w:val="NormalWeb"/>
        <w:rPr>
          <w:sz w:val="28"/>
          <w:szCs w:val="28"/>
        </w:rPr>
      </w:pPr>
      <w:r w:rsidRPr="00B566D3">
        <w:rPr>
          <w:sz w:val="28"/>
          <w:szCs w:val="28"/>
        </w:rPr>
        <w:t>By formalizing innovation potential components, this research provides practical strategies for HEIs to enhance their innovation management processes, particularly in transitioning economies like Ukraine. The paper contributes to the broader discourse on the role of HEIs in fostering innovation and supporting sustainable development through knowledge-driven growth.</w:t>
      </w:r>
    </w:p>
    <w:p w:rsidR="001F4D7E" w:rsidRPr="00B566D3" w:rsidRDefault="001F4D7E" w:rsidP="001F4D7E">
      <w:pPr>
        <w:rPr>
          <w:rFonts w:ascii="Times New Roman" w:hAnsi="Times New Roman" w:cs="Times New Roman"/>
          <w:sz w:val="32"/>
          <w:szCs w:val="32"/>
        </w:rPr>
      </w:pPr>
    </w:p>
    <w:p w:rsidR="001F4D7E" w:rsidRDefault="001F4D7E" w:rsidP="001F4D7E">
      <w:pPr>
        <w:rPr>
          <w:rFonts w:ascii="Times New Roman" w:hAnsi="Times New Roman" w:cs="Times New Roman"/>
          <w:sz w:val="32"/>
          <w:szCs w:val="32"/>
        </w:rPr>
      </w:pPr>
      <w:r w:rsidRPr="00B566D3">
        <w:rPr>
          <w:rStyle w:val="Strong"/>
          <w:rFonts w:ascii="Times New Roman" w:hAnsi="Times New Roman" w:cs="Times New Roman"/>
          <w:color w:val="212121"/>
          <w:sz w:val="32"/>
          <w:szCs w:val="32"/>
          <w:shd w:val="clear" w:color="auto" w:fill="FFFFFF"/>
          <w:lang w:val="en"/>
        </w:rPr>
        <w:t>Prompts and Iterations</w:t>
      </w:r>
      <w:r w:rsidRPr="00B566D3">
        <w:rPr>
          <w:rFonts w:ascii="Times New Roman" w:hAnsi="Times New Roman" w:cs="Times New Roman"/>
          <w:color w:val="212121"/>
          <w:sz w:val="32"/>
          <w:szCs w:val="32"/>
          <w:shd w:val="clear" w:color="auto" w:fill="FFFFFF"/>
          <w:lang w:val="en"/>
        </w:rPr>
        <w:t>:</w:t>
      </w:r>
      <w:r w:rsidRPr="00B566D3">
        <w:rPr>
          <w:rFonts w:ascii="Times New Roman" w:hAnsi="Times New Roman" w:cs="Times New Roman"/>
          <w:sz w:val="32"/>
          <w:szCs w:val="32"/>
        </w:rPr>
        <w:t xml:space="preserve"> </w:t>
      </w:r>
      <w:r w:rsidR="00B566D3">
        <w:rPr>
          <w:rFonts w:ascii="Times New Roman" w:hAnsi="Times New Roman" w:cs="Times New Roman"/>
          <w:sz w:val="32"/>
          <w:szCs w:val="32"/>
        </w:rPr>
        <w:t xml:space="preserve"> </w:t>
      </w:r>
    </w:p>
    <w:p w:rsidR="00B566D3" w:rsidRDefault="00B566D3" w:rsidP="00B566D3">
      <w:pPr>
        <w:pStyle w:val="NormalWeb"/>
      </w:pPr>
      <w:r>
        <w:rPr>
          <w:sz w:val="32"/>
          <w:szCs w:val="32"/>
        </w:rPr>
        <w:t xml:space="preserve">                   </w:t>
      </w:r>
      <w:r>
        <w:rPr>
          <w:rStyle w:val="Strong"/>
        </w:rPr>
        <w:t>First Iteration:</w:t>
      </w:r>
      <w:r>
        <w:t xml:space="preserve"> The initial prompt asked for a summary of the project analyzed, focusing on innovation management in HEIs. The summary highlighted the dual role of HEIs in the innovation process and the importance of managing innovation potential by formalizing its components. It emphasized the use of Ukrainian pedagogical HEIs as a case study and the need for statistical evaluation methods.</w:t>
      </w:r>
    </w:p>
    <w:p w:rsidR="00B566D3" w:rsidRDefault="00B566D3" w:rsidP="00B566D3">
      <w:pPr>
        <w:pStyle w:val="NormalWeb"/>
      </w:pPr>
      <w:r>
        <w:rPr>
          <w:rStyle w:val="Strong"/>
        </w:rPr>
        <w:t>Second Iteration:</w:t>
      </w:r>
      <w:r>
        <w:t xml:space="preserve"> Refined the summary to include specific methodologies like comparative analysis, correlation analysis, and linear regression analysis. It detailed the four components of innovation potential (physical capital, human capital, government regulation, market potential) and introduced the unique contribution of the multicollinearity test. The iteration also clarified the study’s relevance to transitioning economies like Ukraine.</w:t>
      </w:r>
    </w:p>
    <w:p w:rsidR="00B566D3" w:rsidRDefault="00B566D3" w:rsidP="00B566D3">
      <w:pPr>
        <w:pStyle w:val="NormalWeb"/>
      </w:pPr>
      <w:r>
        <w:rPr>
          <w:rStyle w:val="Strong"/>
        </w:rPr>
        <w:t>Third Iteration:</w:t>
      </w:r>
      <w:r>
        <w:t xml:space="preserve"> Further refined for clarity and brevity, focusing on the practical implications of the research findings for HEIs. This version emphasized the importance of innovation management in a competitive educational market and its impact on sustainable development. It highlighted the methodological framework for formalizing innovation potential and provided insights into the relationship between market potential and institutional growth.</w:t>
      </w:r>
    </w:p>
    <w:p w:rsidR="00B566D3" w:rsidRDefault="00B566D3" w:rsidP="001F4D7E">
      <w:pPr>
        <w:rPr>
          <w:rFonts w:ascii="Times New Roman" w:hAnsi="Times New Roman" w:cs="Times New Roman"/>
          <w:sz w:val="32"/>
          <w:szCs w:val="32"/>
        </w:rPr>
      </w:pPr>
    </w:p>
    <w:p w:rsidR="00B566D3" w:rsidRDefault="00B566D3" w:rsidP="00B566D3">
      <w:pPr>
        <w:rPr>
          <w:rFonts w:ascii="Times New Roman" w:hAnsi="Times New Roman" w:cs="Times New Roman"/>
          <w:sz w:val="32"/>
          <w:szCs w:val="32"/>
        </w:rPr>
      </w:pPr>
    </w:p>
    <w:p w:rsidR="00B566D3" w:rsidRPr="00B566D3" w:rsidRDefault="001F4D7E" w:rsidP="00B566D3">
      <w:pPr>
        <w:rPr>
          <w:rFonts w:ascii="Times New Roman" w:hAnsi="Times New Roman" w:cs="Times New Roman"/>
          <w:b/>
          <w:sz w:val="32"/>
          <w:szCs w:val="32"/>
        </w:rPr>
      </w:pPr>
      <w:r>
        <w:t xml:space="preserve">  </w:t>
      </w:r>
      <w:r w:rsidR="00B566D3" w:rsidRPr="00B566D3">
        <w:rPr>
          <w:rFonts w:ascii="Times New Roman" w:hAnsi="Times New Roman" w:cs="Times New Roman"/>
          <w:b/>
          <w:sz w:val="32"/>
          <w:szCs w:val="32"/>
        </w:rPr>
        <w:t>Insights and Applications:</w:t>
      </w:r>
    </w:p>
    <w:p w:rsidR="00B566D3" w:rsidRDefault="00B566D3" w:rsidP="00B566D3">
      <w:pPr>
        <w:pStyle w:val="NormalWeb"/>
      </w:pPr>
      <w:r>
        <w:rPr>
          <w:sz w:val="32"/>
          <w:szCs w:val="32"/>
        </w:rPr>
        <w:t xml:space="preserve">                        </w:t>
      </w:r>
      <w:r>
        <w:t>This research provides several valuable insights into innovation management in higher education institutions (HEIs). Firstly, it underscores the critical role of HEIs in both generating and utilizing innovative technologies, which is vital for fostering a knowledge-driven economy. By formalizing the components of innovation potential — physical capital, human capital, government regulation, and market potential — the paper offers a structured approach for HEIs to manage and enhance their innovation capabilities.</w:t>
      </w:r>
    </w:p>
    <w:p w:rsidR="00B566D3" w:rsidRDefault="00B566D3" w:rsidP="00B566D3">
      <w:pPr>
        <w:pStyle w:val="NormalWeb"/>
      </w:pPr>
      <w:r>
        <w:t>One key insight is the inverse relationship between the number of enrolled students and the sum of places, which suggests that larger student bodies may dilute the capacity for innovation management. This finding could influence future strategies for HEIs to balance enrollment with innovation capacity, ensuring that resources are optimally allocated to support both education and research.</w:t>
      </w:r>
    </w:p>
    <w:p w:rsidR="00B566D3" w:rsidRDefault="00B566D3" w:rsidP="00B566D3">
      <w:pPr>
        <w:pStyle w:val="NormalWeb"/>
      </w:pPr>
      <w:r>
        <w:t>The introduction of the multicollinearity test as part of the correlation analysis provides a novel method for understanding the interdependencies among different innovation components. This approach can be applied in future research to refine statistical evaluations of innovation potential and to develop more effective management strategies.</w:t>
      </w:r>
    </w:p>
    <w:p w:rsidR="00B566D3" w:rsidRDefault="00B566D3" w:rsidP="00B566D3">
      <w:pPr>
        <w:pStyle w:val="NormalWeb"/>
      </w:pPr>
      <w:r>
        <w:t>The findings are particularly relevant for HEIs in transitioning economies, such as Ukraine, where the ability to innovate is crucial for gaining competitive advantages in the global education market. The paper's methodological framework can be applied to other contexts to enhance the innovation potential of HEIs, contributing to sustainable development and long-term growth.</w:t>
      </w:r>
    </w:p>
    <w:p w:rsidR="00B566D3" w:rsidRDefault="00B566D3" w:rsidP="00B566D3">
      <w:pPr>
        <w:pStyle w:val="NormalWeb"/>
      </w:pPr>
    </w:p>
    <w:p w:rsidR="00B566D3" w:rsidRPr="00B566D3" w:rsidRDefault="00B566D3" w:rsidP="00B566D3">
      <w:pPr>
        <w:pStyle w:val="NormalWeb"/>
        <w:rPr>
          <w:b/>
          <w:sz w:val="32"/>
          <w:szCs w:val="32"/>
        </w:rPr>
      </w:pPr>
      <w:r w:rsidRPr="00B566D3">
        <w:rPr>
          <w:b/>
          <w:sz w:val="32"/>
          <w:szCs w:val="32"/>
        </w:rPr>
        <w:t>Evaluation</w:t>
      </w:r>
      <w:r>
        <w:rPr>
          <w:b/>
          <w:sz w:val="32"/>
          <w:szCs w:val="32"/>
        </w:rPr>
        <w:t>:</w:t>
      </w:r>
    </w:p>
    <w:p w:rsidR="00B566D3" w:rsidRDefault="00B566D3" w:rsidP="00B566D3">
      <w:pPr>
        <w:pStyle w:val="NormalWeb"/>
      </w:pPr>
      <w:r>
        <w:rPr>
          <w:sz w:val="32"/>
          <w:szCs w:val="32"/>
        </w:rPr>
        <w:t xml:space="preserve">              </w:t>
      </w:r>
      <w:r>
        <w:t>The final summary and insights of the research paper have been assessed for their clarity, precision, and pertinence. The summary concisely captures the essential aims, methodologies, and key findings of the study, maintaining a clear and straightforward narrative that is easy to follow. It effectively distills complex content into a format that balances necessary detail with succinctness.</w:t>
      </w:r>
    </w:p>
    <w:p w:rsidR="00B566D3" w:rsidRDefault="00B566D3" w:rsidP="00B566D3">
      <w:pPr>
        <w:pStyle w:val="NormalWeb"/>
      </w:pPr>
      <w:r>
        <w:t>The insights section elaborates on the practical implications of the research, particularly how the findings can be applied in the context of HEIs in transitioning economies like Ukraine. The accuracy of the content is evident, as it faithfully represents the study’s data, methods, and significant contributions, such as the introduction of a multicollinearity test and a structured framework for evaluating innovation potential.</w:t>
      </w:r>
    </w:p>
    <w:p w:rsidR="00B566D3" w:rsidRDefault="00B566D3" w:rsidP="00B566D3">
      <w:pPr>
        <w:pStyle w:val="NormalWeb"/>
      </w:pPr>
      <w:r>
        <w:t>The summary and insights are highly relevant, offering valuable guidance for innovation management in HEIs worldwide, demonstrating both academic rigor and practical utility in the field.</w:t>
      </w:r>
    </w:p>
    <w:p w:rsidR="00B566D3" w:rsidRDefault="00B566D3" w:rsidP="00B566D3">
      <w:pPr>
        <w:rPr>
          <w:rFonts w:ascii="Times New Roman" w:hAnsi="Times New Roman" w:cs="Times New Roman"/>
          <w:b/>
          <w:sz w:val="32"/>
          <w:szCs w:val="32"/>
        </w:rPr>
      </w:pPr>
      <w:r w:rsidRPr="00B566D3">
        <w:rPr>
          <w:rFonts w:ascii="Times New Roman" w:hAnsi="Times New Roman" w:cs="Times New Roman"/>
          <w:b/>
          <w:sz w:val="32"/>
          <w:szCs w:val="32"/>
        </w:rPr>
        <w:lastRenderedPageBreak/>
        <w:t>Reflection</w:t>
      </w:r>
      <w:r>
        <w:rPr>
          <w:rFonts w:ascii="Times New Roman" w:hAnsi="Times New Roman" w:cs="Times New Roman"/>
          <w:b/>
          <w:sz w:val="32"/>
          <w:szCs w:val="32"/>
        </w:rPr>
        <w:t xml:space="preserve">: </w:t>
      </w:r>
    </w:p>
    <w:p w:rsidR="00B566D3" w:rsidRDefault="00B566D3" w:rsidP="00B566D3">
      <w:pPr>
        <w:rPr>
          <w:rFonts w:ascii="Times New Roman" w:hAnsi="Times New Roman" w:cs="Times New Roman"/>
          <w:b/>
          <w:sz w:val="32"/>
          <w:szCs w:val="32"/>
        </w:rPr>
      </w:pPr>
      <w:r>
        <w:rPr>
          <w:rFonts w:ascii="Times New Roman" w:hAnsi="Times New Roman" w:cs="Times New Roman"/>
          <w:b/>
          <w:sz w:val="32"/>
          <w:szCs w:val="32"/>
        </w:rPr>
        <w:t xml:space="preserve">                </w:t>
      </w:r>
    </w:p>
    <w:p w:rsidR="00B566D3" w:rsidRPr="00B566D3" w:rsidRDefault="00B566D3" w:rsidP="00B566D3">
      <w:pPr>
        <w:pStyle w:val="NormalWeb"/>
        <w:rPr>
          <w:sz w:val="28"/>
          <w:szCs w:val="28"/>
        </w:rPr>
      </w:pPr>
      <w:r w:rsidRPr="00B566D3">
        <w:rPr>
          <w:b/>
          <w:sz w:val="28"/>
          <w:szCs w:val="28"/>
        </w:rPr>
        <w:t xml:space="preserve">              </w:t>
      </w:r>
      <w:r w:rsidRPr="00B566D3">
        <w:rPr>
          <w:sz w:val="28"/>
          <w:szCs w:val="28"/>
        </w:rPr>
        <w:t>This exercise has been an insightful experience in condensing complex research into concise summaries that capture the essence of the study while retaining critical details. One of the main challenges was distilling the content down to its most essential points without losing the nuances of the methodologies and findings. Balancing technical details with readability required careful selection of information and iterative refinement.</w:t>
      </w:r>
    </w:p>
    <w:p w:rsidR="00B566D3" w:rsidRPr="00B566D3" w:rsidRDefault="00B566D3" w:rsidP="00B566D3">
      <w:pPr>
        <w:pStyle w:val="NormalWeb"/>
        <w:rPr>
          <w:sz w:val="28"/>
          <w:szCs w:val="28"/>
        </w:rPr>
      </w:pPr>
      <w:r w:rsidRPr="00B566D3">
        <w:rPr>
          <w:sz w:val="28"/>
          <w:szCs w:val="28"/>
        </w:rPr>
        <w:t>Through this process, I learned the importance of clarity and focus in academic writing, particularly when summarizing research that involves multiple components and analytical techniques. It was also a reminder of the need to keep the audience in mind, ensuring that even complex concepts are accessible and understandable.</w:t>
      </w:r>
    </w:p>
    <w:p w:rsidR="00B566D3" w:rsidRPr="00B566D3" w:rsidRDefault="00B566D3" w:rsidP="00B566D3">
      <w:pPr>
        <w:pStyle w:val="NormalWeb"/>
        <w:rPr>
          <w:sz w:val="28"/>
          <w:szCs w:val="28"/>
        </w:rPr>
      </w:pPr>
      <w:r w:rsidRPr="00B566D3">
        <w:rPr>
          <w:sz w:val="28"/>
          <w:szCs w:val="28"/>
        </w:rPr>
        <w:t>A key insight gained was the recognition of the interconnectedness of different elements within the innovation potential of HEIs. This understanding has implications for how HEIs might approach innovation management, particularly in rapidly changing or transitional economies. Additionally, the iterative process of refining summaries reinforced the value of revisiting and rethinking content to improve coherence and impact.</w:t>
      </w:r>
    </w:p>
    <w:p w:rsidR="00B566D3" w:rsidRDefault="00B566D3" w:rsidP="00B566D3">
      <w:pPr>
        <w:pStyle w:val="NormalWeb"/>
      </w:pPr>
      <w:r w:rsidRPr="00B566D3">
        <w:rPr>
          <w:sz w:val="28"/>
          <w:szCs w:val="28"/>
        </w:rPr>
        <w:t>Overall, this exercise has strengthened my skills in summarizing academic research and deepened my appreciation for the role of effective communication</w:t>
      </w:r>
      <w:r>
        <w:t xml:space="preserve"> in advancing knowledge and practice in the field of education.</w:t>
      </w:r>
    </w:p>
    <w:p w:rsidR="00B566D3" w:rsidRPr="00B566D3" w:rsidRDefault="00B566D3" w:rsidP="00B566D3">
      <w:pPr>
        <w:rPr>
          <w:rFonts w:ascii="Times New Roman" w:hAnsi="Times New Roman" w:cs="Times New Roman"/>
          <w:b/>
          <w:sz w:val="32"/>
          <w:szCs w:val="32"/>
        </w:rPr>
      </w:pPr>
    </w:p>
    <w:p w:rsidR="00B452B3" w:rsidRDefault="001F4D7E" w:rsidP="001F4D7E">
      <w:r>
        <w:t xml:space="preserve">                </w:t>
      </w:r>
      <w:r w:rsidR="00B452B3">
        <w:br w:type="page"/>
      </w:r>
    </w:p>
    <w:p w:rsidR="00733FE1" w:rsidRDefault="00733FE1"/>
    <w:sectPr w:rsidR="00733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C68A8"/>
    <w:multiLevelType w:val="hybridMultilevel"/>
    <w:tmpl w:val="A5CE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52"/>
    <w:rsid w:val="001F4D7E"/>
    <w:rsid w:val="00575276"/>
    <w:rsid w:val="006D504C"/>
    <w:rsid w:val="00733FE1"/>
    <w:rsid w:val="00784105"/>
    <w:rsid w:val="00A06952"/>
    <w:rsid w:val="00A21827"/>
    <w:rsid w:val="00B452B3"/>
    <w:rsid w:val="00B566D3"/>
    <w:rsid w:val="00F01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AC490-2955-485D-A503-B254B0EF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069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95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06952"/>
    <w:rPr>
      <w:color w:val="0000FF"/>
      <w:u w:val="single"/>
    </w:rPr>
  </w:style>
  <w:style w:type="paragraph" w:styleId="NormalWeb">
    <w:name w:val="Normal (Web)"/>
    <w:basedOn w:val="Normal"/>
    <w:uiPriority w:val="99"/>
    <w:semiHidden/>
    <w:unhideWhenUsed/>
    <w:rsid w:val="001F4D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4D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90457">
      <w:bodyDiv w:val="1"/>
      <w:marLeft w:val="0"/>
      <w:marRight w:val="0"/>
      <w:marTop w:val="0"/>
      <w:marBottom w:val="0"/>
      <w:divBdr>
        <w:top w:val="none" w:sz="0" w:space="0" w:color="auto"/>
        <w:left w:val="none" w:sz="0" w:space="0" w:color="auto"/>
        <w:bottom w:val="none" w:sz="0" w:space="0" w:color="auto"/>
        <w:right w:val="none" w:sz="0" w:space="0" w:color="auto"/>
      </w:divBdr>
    </w:div>
    <w:div w:id="347290009">
      <w:bodyDiv w:val="1"/>
      <w:marLeft w:val="0"/>
      <w:marRight w:val="0"/>
      <w:marTop w:val="0"/>
      <w:marBottom w:val="0"/>
      <w:divBdr>
        <w:top w:val="none" w:sz="0" w:space="0" w:color="auto"/>
        <w:left w:val="none" w:sz="0" w:space="0" w:color="auto"/>
        <w:bottom w:val="none" w:sz="0" w:space="0" w:color="auto"/>
        <w:right w:val="none" w:sz="0" w:space="0" w:color="auto"/>
      </w:divBdr>
    </w:div>
    <w:div w:id="539635522">
      <w:bodyDiv w:val="1"/>
      <w:marLeft w:val="0"/>
      <w:marRight w:val="0"/>
      <w:marTop w:val="0"/>
      <w:marBottom w:val="0"/>
      <w:divBdr>
        <w:top w:val="none" w:sz="0" w:space="0" w:color="auto"/>
        <w:left w:val="none" w:sz="0" w:space="0" w:color="auto"/>
        <w:bottom w:val="none" w:sz="0" w:space="0" w:color="auto"/>
        <w:right w:val="none" w:sz="0" w:space="0" w:color="auto"/>
      </w:divBdr>
    </w:div>
    <w:div w:id="826019628">
      <w:bodyDiv w:val="1"/>
      <w:marLeft w:val="0"/>
      <w:marRight w:val="0"/>
      <w:marTop w:val="0"/>
      <w:marBottom w:val="0"/>
      <w:divBdr>
        <w:top w:val="none" w:sz="0" w:space="0" w:color="auto"/>
        <w:left w:val="none" w:sz="0" w:space="0" w:color="auto"/>
        <w:bottom w:val="none" w:sz="0" w:space="0" w:color="auto"/>
        <w:right w:val="none" w:sz="0" w:space="0" w:color="auto"/>
      </w:divBdr>
    </w:div>
    <w:div w:id="1154446223">
      <w:bodyDiv w:val="1"/>
      <w:marLeft w:val="0"/>
      <w:marRight w:val="0"/>
      <w:marTop w:val="0"/>
      <w:marBottom w:val="0"/>
      <w:divBdr>
        <w:top w:val="none" w:sz="0" w:space="0" w:color="auto"/>
        <w:left w:val="none" w:sz="0" w:space="0" w:color="auto"/>
        <w:bottom w:val="none" w:sz="0" w:space="0" w:color="auto"/>
        <w:right w:val="none" w:sz="0" w:space="0" w:color="auto"/>
      </w:divBdr>
    </w:div>
    <w:div w:id="1252423613">
      <w:bodyDiv w:val="1"/>
      <w:marLeft w:val="0"/>
      <w:marRight w:val="0"/>
      <w:marTop w:val="0"/>
      <w:marBottom w:val="0"/>
      <w:divBdr>
        <w:top w:val="none" w:sz="0" w:space="0" w:color="auto"/>
        <w:left w:val="none" w:sz="0" w:space="0" w:color="auto"/>
        <w:bottom w:val="none" w:sz="0" w:space="0" w:color="auto"/>
        <w:right w:val="none" w:sz="0" w:space="0" w:color="auto"/>
      </w:divBdr>
    </w:div>
    <w:div w:id="1366978637">
      <w:bodyDiv w:val="1"/>
      <w:marLeft w:val="0"/>
      <w:marRight w:val="0"/>
      <w:marTop w:val="0"/>
      <w:marBottom w:val="0"/>
      <w:divBdr>
        <w:top w:val="none" w:sz="0" w:space="0" w:color="auto"/>
        <w:left w:val="none" w:sz="0" w:space="0" w:color="auto"/>
        <w:bottom w:val="none" w:sz="0" w:space="0" w:color="auto"/>
        <w:right w:val="none" w:sz="0" w:space="0" w:color="auto"/>
      </w:divBdr>
    </w:div>
    <w:div w:id="163371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DB081-DEEB-4D95-8C54-4AA6D4D0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nath</dc:creator>
  <cp:keywords/>
  <dc:description/>
  <cp:lastModifiedBy>gokul nath</cp:lastModifiedBy>
  <cp:revision>2</cp:revision>
  <dcterms:created xsi:type="dcterms:W3CDTF">2024-09-08T17:18:00Z</dcterms:created>
  <dcterms:modified xsi:type="dcterms:W3CDTF">2024-09-08T17:18:00Z</dcterms:modified>
</cp:coreProperties>
</file>