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28FBC" w14:textId="77777777" w:rsidR="000F7F77" w:rsidRPr="000F7F77" w:rsidRDefault="000F7F77" w:rsidP="000F7F77">
      <w:pPr>
        <w:jc w:val="center"/>
      </w:pPr>
      <w:r w:rsidRPr="000F7F77">
        <w:rPr>
          <w:b/>
          <w:bCs/>
        </w:rPr>
        <w:t>Consultoría en la Integración de la Gestión Clínica y Administrativa</w:t>
      </w:r>
      <w:r w:rsidRPr="000F7F77">
        <w:br/>
      </w:r>
      <w:r w:rsidRPr="000F7F77">
        <w:rPr>
          <w:i/>
          <w:iCs/>
        </w:rPr>
        <w:t>Optimización de procesos y mejora de la eficiencia operativa en el sector salud.</w:t>
      </w:r>
    </w:p>
    <w:p w14:paraId="26B1196F" w14:textId="77777777" w:rsidR="000F7F77" w:rsidRPr="000F7F77" w:rsidRDefault="000F7F77" w:rsidP="000F7F77">
      <w:r w:rsidRPr="000F7F77">
        <w:rPr>
          <w:b/>
          <w:bCs/>
        </w:rPr>
        <w:t>Resumen Ejecutivo</w:t>
      </w:r>
      <w:r w:rsidRPr="000F7F77">
        <w:br/>
        <w:t>Nuestro servicio está diseñado para mejorar la eficiencia operativa en las instituciones de salud y financiadores del sistema mediante un enfoque integral que cubre tanto la gestión clínica como administrativa. A través de un análisis exhaustivo, identificamos oportunidades clave para optimizar la cartera de clientes, las modalidades de pago, la gestión de prestaciones y la selección de líderes dentro de la organización. Además, realizamos auditorías de medicamentos y estudios complementarios, lo que nos permite reducir ineficiencias, disminuir las tasas de readmisión hospitalarias y maximizar el uso de los recursos disponibles.</w:t>
      </w:r>
    </w:p>
    <w:p w14:paraId="73296DCB" w14:textId="584DA931" w:rsidR="000F7F77" w:rsidRPr="000F7F77" w:rsidRDefault="000F7F77" w:rsidP="000F7F77">
      <w:r>
        <w:rPr>
          <w:b/>
          <w:bCs/>
        </w:rPr>
        <w:t>Detalle de Servicios</w:t>
      </w:r>
      <w:r w:rsidRPr="000F7F77">
        <w:rPr>
          <w:b/>
          <w:bCs/>
        </w:rPr>
        <w:t>:</w:t>
      </w:r>
    </w:p>
    <w:p w14:paraId="176606F9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Evaluación de Cartera de Clientes y Estrategias de Pago:</w:t>
      </w:r>
      <w:r w:rsidRPr="000F7F77">
        <w:br/>
        <w:t>Análisis detallado de la cartera de clientes y recomendaciones para mejorar las modalidades de pago y cobro, optimizando el flujo de ingresos.</w:t>
      </w:r>
    </w:p>
    <w:p w14:paraId="40264C9C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Auditoría Interna de Fármacos y Estudios:</w:t>
      </w:r>
      <w:r w:rsidRPr="000F7F77">
        <w:br/>
        <w:t>Revisión exhaustiva de los medicamentos y estudios complementarios utilizados en la institución, identificando oportunidades para reducir gastos innecesarios y mejorar la calidad de los servicios.</w:t>
      </w:r>
    </w:p>
    <w:p w14:paraId="1855C175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Detección de Áreas Ineficientes y Propuestas de Mejora:</w:t>
      </w:r>
      <w:r w:rsidRPr="000F7F77">
        <w:br/>
        <w:t>Identificación de los puntos críticos dentro de los procesos administrativos y clínicos, con propuestas de mejora orientadas a optimizar los tiempos de atención, reducir costos y mejorar la calidad.</w:t>
      </w:r>
    </w:p>
    <w:p w14:paraId="2CEB759B" w14:textId="77777777" w:rsidR="000F7F77" w:rsidRPr="000F7F77" w:rsidRDefault="000F7F77" w:rsidP="000F7F77">
      <w:pPr>
        <w:numPr>
          <w:ilvl w:val="0"/>
          <w:numId w:val="1"/>
        </w:numPr>
      </w:pPr>
      <w:r w:rsidRPr="000F7F77">
        <w:rPr>
          <w:b/>
          <w:bCs/>
        </w:rPr>
        <w:t>Estrategias para Reducir Readmisiones y Optimizar Recursos:</w:t>
      </w:r>
      <w:r w:rsidRPr="000F7F77">
        <w:br/>
        <w:t>Desarrollo de estrategias específicas para reducir la tasa de readmisiones hospitalarias, mediante un mejor manejo de los pacientes y optimización de los recursos disponibles, mejorando la eficiencia del sistema de salud.</w:t>
      </w:r>
    </w:p>
    <w:p w14:paraId="5EAE3974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414C"/>
    <w:multiLevelType w:val="multilevel"/>
    <w:tmpl w:val="99BA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59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77"/>
    <w:rsid w:val="000F7F77"/>
    <w:rsid w:val="0080196E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CB06"/>
  <w15:chartTrackingRefBased/>
  <w15:docId w15:val="{4ED17926-2C82-4339-A1E4-4AA5A09A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F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F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F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F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F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F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2025-04-02T14:38:00Z</dcterms:created>
  <dcterms:modified xsi:type="dcterms:W3CDTF">2025-04-02T14:39:00Z</dcterms:modified>
</cp:coreProperties>
</file>