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bookmarkStart w:id="0" w:name="OLE_LINK1"/>
      <w:r>
        <w:rPr>
          <w:rFonts w:hint="eastAsia" w:ascii="Times New Roman" w:hAnsi="Times New Roman" w:cs="Times New Roman"/>
          <w:b/>
          <w:bCs/>
          <w:sz w:val="24"/>
          <w:szCs w:val="24"/>
          <w:lang w:val="en-US" w:eastAsia="zh-CN"/>
        </w:rPr>
        <w:t>What kin of application can be possible using GAN in medical domain?</w:t>
      </w:r>
    </w:p>
    <w:bookmarkEnd w:id="0"/>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 xml:space="preserve">Reply: </w:t>
      </w:r>
      <w:r>
        <w:rPr>
          <w:rFonts w:hint="eastAsia" w:ascii="Times New Roman" w:hAnsi="Times New Roman" w:cs="Times New Roman"/>
          <w:b w:val="0"/>
          <w:bCs w:val="0"/>
          <w:sz w:val="24"/>
          <w:szCs w:val="24"/>
          <w:lang w:val="en-US" w:eastAsia="zh-CN"/>
        </w:rPr>
        <w:t>Yi X, Walia E, Babyn P. Generative adversarial network in medical imaging: A review[J]. Medical image analysis, 2019, 58: 101552.</w:t>
      </w:r>
      <w:bookmarkStart w:id="9" w:name="_GoBack"/>
      <w:bookmarkEnd w:id="9"/>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GAN can be used including</w:t>
      </w:r>
      <w:r>
        <w:rPr>
          <w:rFonts w:hint="default" w:ascii="Times New Roman" w:hAnsi="Times New Roman" w:cs="Times New Roman"/>
          <w:b w:val="0"/>
          <w:bCs w:val="0"/>
          <w:sz w:val="24"/>
          <w:szCs w:val="24"/>
          <w:lang w:val="en-US" w:eastAsia="zh-CN"/>
        </w:rPr>
        <w:t xml:space="preserve"> but not limited to the fields of radiology, histopathology and dermatology.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039995" cy="3155315"/>
            <wp:effectExtent l="0" t="0" r="825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039995" cy="3155315"/>
                    </a:xfrm>
                    <a:prstGeom prst="rect">
                      <a:avLst/>
                    </a:prstGeom>
                    <a:noFill/>
                    <a:ln w="9525">
                      <a:noFill/>
                    </a:ln>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Georgia" w:cs="Times New Roman"/>
          <w:i w:val="0"/>
          <w:iCs w:val="0"/>
          <w:caps w:val="0"/>
          <w:color w:val="323232"/>
          <w:spacing w:val="0"/>
          <w:sz w:val="24"/>
          <w:szCs w:val="24"/>
        </w:rPr>
      </w:pPr>
      <w:r>
        <w:rPr>
          <w:rFonts w:hint="default" w:ascii="Times New Roman" w:hAnsi="Times New Roman" w:eastAsia="宋体" w:cs="Times New Roman"/>
          <w:sz w:val="24"/>
          <w:szCs w:val="24"/>
          <w:lang w:val="en-US" w:eastAsia="zh-CN"/>
        </w:rPr>
        <w:t xml:space="preserve">Figure 1. </w:t>
      </w:r>
      <w:r>
        <w:rPr>
          <w:rFonts w:hint="default" w:ascii="Times New Roman" w:hAnsi="Times New Roman" w:eastAsia="Georgia" w:cs="Times New Roman"/>
          <w:i w:val="0"/>
          <w:iCs w:val="0"/>
          <w:caps w:val="0"/>
          <w:color w:val="323232"/>
          <w:spacing w:val="0"/>
          <w:sz w:val="24"/>
          <w:szCs w:val="24"/>
        </w:rPr>
        <w:t>Example applications using GANs. Figures are directly cropped from the corresponding papers. (a) Left side shows the noise contaminated low dose CT and right side shows the denoised CT that well preserved the low contrast regions in the liver  (</w:t>
      </w:r>
      <w:bookmarkStart w:id="1" w:name="bbib0237"/>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"bib0237"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Yi and Babyn, 2018</w:t>
      </w:r>
      <w:bookmarkEnd w:id="1"/>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 (b) Left side shows the MR image and right side shows the synthesized corresponding CT. Bone structures were well delineated in the generated CT image  (</w:t>
      </w:r>
      <w:bookmarkStart w:id="2" w:name="bbib0224"/>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"bib0224"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Wolterink et al., 2017a</w:t>
      </w:r>
      <w:bookmarkEnd w:id="2"/>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 (c) The generated retinal fundus image have the exact vessel structures as depicted in the left vessel map  (</w:t>
      </w:r>
      <w:bookmarkStart w:id="3" w:name="bbib0043"/>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"bib0043"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Costa et al., 2017b</w:t>
      </w:r>
      <w:bookmarkEnd w:id="3"/>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 (d) Randomly generated skin lesion from random noise (a mixture of malignant and benign) (</w:t>
      </w:r>
      <w:bookmarkStart w:id="4" w:name="bbib0238"/>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"bib0238"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Yi et al., 2018</w:t>
      </w:r>
      <w:bookmarkEnd w:id="4"/>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 (e) An organ (lung and heart) segmentation example on adult chest X-ray. The shapes of lung and heart are regulated by the adversarial loss (</w:t>
      </w:r>
      <w:bookmarkStart w:id="5" w:name="bbib0048"/>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"bib0048"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Dai et al., 2017b</w:t>
      </w:r>
      <w:bookmarkEnd w:id="5"/>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 (f) The third column shows the domain adapted brain lesion segmentation result on SWI sequence without training with the corresponding manual annotation (</w:t>
      </w:r>
      <w:bookmarkStart w:id="6" w:name="bbib0103"/>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"bib0103"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Kamnitsas et al., 2017</w:t>
      </w:r>
      <w:bookmarkEnd w:id="6"/>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 (g) Abnormality detection of optical coherence tomography images of the retina (</w:t>
      </w:r>
      <w:bookmarkStart w:id="7" w:name="bbib0189"/>
      <w:r>
        <w:rPr>
          <w:rFonts w:hint="default" w:ascii="Times New Roman" w:hAnsi="Times New Roman" w:eastAsia="Georgia" w:cs="Times New Roman"/>
          <w:i w:val="0"/>
          <w:iCs w:val="0"/>
          <w:caps w:val="0"/>
          <w:color w:val="0C7DBB"/>
          <w:spacing w:val="0"/>
          <w:sz w:val="24"/>
          <w:szCs w:val="24"/>
          <w:u w:val="none"/>
          <w:bdr w:val="none" w:color="auto" w:sz="0" w:space="0"/>
        </w:rPr>
        <w:fldChar w:fldCharType="begin"/>
      </w:r>
      <w:r>
        <w:rPr>
          <w:rFonts w:hint="default" w:ascii="Times New Roman" w:hAnsi="Times New Roman" w:eastAsia="Georgia" w:cs="Times New Roman"/>
          <w:i w:val="0"/>
          <w:iCs w:val="0"/>
          <w:caps w:val="0"/>
          <w:color w:val="0C7DBB"/>
          <w:spacing w:val="0"/>
          <w:sz w:val="24"/>
          <w:szCs w:val="24"/>
          <w:u w:val="none"/>
          <w:bdr w:val="none" w:color="auto" w:sz="0" w:space="0"/>
        </w:rPr>
        <w:instrText xml:space="preserve"> HYPERLINK "https://www.sciencedirect.com/science/article/pii/S1361841518308430" \l "bib0189" </w:instrText>
      </w:r>
      <w:r>
        <w:rPr>
          <w:rFonts w:hint="default" w:ascii="Times New Roman" w:hAnsi="Times New Roman" w:eastAsia="Georgia" w:cs="Times New Roman"/>
          <w:i w:val="0"/>
          <w:iCs w:val="0"/>
          <w:caps w:val="0"/>
          <w:color w:val="0C7DBB"/>
          <w:spacing w:val="0"/>
          <w:sz w:val="24"/>
          <w:szCs w:val="24"/>
          <w:u w:val="none"/>
          <w:bdr w:val="none" w:color="auto" w:sz="0" w:space="0"/>
        </w:rPr>
        <w:fldChar w:fldCharType="separate"/>
      </w:r>
      <w:r>
        <w:rPr>
          <w:rStyle w:val="6"/>
          <w:rFonts w:hint="default" w:ascii="Times New Roman" w:hAnsi="Times New Roman" w:eastAsia="Georgia" w:cs="Times New Roman"/>
          <w:i w:val="0"/>
          <w:iCs w:val="0"/>
          <w:caps w:val="0"/>
          <w:color w:val="0C7DBB"/>
          <w:spacing w:val="0"/>
          <w:sz w:val="24"/>
          <w:szCs w:val="24"/>
          <w:u w:val="none"/>
          <w:bdr w:val="none" w:color="auto" w:sz="0" w:space="0"/>
        </w:rPr>
        <w:t>Schlegl et al., 2017</w:t>
      </w:r>
      <w:bookmarkEnd w:id="7"/>
      <w:r>
        <w:rPr>
          <w:rFonts w:hint="default" w:ascii="Times New Roman" w:hAnsi="Times New Roman" w:eastAsia="Georgia" w:cs="Times New Roman"/>
          <w:i w:val="0"/>
          <w:iCs w:val="0"/>
          <w:caps w:val="0"/>
          <w:color w:val="0C7DBB"/>
          <w:spacing w:val="0"/>
          <w:sz w:val="24"/>
          <w:szCs w:val="24"/>
          <w:u w:val="none"/>
          <w:bdr w:val="none" w:color="auto" w:sz="0" w:space="0"/>
        </w:rPr>
        <w:fldChar w:fldCharType="end"/>
      </w:r>
      <w:r>
        <w:rPr>
          <w:rFonts w:hint="default" w:ascii="Times New Roman" w:hAnsi="Times New Roman" w:eastAsia="Georgia" w:cs="Times New Roman"/>
          <w:i w:val="0"/>
          <w:iCs w:val="0"/>
          <w:caps w:val="0"/>
          <w:color w:val="323232"/>
          <w:spacing w:val="0"/>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There are generally two ways GANs are used in medical imaging. The first is focused on the generative aspect, which can help in exploring and discovering the underlying structure of training data and learning to generate new images. This property makes GANs very promising in coping with data scarcity and patient privacy. The second focuses on the discriminative aspect, where the discriminator D can be regarded as a learned prior for normal images so that it can be used as regularizer or detector when presented with abnormal images. </w:t>
      </w:r>
      <w:bookmarkStart w:id="8" w:name="bfig0005"/>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HYPERLINK "https://www.sciencedirect.com/science/article/pii/S1361841518308430" \l "fig0005"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t>Fig</w:t>
      </w:r>
      <w:bookmarkEnd w:id="8"/>
      <w:r>
        <w:rPr>
          <w:rFonts w:hint="eastAsia" w:ascii="Times New Roman" w:hAnsi="Times New Roman" w:cs="Times New Roman"/>
          <w:b w:val="0"/>
          <w:bCs w:val="0"/>
          <w:sz w:val="24"/>
          <w:szCs w:val="24"/>
          <w:lang w:val="en-US" w:eastAsia="zh-CN"/>
        </w:rPr>
        <w:t>u</w:t>
      </w:r>
      <w:r>
        <w:rPr>
          <w:rFonts w:hint="default" w:ascii="Times New Roman" w:hAnsi="Times New Roman" w:cs="Times New Roman"/>
          <w:b w:val="0"/>
          <w:bCs w:val="0"/>
          <w:sz w:val="24"/>
          <w:szCs w:val="24"/>
          <w:lang w:val="en-US" w:eastAsia="zh-CN"/>
        </w:rPr>
        <w:fldChar w:fldCharType="end"/>
      </w:r>
      <w:r>
        <w:rPr>
          <w:rFonts w:hint="eastAsia" w:ascii="Times New Roman" w:hAnsi="Times New Roman" w:cs="Times New Roman"/>
          <w:b w:val="0"/>
          <w:bCs w:val="0"/>
          <w:sz w:val="24"/>
          <w:szCs w:val="24"/>
          <w:lang w:val="en-US" w:eastAsia="zh-CN"/>
        </w:rPr>
        <w:t>re 1</w:t>
      </w:r>
      <w:r>
        <w:rPr>
          <w:rFonts w:hint="default" w:ascii="Times New Roman" w:hAnsi="Times New Roman" w:cs="Times New Roman"/>
          <w:b w:val="0"/>
          <w:bCs w:val="0"/>
          <w:sz w:val="24"/>
          <w:szCs w:val="24"/>
          <w:lang w:val="en-US" w:eastAsia="zh-CN"/>
        </w:rPr>
        <w:t> provides examples of GAN related applications, with examples (a), (b), (c), (d), (e), (f) that focus on the generative aspect and example (g) that exploits the discriminative aspect. In the following subsections, in order to help the readers find applications of their interest, we categorized all the reviewed articles into canonical tasks: reconstruction, image synthesis, segmentation, classification, detection, registration, and others.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幼圆">
    <w:panose1 w:val="02010509060101010101"/>
    <w:charset w:val="86"/>
    <w:family w:val="auto"/>
    <w:pitch w:val="default"/>
    <w:sig w:usb0="00000001" w:usb1="080E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31FB1"/>
    <w:rsid w:val="0EDC21E9"/>
    <w:rsid w:val="1AD056D5"/>
    <w:rsid w:val="23940F0B"/>
    <w:rsid w:val="23BB693C"/>
    <w:rsid w:val="3B5024C3"/>
    <w:rsid w:val="640D076B"/>
    <w:rsid w:val="65BB37DC"/>
    <w:rsid w:val="70EC4D37"/>
    <w:rsid w:val="71200A47"/>
    <w:rsid w:val="78B81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styleId="5">
    <w:name w:val="Emphasis"/>
    <w:basedOn w:val="4"/>
    <w:qFormat/>
    <w:uiPriority w:val="0"/>
    <w:rPr>
      <w:i/>
    </w:rPr>
  </w:style>
  <w:style w:type="character" w:styleId="6">
    <w:name w:val="Hyperlink"/>
    <w:basedOn w:val="4"/>
    <w:uiPriority w:val="0"/>
    <w:rPr>
      <w:color w:val="0000FF"/>
      <w:u w:val="single"/>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2021-03-11T07:01:00Z</dcterms:created>
  <dc:creator>Administrator</dc:creator>
  <cp:lastModifiedBy>T-英琦</cp:lastModifiedBy>
  <dcterms:modified xsi:type="dcterms:W3CDTF">2021-05-25T13:34:17Z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25CB55E1CE624CD5BD2435C67AEAF733</vt:lpwstr>
  </property>
</Properties>
</file>