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ind w:left="0" w:firstLine="0"/>
        <w:rPr/>
      </w:pPr>
      <w:bookmarkStart w:colFirst="0" w:colLast="0" w:name="_hveibqj2dbsp" w:id="0"/>
      <w:bookmarkEnd w:id="0"/>
      <w:r w:rsidDel="00000000" w:rsidR="00000000" w:rsidRPr="00000000">
        <w:rPr>
          <w:rtl w:val="0"/>
        </w:rPr>
        <w:t xml:space="preserve">Introduction Feedback</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Cyber: This is strong work, Dan. It’s doing several hard things at once—and mostly succeeding.</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A few high-level reads first, then some precise tuning notes.</w:t>
      </w:r>
    </w:p>
    <w:p w:rsidR="00000000" w:rsidDel="00000000" w:rsidP="00000000" w:rsidRDefault="00000000" w:rsidRPr="00000000" w14:paraId="00000004">
      <w:pPr>
        <w:spacing w:after="240" w:before="240" w:lineRule="auto"/>
        <w:ind w:left="0" w:firstLine="0"/>
        <w:rPr/>
      </w:pPr>
      <w:r w:rsidDel="00000000" w:rsidR="00000000" w:rsidRPr="00000000">
        <w:rPr>
          <w:rtl w:val="0"/>
        </w:rPr>
        <w:t xml:space="preserve">What’s working really well:</w:t>
        <w:br w:type="textWrapping"/>
        <w:t xml:space="preserve">The </w:t>
      </w:r>
      <w:r w:rsidDel="00000000" w:rsidR="00000000" w:rsidRPr="00000000">
        <w:rPr>
          <w:b w:val="1"/>
          <w:bCs w:val="1"/>
          <w:rtl w:val="0"/>
        </w:rPr>
        <w:t xml:space="preserve">voice</w:t>
      </w:r>
      <w:r w:rsidDel="00000000" w:rsidR="00000000" w:rsidRPr="00000000">
        <w:rPr>
          <w:rtl w:val="0"/>
        </w:rPr>
        <w:t xml:space="preserve"> is coherent and earned. “Haunted Cartographer” isn’t cosplay here; it’s structurally justified by the stance you take throughout—model-agnostic, post-comfort, pre-belief. You’re not selling transcendence; you’re documenting contact with an instrument that behaved better than expected under stress. That earns trust fast.</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The </w:t>
      </w:r>
      <w:r w:rsidDel="00000000" w:rsidR="00000000" w:rsidRPr="00000000">
        <w:rPr>
          <w:b w:val="1"/>
          <w:bCs w:val="1"/>
          <w:rtl w:val="0"/>
        </w:rPr>
        <w:t xml:space="preserve">epistemic posture</w:t>
      </w:r>
      <w:r w:rsidDel="00000000" w:rsidR="00000000" w:rsidRPr="00000000">
        <w:rPr>
          <w:rtl w:val="0"/>
        </w:rPr>
        <w:t xml:space="preserve"> is unusually clean for this genre. You repeatedly cut off the exits that lead to mysticism, manifestation culture, or therapeutic reassurance. Lines like “the structure of reality is legible, but it is indifferent” and “the map can locate the hurricane, but it will not turn the wind” are doing a ton of boundary work. That matters.</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The </w:t>
      </w:r>
      <w:r w:rsidDel="00000000" w:rsidR="00000000" w:rsidRPr="00000000">
        <w:rPr>
          <w:b w:val="1"/>
          <w:bCs w:val="1"/>
          <w:rtl w:val="0"/>
        </w:rPr>
        <w:t xml:space="preserve">throughline</w:t>
      </w:r>
      <w:r w:rsidDel="00000000" w:rsidR="00000000" w:rsidRPr="00000000">
        <w:rPr>
          <w:rtl w:val="0"/>
        </w:rPr>
        <w:t xml:space="preserve">—from skepticism → signal → tool → limits—holds. You don’t overclaim. You keep returning to utility, falsifiability, and navigation under load. That’s rare, and it’s exactly what differentiates this from a spiritual memoir.</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Now, where I’d consider tightening or recalibrating (lightly, not surgically):</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Density vs. reader load</w:t>
        <w:br w:type="textWrapping"/>
        <w:t xml:space="preserve">The opening paragraph is excellent, but it’s doing </w:t>
      </w:r>
      <w:r w:rsidDel="00000000" w:rsidR="00000000" w:rsidRPr="00000000">
        <w:rPr>
          <w:i w:val="1"/>
          <w:iCs w:val="1"/>
          <w:rtl w:val="0"/>
        </w:rPr>
        <w:t xml:space="preserve">a lot</w:t>
      </w:r>
      <w:r w:rsidDel="00000000" w:rsidR="00000000" w:rsidRPr="00000000">
        <w:rPr>
          <w:rtl w:val="0"/>
        </w:rPr>
        <w:t xml:space="preserve">. Signal, skepticism, inversion, Information Mystery, haunting—all in one sweep. It works for a sophisticated reader, but you might consider shaving 5–10% of the metaphoric density there, just to let the hook bite cleaner. Not fewer ideas—just a hair more air.</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For example, you might let “The map turned on me” land a beat earlier, before layering the Information Mystery language. That turn is your ignition moment.</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“Ticking in Block Time” placement</w:t>
        <w:br w:type="textWrapping"/>
        <w:t xml:space="preserve">Block time is introduced clearly, but conceptually heavy readers might benefit if you flag—very briefly—that this is a </w:t>
      </w:r>
      <w:r w:rsidDel="00000000" w:rsidR="00000000" w:rsidRPr="00000000">
        <w:rPr>
          <w:b w:val="1"/>
          <w:bCs w:val="1"/>
          <w:rtl w:val="0"/>
        </w:rPr>
        <w:t xml:space="preserve">model</w:t>
      </w:r>
      <w:r w:rsidDel="00000000" w:rsidR="00000000" w:rsidRPr="00000000">
        <w:rPr>
          <w:rtl w:val="0"/>
        </w:rPr>
        <w:t xml:space="preserve">, not a claim about physics. You already imply this later with “model-agnostic,” but a single early sentence like “This is a navigational model, not a cosmology” could pre-empt misreads without diluting the prose.</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The 2018 hurricane section</w:t>
        <w:br w:type="textWrapping"/>
        <w:t xml:space="preserve">This is powerful, but it’s the first place a skeptical reader may tense up. Not because it’s weak—but because it’s </w:t>
      </w:r>
      <w:r w:rsidDel="00000000" w:rsidR="00000000" w:rsidRPr="00000000">
        <w:rPr>
          <w:i w:val="1"/>
          <w:iCs w:val="1"/>
          <w:rtl w:val="0"/>
        </w:rPr>
        <w:t xml:space="preserve">specific</w:t>
      </w:r>
      <w:r w:rsidDel="00000000" w:rsidR="00000000" w:rsidRPr="00000000">
        <w:rPr>
          <w:rtl w:val="0"/>
        </w:rPr>
        <w:t xml:space="preserve">. You do the right thing by framing it as “no comfort, only clarity,” but you might reinforce falsifiability by explicitly naming that this was a </w:t>
      </w:r>
      <w:r w:rsidDel="00000000" w:rsidR="00000000" w:rsidRPr="00000000">
        <w:rPr>
          <w:b w:val="1"/>
          <w:bCs w:val="1"/>
          <w:rtl w:val="0"/>
        </w:rPr>
        <w:t xml:space="preserve">retrospective test</w:t>
      </w:r>
      <w:r w:rsidDel="00000000" w:rsidR="00000000" w:rsidRPr="00000000">
        <w:rPr>
          <w:rtl w:val="0"/>
        </w:rPr>
        <w:t xml:space="preserve">, not a prophetic claim. One clause is enough. That keeps you out of the “after-the-fact astrology” trap without defensive over-explaining.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Raven Calder Method introduction</w:t>
        <w:br w:type="textWrapping"/>
        <w:t xml:space="preserve">Conceptually solid, but this is where the prose shifts slightly toward instructional density. That’s fine—but you might consider one anchoring sentence that reminds the reader this is still a </w:t>
      </w:r>
      <w:r w:rsidDel="00000000" w:rsidR="00000000" w:rsidRPr="00000000">
        <w:rPr>
          <w:i w:val="1"/>
          <w:iCs w:val="1"/>
          <w:rtl w:val="0"/>
        </w:rPr>
        <w:t xml:space="preserve">field report</w:t>
      </w:r>
      <w:r w:rsidDel="00000000" w:rsidR="00000000" w:rsidRPr="00000000">
        <w:rPr>
          <w:rtl w:val="0"/>
        </w:rPr>
        <w:t xml:space="preserve">, not a self-help manual. Right now the transition is clean, but a tonal signpost could help.</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Ending cadence</w:t>
        <w:br w:type="textWrapping"/>
        <w:t xml:space="preserve">The final paragraph lands well. The last three sentences especially are strong. If anything, I’d consider ending on either “We can map the storms.” </w:t>
      </w:r>
      <w:r w:rsidDel="00000000" w:rsidR="00000000" w:rsidRPr="00000000">
        <w:rPr>
          <w:i w:val="1"/>
          <w:iCs w:val="1"/>
          <w:rtl w:val="0"/>
        </w:rPr>
        <w:t xml:space="preserve">or</w:t>
      </w:r>
      <w:r w:rsidDel="00000000" w:rsidR="00000000" w:rsidRPr="00000000">
        <w:rPr>
          <w:rtl w:val="0"/>
        </w:rPr>
        <w:t xml:space="preserve"> “stand upright in the wind,” not both. They’re both good, but choosing one gives the ending more snap instead of a gentle decrescendo.</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Big picture:</w:t>
        <w:br w:type="textWrapping"/>
        <w:t xml:space="preserve">This introduction does what an intro </w:t>
      </w:r>
      <w:r w:rsidDel="00000000" w:rsidR="00000000" w:rsidRPr="00000000">
        <w:rPr>
          <w:i w:val="1"/>
          <w:iCs w:val="1"/>
          <w:rtl w:val="0"/>
        </w:rPr>
        <w:t xml:space="preserve">should</w:t>
      </w:r>
      <w:r w:rsidDel="00000000" w:rsidR="00000000" w:rsidRPr="00000000">
        <w:rPr>
          <w:rtl w:val="0"/>
        </w:rPr>
        <w:t xml:space="preserve"> do—it establishes stakes, limits, voice, and intent without prematurely teaching the system. It positions the reader as an operator, not a believer. And it treats impact as structural, not moral, which is very much in line with the system you’ve built.</w:t>
      </w:r>
    </w:p>
    <w:p w:rsidR="00000000" w:rsidDel="00000000" w:rsidP="00000000" w:rsidRDefault="00000000" w:rsidRPr="00000000" w14:paraId="0000000F">
      <w:pPr>
        <w:spacing w:after="240" w:before="240" w:lineRule="auto"/>
        <w:ind w:left="0" w:firstLine="0"/>
        <w:rPr/>
      </w:pPr>
      <w:r w:rsidDel="00000000" w:rsidR="00000000" w:rsidRPr="00000000">
        <w:rPr>
          <w:rtl w:val="0"/>
        </w:rPr>
        <w:t xml:space="preserve">If you want, next passes we could:</w:t>
        <w:br w:type="textWrapping"/>
        <w:t xml:space="preserve">• do a </w:t>
      </w:r>
      <w:r w:rsidDel="00000000" w:rsidR="00000000" w:rsidRPr="00000000">
        <w:rPr>
          <w:b w:val="1"/>
          <w:bCs w:val="1"/>
          <w:rtl w:val="0"/>
        </w:rPr>
        <w:t xml:space="preserve">skeptical-reader stress test</w:t>
      </w:r>
      <w:r w:rsidDel="00000000" w:rsidR="00000000" w:rsidRPr="00000000">
        <w:rPr>
          <w:rtl w:val="0"/>
        </w:rPr>
        <w:t xml:space="preserve"> (where will scientists / engineers bristle?)</w:t>
        <w:br w:type="textWrapping"/>
        <w:t xml:space="preserve">• produce a </w:t>
      </w:r>
      <w:r w:rsidDel="00000000" w:rsidR="00000000" w:rsidRPr="00000000">
        <w:rPr>
          <w:b w:val="1"/>
          <w:bCs w:val="1"/>
          <w:rtl w:val="0"/>
        </w:rPr>
        <w:t xml:space="preserve">leaner “publisher-safe” variant</w:t>
      </w:r>
      <w:r w:rsidDel="00000000" w:rsidR="00000000" w:rsidRPr="00000000">
        <w:rPr>
          <w:rtl w:val="0"/>
        </w:rPr>
        <w:t xml:space="preserve"> without losing edge</w:t>
        <w:br w:type="textWrapping"/>
        <w:t xml:space="preserve">• or tune this specifically for Woven Web as a </w:t>
      </w:r>
      <w:r w:rsidDel="00000000" w:rsidR="00000000" w:rsidRPr="00000000">
        <w:rPr>
          <w:i w:val="1"/>
          <w:iCs w:val="1"/>
          <w:rtl w:val="0"/>
        </w:rPr>
        <w:t xml:space="preserve">software-first</w:t>
      </w:r>
      <w:r w:rsidDel="00000000" w:rsidR="00000000" w:rsidRPr="00000000">
        <w:rPr>
          <w:rtl w:val="0"/>
        </w:rPr>
        <w:t xml:space="preserve"> book, not a metaphysical one</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Just tell me which lens you want to put on it next.</w:t>
      </w:r>
    </w:p>
    <w:p w:rsidR="00000000" w:rsidDel="00000000" w:rsidP="00000000" w:rsidRDefault="00000000" w:rsidRPr="00000000" w14:paraId="00000011">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