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34.4" w:top="720" w:left="720" w:right="720" w:header="720" w:footer="720"/>
          <w:pgNumType w:start="1"/>
        </w:sectPr>
      </w:pPr>
      <w:bookmarkStart w:colFirst="0" w:colLast="0" w:name="_cuikrl7e115w" w:id="0"/>
      <w:bookmarkEnd w:id="0"/>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Core pitch options</w:t>
      </w:r>
      <w:r w:rsidDel="00000000" w:rsidR="00000000" w:rsidRPr="00000000">
        <w:rPr>
          <w:rtl w:val="0"/>
        </w:rPr>
      </w:r>
    </w:p>
    <w:p w:rsidR="00000000" w:rsidDel="00000000" w:rsidP="00000000" w:rsidRDefault="00000000" w:rsidRPr="00000000" w14:paraId="00000002">
      <w:pPr>
        <w:pStyle w:val="Heading2"/>
        <w:rPr/>
      </w:pPr>
      <w:bookmarkStart w:colFirst="0" w:colLast="0" w:name="_h3uxi2a7q3to" w:id="1"/>
      <w:bookmarkEnd w:id="1"/>
      <w:r w:rsidDel="00000000" w:rsidR="00000000" w:rsidRPr="00000000">
        <w:rPr>
          <w:rtl w:val="0"/>
        </w:rPr>
        <w:t xml:space="preserve">Core pitch options</w:t>
      </w:r>
    </w:p>
    <w:p w:rsidR="00000000" w:rsidDel="00000000" w:rsidP="00000000" w:rsidRDefault="00000000" w:rsidRPr="00000000" w14:paraId="00000003">
      <w:pPr>
        <w:rPr/>
      </w:pPr>
      <w:r w:rsidDel="00000000" w:rsidR="00000000" w:rsidRPr="00000000">
        <w:rPr>
          <w:b w:val="1"/>
          <w:bCs w:val="1"/>
          <w:rtl w:val="0"/>
        </w:rPr>
        <w:t xml:space="preserve">For data scientists / technical skeptics</w:t>
      </w:r>
      <w:r w:rsidDel="00000000" w:rsidR="00000000" w:rsidRPr="00000000">
        <w:rPr>
          <w:rtl w:val="0"/>
        </w:rPr>
        <w:br w:type="textWrapping"/>
        <w:t xml:space="preserve">Symbolic Empiricism is a disciplined, data-driven framework that treats ancient symbolic structures as testable, measurable data topologies rather than dogma. It functions like applied Information Theory for qualitative experience, using geometric data structures to model and test patterns in human perception and behavior.</w:t>
      </w:r>
    </w:p>
    <w:p w:rsidR="00000000" w:rsidDel="00000000" w:rsidP="00000000" w:rsidRDefault="00000000" w:rsidRPr="00000000" w14:paraId="00000004">
      <w:pPr>
        <w:rPr/>
      </w:pPr>
      <w:r w:rsidDel="00000000" w:rsidR="00000000" w:rsidRPr="00000000">
        <w:rPr>
          <w:b w:val="1"/>
          <w:bCs w:val="1"/>
          <w:rtl w:val="0"/>
        </w:rPr>
        <w:t xml:space="preserve">For philosophers / theory-minded people</w:t>
      </w:r>
      <w:r w:rsidDel="00000000" w:rsidR="00000000" w:rsidRPr="00000000">
        <w:rPr>
          <w:rtl w:val="0"/>
        </w:rPr>
        <w:br w:type="textWrapping"/>
        <w:t xml:space="preserve">Symbolic Empiricism is Rational Mysticism in practice: an experiment in measuring coherence rather than enforcing belief. It audits the structural intelligence of Jungian archetypes using computational and formal methods, probing whether our meaning-making architectures exhibit lawful, information-theoretic patterns.</w:t>
      </w:r>
    </w:p>
    <w:p w:rsidR="00000000" w:rsidDel="00000000" w:rsidP="00000000" w:rsidRDefault="00000000" w:rsidRPr="00000000" w14:paraId="00000005">
      <w:pPr>
        <w:rPr/>
      </w:pPr>
      <w:r w:rsidDel="00000000" w:rsidR="00000000" w:rsidRPr="00000000">
        <w:rPr>
          <w:b w:val="1"/>
          <w:bCs w:val="1"/>
          <w:rtl w:val="0"/>
        </w:rPr>
        <w:t xml:space="preserve">For pragmatists / applied thinkers</w:t>
      </w:r>
      <w:r w:rsidDel="00000000" w:rsidR="00000000" w:rsidRPr="00000000">
        <w:rPr>
          <w:rtl w:val="0"/>
        </w:rPr>
        <w:br w:type="textWrapping"/>
        <w:t xml:space="preserve">This is not about horoscopes; it is about measurable resonance. Symbolic Empiricism uses geometric data structures as a non-reductive informational map to test probabilistic coherence between defined symbolic patterns and lived reality, offering a new kind of qualitative analytics for self-knowledge, design, and decision support.</w:t>
      </w:r>
    </w:p>
    <w:p w:rsidR="00000000" w:rsidDel="00000000" w:rsidP="00000000" w:rsidRDefault="00000000" w:rsidRPr="00000000" w14:paraId="00000006">
      <w:pPr>
        <w:pStyle w:val="Heading2"/>
        <w:rPr/>
      </w:pPr>
      <w:bookmarkStart w:colFirst="0" w:colLast="0" w:name="_b2afnvilr44t" w:id="2"/>
      <w:bookmarkEnd w:id="2"/>
      <w:r w:rsidDel="00000000" w:rsidR="00000000" w:rsidRPr="00000000">
        <w:rPr>
          <w:rtl w:val="0"/>
        </w:rPr>
        <w:t xml:space="preserve">What Symbolic Empiricism is</w:t>
      </w:r>
    </w:p>
    <w:p w:rsidR="00000000" w:rsidDel="00000000" w:rsidP="00000000" w:rsidRDefault="00000000" w:rsidRPr="00000000" w14:paraId="00000007">
      <w:pPr>
        <w:rPr/>
      </w:pPr>
      <w:r w:rsidDel="00000000" w:rsidR="00000000" w:rsidRPr="00000000">
        <w:rPr>
          <w:rtl w:val="0"/>
        </w:rPr>
        <w:t xml:space="preserve">Symbolic Empiricism is an ongoing experiment in applying precision measurement and computational rigor to the intersection of symbolic structure, meaning, and human perception. It treats symbols as structured information that can be modeled, queried, and stress-tested rather than as mystical revelations.</w:t>
      </w:r>
    </w:p>
    <w:p w:rsidR="00000000" w:rsidDel="00000000" w:rsidP="00000000" w:rsidRDefault="00000000" w:rsidRPr="00000000" w14:paraId="00000008">
      <w:pPr>
        <w:pStyle w:val="Heading2"/>
        <w:rPr/>
      </w:pPr>
      <w:bookmarkStart w:colFirst="0" w:colLast="0" w:name="_b7nodryz97" w:id="3"/>
      <w:bookmarkEnd w:id="3"/>
      <w:r w:rsidDel="00000000" w:rsidR="00000000" w:rsidRPr="00000000">
        <w:rPr>
          <w:rtl w:val="0"/>
        </w:rPr>
        <w:t xml:space="preserve">Not astrology: four clean distinctions</w:t>
      </w:r>
    </w:p>
    <w:p w:rsidR="00000000" w:rsidDel="00000000" w:rsidP="00000000" w:rsidRDefault="00000000" w:rsidRPr="00000000" w14:paraId="00000009">
      <w:pPr>
        <w:rPr/>
      </w:pPr>
      <w:r w:rsidDel="00000000" w:rsidR="00000000" w:rsidRPr="00000000">
        <w:rPr>
          <w:b w:val="1"/>
          <w:bCs w:val="1"/>
          <w:rtl w:val="0"/>
        </w:rPr>
        <w:t xml:space="preserve">1. Auditing geometry, not belief</w:t>
      </w:r>
      <w:r w:rsidDel="00000000" w:rsidR="00000000" w:rsidRPr="00000000">
        <w:rPr>
          <w:rtl w:val="0"/>
        </w:rPr>
      </w:r>
    </w:p>
    <w:p w:rsidR="00000000" w:rsidDel="00000000" w:rsidP="00000000" w:rsidRDefault="00000000" w:rsidRPr="00000000" w14:paraId="0000000A">
      <w:pPr>
        <w:numPr>
          <w:ilvl w:val="0"/>
          <w:numId w:val="1"/>
        </w:numPr>
        <w:spacing w:after="0" w:afterAutospacing="0"/>
        <w:ind w:left="720" w:hanging="360"/>
      </w:pPr>
      <w:r w:rsidDel="00000000" w:rsidR="00000000" w:rsidRPr="00000000">
        <w:rPr>
          <w:rtl w:val="0"/>
        </w:rPr>
        <w:t xml:space="preserve">Celestial and geometric configurations are treated as data structures and informational topologies, not as metaphysical authorities.</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The question is always: “Do these shapes encode reusable, compressible information about experience?”—not “What do the stars say about you?”</w:t>
      </w:r>
    </w:p>
    <w:p w:rsidR="00000000" w:rsidDel="00000000" w:rsidP="00000000" w:rsidRDefault="00000000" w:rsidRPr="00000000" w14:paraId="0000000C">
      <w:pPr>
        <w:rPr/>
      </w:pPr>
      <w:r w:rsidDel="00000000" w:rsidR="00000000" w:rsidRPr="00000000">
        <w:rPr>
          <w:b w:val="1"/>
          <w:bCs w:val="1"/>
          <w:rtl w:val="0"/>
        </w:rPr>
        <w:t xml:space="preserve">2. Measuring resonance, not fate</w:t>
      </w:r>
      <w:r w:rsidDel="00000000" w:rsidR="00000000" w:rsidRPr="00000000">
        <w:rPr>
          <w:rtl w:val="0"/>
        </w:rPr>
      </w:r>
    </w:p>
    <w:p w:rsidR="00000000" w:rsidDel="00000000" w:rsidP="00000000" w:rsidRDefault="00000000" w:rsidRPr="00000000" w14:paraId="0000000D">
      <w:pPr>
        <w:numPr>
          <w:ilvl w:val="0"/>
          <w:numId w:val="1"/>
        </w:numPr>
        <w:spacing w:after="0" w:afterAutospacing="0"/>
        <w:ind w:left="720" w:hanging="360"/>
      </w:pPr>
      <w:r w:rsidDel="00000000" w:rsidR="00000000" w:rsidRPr="00000000">
        <w:rPr>
          <w:rtl w:val="0"/>
        </w:rPr>
        <w:t xml:space="preserve">The target variable is Resonance: statistical and structural coherence between a specific symbolic configuration and clusters of real-world narratives, choices, and outcomes.</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This shifts the frame from deterministic prediction (“what will happen?”) to probabilistic pattern detection (“what kinds of experiences tend to co-occur with this symbolic pattern?”).</w:t>
      </w:r>
    </w:p>
    <w:p w:rsidR="00000000" w:rsidDel="00000000" w:rsidP="00000000" w:rsidRDefault="00000000" w:rsidRPr="00000000" w14:paraId="0000000F">
      <w:pPr>
        <w:rPr/>
      </w:pPr>
      <w:r w:rsidDel="00000000" w:rsidR="00000000" w:rsidRPr="00000000">
        <w:rPr>
          <w:b w:val="1"/>
          <w:bCs w:val="1"/>
          <w:rtl w:val="0"/>
        </w:rPr>
        <w:t xml:space="preserve">3. Rigor meets archetype (computational Jung)</w:t>
      </w:r>
      <w:r w:rsidDel="00000000" w:rsidR="00000000" w:rsidRPr="00000000">
        <w:rPr>
          <w:rtl w:val="0"/>
        </w:rPr>
      </w:r>
    </w:p>
    <w:p w:rsidR="00000000" w:rsidDel="00000000" w:rsidP="00000000" w:rsidRDefault="00000000" w:rsidRPr="00000000" w14:paraId="00000010">
      <w:pPr>
        <w:numPr>
          <w:ilvl w:val="0"/>
          <w:numId w:val="1"/>
        </w:numPr>
        <w:spacing w:after="0" w:afterAutospacing="0"/>
        <w:ind w:left="720" w:hanging="360"/>
      </w:pPr>
      <w:r w:rsidDel="00000000" w:rsidR="00000000" w:rsidRPr="00000000">
        <w:rPr>
          <w:rtl w:val="0"/>
        </w:rPr>
        <w:t xml:space="preserve">Archetypes are treated as hypotheses about recurring information patterns in psyche and culture that can be operationalized, encoded, and stress-tested.</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The work is to build measurable infrastructure—ontologies, feature sets, similarity metrics, and models—that can confirm, disconfirm, or refine Jungian claims rather than merely interpret them.</w:t>
      </w:r>
    </w:p>
    <w:p w:rsidR="00000000" w:rsidDel="00000000" w:rsidP="00000000" w:rsidRDefault="00000000" w:rsidRPr="00000000" w14:paraId="00000012">
      <w:pPr>
        <w:rPr/>
      </w:pPr>
      <w:r w:rsidDel="00000000" w:rsidR="00000000" w:rsidRPr="00000000">
        <w:rPr>
          <w:b w:val="1"/>
          <w:bCs w:val="1"/>
          <w:rtl w:val="0"/>
        </w:rPr>
        <w:t xml:space="preserve">4. Rational Mysticism (data and meaning)</w:t>
      </w:r>
      <w:r w:rsidDel="00000000" w:rsidR="00000000" w:rsidRPr="00000000">
        <w:rPr>
          <w:rtl w:val="0"/>
        </w:rPr>
      </w:r>
    </w:p>
    <w:p w:rsidR="00000000" w:rsidDel="00000000" w:rsidP="00000000" w:rsidRDefault="00000000" w:rsidRPr="00000000" w14:paraId="00000013">
      <w:pPr>
        <w:numPr>
          <w:ilvl w:val="0"/>
          <w:numId w:val="1"/>
        </w:numPr>
        <w:spacing w:after="0" w:afterAutospacing="0"/>
        <w:ind w:left="720" w:hanging="360"/>
      </w:pPr>
      <w:r w:rsidDel="00000000" w:rsidR="00000000" w:rsidRPr="00000000">
        <w:rPr>
          <w:rtl w:val="0"/>
        </w:rPr>
        <w:t xml:space="preserve">All claims are defended in terms of observable distributions, effect sizes, and structural regularities, even when the ultimate mechanism remains unknown.</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The stance is “information realist but mechanism-agnostic”: synchronicities are treated as possible signatures of a deeper informational order, while maintaining strict discipline about what the data actually justifies.</w:t>
      </w:r>
    </w:p>
    <w:p w:rsidR="00000000" w:rsidDel="00000000" w:rsidP="00000000" w:rsidRDefault="00000000" w:rsidRPr="00000000" w14:paraId="00000015">
      <w:pPr>
        <w:pStyle w:val="Heading2"/>
        <w:rPr/>
      </w:pPr>
      <w:bookmarkStart w:colFirst="0" w:colLast="0" w:name="_9n50d4oq1a1e" w:id="4"/>
      <w:bookmarkEnd w:id="4"/>
      <w:r w:rsidDel="00000000" w:rsidR="00000000" w:rsidRPr="00000000">
        <w:rPr>
          <w:rtl w:val="0"/>
        </w:rPr>
        <w:t xml:space="preserve">A compact “elevator” version</w:t>
      </w:r>
    </w:p>
    <w:p w:rsidR="00000000" w:rsidDel="00000000" w:rsidP="00000000" w:rsidRDefault="00000000" w:rsidRPr="00000000" w14:paraId="00000016">
      <w:pPr>
        <w:rPr/>
        <w:sectPr>
          <w:type w:val="nextPage"/>
          <w:pgSz w:h="15840" w:w="12240" w:orient="portrait"/>
          <w:pgMar w:bottom="734.4" w:top="720" w:left="720" w:right="720" w:header="720" w:footer="720"/>
          <w:pgNumType w:start="1"/>
        </w:sectPr>
      </w:pPr>
      <w:r w:rsidDel="00000000" w:rsidR="00000000" w:rsidRPr="00000000">
        <w:rPr>
          <w:rtl w:val="0"/>
        </w:rPr>
        <w:t xml:space="preserve">Symbolic Empiricism is a research program that uses geometric and computational models to test whether traditional symbolic systems carry real, reusable information about human experience. It is consciously “not astrology”: no fate, no metaphysical guarantees—only hypotheses about resonance, evaluated with the same skepticism and methodological care brought to any other noisy, high-dimensional dataset.</w:t>
      </w:r>
    </w:p>
    <w:p w:rsidR="00000000" w:rsidDel="00000000" w:rsidP="00000000" w:rsidRDefault="00000000" w:rsidRPr="00000000" w14:paraId="000000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34.4" w:top="720" w:left="720" w:right="720" w:header="720" w:footer="720"/>
          <w:pgNumType w:start="1"/>
        </w:sectPr>
      </w:pPr>
      <w:bookmarkStart w:colFirst="0" w:colLast="0" w:name="_eg3ru24fciq5" w:id="5"/>
      <w:bookmarkEnd w:id="5"/>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Anti-Dread</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process of defining core pitch options for a system like </w:t>
      </w:r>
      <w:r w:rsidDel="00000000" w:rsidR="00000000" w:rsidRPr="00000000">
        <w:rPr>
          <w:i w:val="1"/>
          <w:iCs w:val="1"/>
          <w:rtl w:val="0"/>
        </w:rPr>
        <w:t xml:space="preserve">The Woven Map</w:t>
      </w:r>
      <w:r w:rsidDel="00000000" w:rsidR="00000000" w:rsidRPr="00000000">
        <w:rPr>
          <w:rtl w:val="0"/>
        </w:rPr>
        <w:t xml:space="preserve"> requires adopting a position of model agnosticism, treating each framing as a provisional tool designed for utility rather than a final statement of truth. These core pitch angles exist to answer the skeptic's question: "What is the practical use?".</w:t>
      </w:r>
    </w:p>
    <w:p w:rsidR="00000000" w:rsidDel="00000000" w:rsidP="00000000" w:rsidRDefault="00000000" w:rsidRPr="00000000" w14:paraId="00000019">
      <w:pPr>
        <w:rPr/>
      </w:pPr>
      <w:r w:rsidDel="00000000" w:rsidR="00000000" w:rsidRPr="00000000">
        <w:rPr>
          <w:rtl w:val="0"/>
        </w:rPr>
        <w:t xml:space="preserve">The sources identify three distinct positioning angles, or pitch options, for marketing the system, moving beyond generic spiritual platitudes to focus on specific user needs and values:</w:t>
      </w:r>
    </w:p>
    <w:p w:rsidR="00000000" w:rsidDel="00000000" w:rsidP="00000000" w:rsidRDefault="00000000" w:rsidRPr="00000000" w14:paraId="0000001A">
      <w:pPr>
        <w:pStyle w:val="Heading3"/>
        <w:rPr/>
      </w:pPr>
      <w:bookmarkStart w:colFirst="0" w:colLast="0" w:name="_2yjde6i7sune" w:id="6"/>
      <w:bookmarkEnd w:id="6"/>
      <w:r w:rsidDel="00000000" w:rsidR="00000000" w:rsidRPr="00000000">
        <w:rPr>
          <w:rtl w:val="0"/>
        </w:rPr>
        <w:t xml:space="preserve">1. The Anti-Dread App</w:t>
      </w:r>
    </w:p>
    <w:p w:rsidR="00000000" w:rsidDel="00000000" w:rsidP="00000000" w:rsidRDefault="00000000" w:rsidRPr="00000000" w14:paraId="0000001B">
      <w:pPr>
        <w:rPr/>
      </w:pPr>
      <w:r w:rsidDel="00000000" w:rsidR="00000000" w:rsidRPr="00000000">
        <w:rPr>
          <w:rtl w:val="0"/>
        </w:rPr>
        <w:t xml:space="preserve">This angle positions </w:t>
      </w:r>
      <w:r w:rsidDel="00000000" w:rsidR="00000000" w:rsidRPr="00000000">
        <w:rPr>
          <w:i w:val="1"/>
          <w:iCs w:val="1"/>
          <w:rtl w:val="0"/>
        </w:rPr>
        <w:t xml:space="preserve">The Woven Map</w:t>
      </w:r>
      <w:r w:rsidDel="00000000" w:rsidR="00000000" w:rsidRPr="00000000">
        <w:rPr>
          <w:rtl w:val="0"/>
        </w:rPr>
        <w:t xml:space="preserve"> as a tool for psychological clarity and groundedness.</w:t>
      </w:r>
    </w:p>
    <w:p w:rsidR="00000000" w:rsidDel="00000000" w:rsidP="00000000" w:rsidRDefault="00000000" w:rsidRPr="00000000" w14:paraId="0000001C">
      <w:pPr>
        <w:numPr>
          <w:ilvl w:val="0"/>
          <w:numId w:val="2"/>
        </w:numPr>
        <w:spacing w:after="0" w:afterAutospacing="0"/>
        <w:ind w:left="720" w:hanging="360"/>
      </w:pPr>
      <w:r w:rsidDel="00000000" w:rsidR="00000000" w:rsidRPr="00000000">
        <w:rPr>
          <w:b w:val="1"/>
          <w:bCs w:val="1"/>
          <w:rtl w:val="0"/>
        </w:rPr>
        <w:t xml:space="preserve">Primary Value:</w:t>
      </w:r>
      <w:r w:rsidDel="00000000" w:rsidR="00000000" w:rsidRPr="00000000">
        <w:rPr>
          <w:rtl w:val="0"/>
        </w:rPr>
        <w:t xml:space="preserve"> It helps replace vague, formless anxiety with specific, definable pressure points (what we call "pain with coordinates").</w:t>
      </w:r>
    </w:p>
    <w:p w:rsidR="00000000" w:rsidDel="00000000" w:rsidP="00000000" w:rsidRDefault="00000000" w:rsidRPr="00000000" w14:paraId="0000001D">
      <w:pPr>
        <w:numPr>
          <w:ilvl w:val="0"/>
          <w:numId w:val="2"/>
        </w:numPr>
        <w:spacing w:after="0" w:afterAutospacing="0"/>
        <w:ind w:left="720" w:hanging="360"/>
      </w:pPr>
      <w:r w:rsidDel="00000000" w:rsidR="00000000" w:rsidRPr="00000000">
        <w:rPr>
          <w:b w:val="1"/>
          <w:bCs w:val="1"/>
          <w:rtl w:val="0"/>
        </w:rPr>
        <w:t xml:space="preserve">Goal:</w:t>
      </w:r>
      <w:r w:rsidDel="00000000" w:rsidR="00000000" w:rsidRPr="00000000">
        <w:rPr>
          <w:rtl w:val="0"/>
        </w:rPr>
        <w:t xml:space="preserve"> To enable users to face their fears head-on by naming what is coming, thereby finding strength in vulnerability.</w:t>
      </w:r>
    </w:p>
    <w:p w:rsidR="00000000" w:rsidDel="00000000" w:rsidP="00000000" w:rsidRDefault="00000000" w:rsidRPr="00000000" w14:paraId="0000001E">
      <w:pPr>
        <w:numPr>
          <w:ilvl w:val="0"/>
          <w:numId w:val="2"/>
        </w:numPr>
        <w:ind w:left="720" w:hanging="360"/>
      </w:pPr>
      <w:r w:rsidDel="00000000" w:rsidR="00000000" w:rsidRPr="00000000">
        <w:rPr>
          <w:b w:val="1"/>
          <w:bCs w:val="1"/>
          <w:rtl w:val="0"/>
        </w:rPr>
        <w:t xml:space="preserve">Tagline:</w:t>
      </w:r>
      <w:r w:rsidDel="00000000" w:rsidR="00000000" w:rsidRPr="00000000">
        <w:rPr>
          <w:rtl w:val="0"/>
        </w:rPr>
        <w:t xml:space="preserve"> "Your map for what's coming. Not so you can fear it, but so you can name it.".</w:t>
      </w:r>
    </w:p>
    <w:p w:rsidR="00000000" w:rsidDel="00000000" w:rsidP="00000000" w:rsidRDefault="00000000" w:rsidRPr="00000000" w14:paraId="0000001F">
      <w:pPr>
        <w:pStyle w:val="Heading3"/>
        <w:rPr/>
      </w:pPr>
      <w:bookmarkStart w:colFirst="0" w:colLast="0" w:name="_pt1f7ty287ka" w:id="7"/>
      <w:bookmarkEnd w:id="7"/>
      <w:r w:rsidDel="00000000" w:rsidR="00000000" w:rsidRPr="00000000">
        <w:rPr>
          <w:rtl w:val="0"/>
        </w:rPr>
        <w:t xml:space="preserve">2. The Compass for Life Transitions</w:t>
      </w:r>
    </w:p>
    <w:p w:rsidR="00000000" w:rsidDel="00000000" w:rsidP="00000000" w:rsidRDefault="00000000" w:rsidRPr="00000000" w14:paraId="00000020">
      <w:pPr>
        <w:rPr/>
      </w:pPr>
      <w:r w:rsidDel="00000000" w:rsidR="00000000" w:rsidRPr="00000000">
        <w:rPr>
          <w:rtl w:val="0"/>
        </w:rPr>
        <w:t xml:space="preserve">This angle expands the system's utility beyond general anxiety and focuses on navigating major life contractions and expansions.</w:t>
      </w:r>
    </w:p>
    <w:p w:rsidR="00000000" w:rsidDel="00000000" w:rsidP="00000000" w:rsidRDefault="00000000" w:rsidRPr="00000000" w14:paraId="00000021">
      <w:pPr>
        <w:numPr>
          <w:ilvl w:val="0"/>
          <w:numId w:val="2"/>
        </w:numPr>
        <w:spacing w:after="0" w:afterAutospacing="0"/>
        <w:ind w:left="720" w:hanging="360"/>
      </w:pPr>
      <w:r w:rsidDel="00000000" w:rsidR="00000000" w:rsidRPr="00000000">
        <w:rPr>
          <w:b w:val="1"/>
          <w:bCs w:val="1"/>
          <w:rtl w:val="0"/>
        </w:rPr>
        <w:t xml:space="preserve">Primary Value:</w:t>
      </w:r>
      <w:r w:rsidDel="00000000" w:rsidR="00000000" w:rsidRPr="00000000">
        <w:rPr>
          <w:rtl w:val="0"/>
        </w:rPr>
        <w:t xml:space="preserve"> It provides a framework for navigating life's messiest parts, such as divorce, career shifts, or health crises. It acts as a non-judgmental guide for understanding the terrain between a "before" and "after" state.</w:t>
      </w:r>
    </w:p>
    <w:p w:rsidR="00000000" w:rsidDel="00000000" w:rsidP="00000000" w:rsidRDefault="00000000" w:rsidRPr="00000000" w14:paraId="00000022">
      <w:pPr>
        <w:numPr>
          <w:ilvl w:val="0"/>
          <w:numId w:val="2"/>
        </w:numPr>
        <w:spacing w:after="0" w:afterAutospacing="0"/>
        <w:ind w:left="720" w:hanging="360"/>
      </w:pPr>
      <w:r w:rsidDel="00000000" w:rsidR="00000000" w:rsidRPr="00000000">
        <w:rPr>
          <w:b w:val="1"/>
          <w:bCs w:val="1"/>
          <w:rtl w:val="0"/>
        </w:rPr>
        <w:t xml:space="preserve">Goal:</w:t>
      </w:r>
      <w:r w:rsidDel="00000000" w:rsidR="00000000" w:rsidRPr="00000000">
        <w:rPr>
          <w:rtl w:val="0"/>
        </w:rPr>
        <w:t xml:space="preserve"> To help users find context and structure during periods of radical change.</w:t>
      </w:r>
    </w:p>
    <w:p w:rsidR="00000000" w:rsidDel="00000000" w:rsidP="00000000" w:rsidRDefault="00000000" w:rsidRPr="00000000" w14:paraId="00000023">
      <w:pPr>
        <w:numPr>
          <w:ilvl w:val="0"/>
          <w:numId w:val="2"/>
        </w:numPr>
        <w:ind w:left="720" w:hanging="360"/>
      </w:pPr>
      <w:r w:rsidDel="00000000" w:rsidR="00000000" w:rsidRPr="00000000">
        <w:rPr>
          <w:b w:val="1"/>
          <w:bCs w:val="1"/>
          <w:rtl w:val="0"/>
        </w:rPr>
        <w:t xml:space="preserve">Tagline:</w:t>
      </w:r>
      <w:r w:rsidDel="00000000" w:rsidR="00000000" w:rsidRPr="00000000">
        <w:rPr>
          <w:rtl w:val="0"/>
        </w:rPr>
        <w:t xml:space="preserve"> "Maps for the messiest parts of the human story.".</w:t>
      </w:r>
    </w:p>
    <w:p w:rsidR="00000000" w:rsidDel="00000000" w:rsidP="00000000" w:rsidRDefault="00000000" w:rsidRPr="00000000" w14:paraId="00000024">
      <w:pPr>
        <w:pStyle w:val="Heading3"/>
        <w:rPr/>
      </w:pPr>
      <w:bookmarkStart w:colFirst="0" w:colLast="0" w:name="_crbxr69yak13" w:id="8"/>
      <w:bookmarkEnd w:id="8"/>
      <w:r w:rsidDel="00000000" w:rsidR="00000000" w:rsidRPr="00000000">
        <w:rPr>
          <w:rtl w:val="0"/>
        </w:rPr>
        <w:t xml:space="preserve">3. The Narrative Engine</w:t>
      </w:r>
    </w:p>
    <w:p w:rsidR="00000000" w:rsidDel="00000000" w:rsidP="00000000" w:rsidRDefault="00000000" w:rsidRPr="00000000" w14:paraId="00000025">
      <w:pPr>
        <w:rPr/>
      </w:pPr>
      <w:r w:rsidDel="00000000" w:rsidR="00000000" w:rsidRPr="00000000">
        <w:rPr>
          <w:rtl w:val="0"/>
        </w:rPr>
        <w:t xml:space="preserve">This angle reframes the system as a creative and analytical instrument, targeting professionals who work with archetypal patterns and story.</w:t>
      </w:r>
    </w:p>
    <w:p w:rsidR="00000000" w:rsidDel="00000000" w:rsidP="00000000" w:rsidRDefault="00000000" w:rsidRPr="00000000" w14:paraId="00000026">
      <w:pPr>
        <w:numPr>
          <w:ilvl w:val="0"/>
          <w:numId w:val="2"/>
        </w:numPr>
        <w:spacing w:after="0" w:afterAutospacing="0"/>
        <w:ind w:left="720" w:hanging="360"/>
      </w:pPr>
      <w:r w:rsidDel="00000000" w:rsidR="00000000" w:rsidRPr="00000000">
        <w:rPr>
          <w:b w:val="1"/>
          <w:bCs w:val="1"/>
          <w:rtl w:val="0"/>
        </w:rPr>
        <w:t xml:space="preserve">Primary Value:</w:t>
      </w:r>
      <w:r w:rsidDel="00000000" w:rsidR="00000000" w:rsidRPr="00000000">
        <w:rPr>
          <w:rtl w:val="0"/>
        </w:rPr>
        <w:t xml:space="preserve"> It serves as a symbolic research and ideation tool.</w:t>
      </w:r>
    </w:p>
    <w:p w:rsidR="00000000" w:rsidDel="00000000" w:rsidP="00000000" w:rsidRDefault="00000000" w:rsidRPr="00000000" w14:paraId="00000027">
      <w:pPr>
        <w:numPr>
          <w:ilvl w:val="0"/>
          <w:numId w:val="2"/>
        </w:numPr>
        <w:spacing w:after="0" w:afterAutospacing="0"/>
        <w:ind w:left="720" w:hanging="360"/>
      </w:pPr>
      <w:r w:rsidDel="00000000" w:rsidR="00000000" w:rsidRPr="00000000">
        <w:rPr>
          <w:b w:val="1"/>
          <w:bCs w:val="1"/>
          <w:rtl w:val="0"/>
        </w:rPr>
        <w:t xml:space="preserve">Target Audience:</w:t>
      </w:r>
      <w:r w:rsidDel="00000000" w:rsidR="00000000" w:rsidRPr="00000000">
        <w:rPr>
          <w:rtl w:val="0"/>
        </w:rPr>
        <w:t xml:space="preserve"> Creative professionals, including writers, filmmakers, artists, and historians.</w:t>
      </w:r>
    </w:p>
    <w:p w:rsidR="00000000" w:rsidDel="00000000" w:rsidP="00000000" w:rsidRDefault="00000000" w:rsidRPr="00000000" w14:paraId="00000028">
      <w:pPr>
        <w:numPr>
          <w:ilvl w:val="0"/>
          <w:numId w:val="2"/>
        </w:numPr>
        <w:spacing w:after="0" w:afterAutospacing="0"/>
        <w:ind w:left="720" w:hanging="360"/>
      </w:pPr>
      <w:r w:rsidDel="00000000" w:rsidR="00000000" w:rsidRPr="00000000">
        <w:rPr>
          <w:b w:val="1"/>
          <w:bCs w:val="1"/>
          <w:rtl w:val="0"/>
        </w:rPr>
        <w:t xml:space="preserve">Goal:</w:t>
      </w:r>
      <w:r w:rsidDel="00000000" w:rsidR="00000000" w:rsidRPr="00000000">
        <w:rPr>
          <w:rtl w:val="0"/>
        </w:rPr>
        <w:t xml:space="preserve"> To find symbolic correlations in historical timelines, craft character arcs, or build dramatic tension based on the </w:t>
      </w:r>
      <w:r w:rsidDel="00000000" w:rsidR="00000000" w:rsidRPr="00000000">
        <w:rPr>
          <w:i w:val="1"/>
          <w:iCs w:val="1"/>
          <w:rtl w:val="0"/>
        </w:rPr>
        <w:t xml:space="preserve">underlying code of human experience</w:t>
      </w:r>
      <w:r w:rsidDel="00000000" w:rsidR="00000000" w:rsidRPr="00000000">
        <w:rPr>
          <w:rtl w:val="0"/>
        </w:rPr>
        <w:t xml:space="preserve">.</w:t>
      </w:r>
    </w:p>
    <w:p w:rsidR="00000000" w:rsidDel="00000000" w:rsidP="00000000" w:rsidRDefault="00000000" w:rsidRPr="00000000" w14:paraId="00000029">
      <w:pPr>
        <w:numPr>
          <w:ilvl w:val="0"/>
          <w:numId w:val="2"/>
        </w:numPr>
        <w:ind w:left="720" w:hanging="360"/>
      </w:pPr>
      <w:r w:rsidDel="00000000" w:rsidR="00000000" w:rsidRPr="00000000">
        <w:rPr>
          <w:b w:val="1"/>
          <w:bCs w:val="1"/>
          <w:rtl w:val="0"/>
        </w:rPr>
        <w:t xml:space="preserve">Tagline:</w:t>
      </w:r>
      <w:r w:rsidDel="00000000" w:rsidR="00000000" w:rsidRPr="00000000">
        <w:rPr>
          <w:rtl w:val="0"/>
        </w:rPr>
        <w:t xml:space="preserve"> "The underlying code of human experience.".</w:t>
      </w:r>
    </w:p>
    <w:p w:rsidR="00000000" w:rsidDel="00000000" w:rsidP="00000000" w:rsidRDefault="00000000" w:rsidRPr="00000000" w14:paraId="0000002A">
      <w:pPr>
        <w:pStyle w:val="Heading3"/>
        <w:rPr/>
      </w:pPr>
      <w:bookmarkStart w:colFirst="0" w:colLast="0" w:name="_fpz4yjrhwhkw" w:id="9"/>
      <w:bookmarkEnd w:id="9"/>
      <w:r w:rsidDel="00000000" w:rsidR="00000000" w:rsidRPr="00000000">
        <w:rPr>
          <w:rtl w:val="0"/>
        </w:rPr>
        <w:t xml:space="preserve">Overarching Positioning Philosophy</w:t>
      </w:r>
    </w:p>
    <w:p w:rsidR="00000000" w:rsidDel="00000000" w:rsidP="00000000" w:rsidRDefault="00000000" w:rsidRPr="00000000" w14:paraId="0000002B">
      <w:pPr>
        <w:rPr/>
      </w:pPr>
      <w:r w:rsidDel="00000000" w:rsidR="00000000" w:rsidRPr="00000000">
        <w:rPr>
          <w:rtl w:val="0"/>
        </w:rPr>
        <w:t xml:space="preserve">Regardless of the specific angle chosen, the system's overall strategy is to avoid being a "generic encouraging app". The general philosophical positioning of </w:t>
      </w:r>
      <w:r w:rsidDel="00000000" w:rsidR="00000000" w:rsidRPr="00000000">
        <w:rPr>
          <w:i w:val="1"/>
          <w:iCs w:val="1"/>
          <w:rtl w:val="0"/>
        </w:rPr>
        <w:t xml:space="preserve">The Woven Map</w:t>
      </w:r>
      <w:r w:rsidDel="00000000" w:rsidR="00000000" w:rsidRPr="00000000">
        <w:rPr>
          <w:rtl w:val="0"/>
        </w:rPr>
        <w:t xml:space="preserve"> is often summarized as: </w:t>
      </w:r>
      <w:r w:rsidDel="00000000" w:rsidR="00000000" w:rsidRPr="00000000">
        <w:rPr>
          <w:b w:val="1"/>
          <w:bCs w:val="1"/>
          <w:rtl w:val="0"/>
        </w:rPr>
        <w:t xml:space="preserve">"Jung meets Popper for the modern mystic"</w:t>
      </w:r>
      <w:r w:rsidDel="00000000" w:rsidR="00000000" w:rsidRPr="00000000">
        <w:rPr>
          <w:rtl w:val="0"/>
        </w:rPr>
        <w:t xml:space="preserve">. This ensures that the framework always leverages its built-in commitment to falsifiability—the capacity to acknowledge when a pattern does not resonate (an "Outside Symbolic Range" result or "OSR")—as the primary antidote to the stigma often associated with symbolic systems.</w:t>
      </w:r>
    </w:p>
    <w:p w:rsidR="00000000" w:rsidDel="00000000" w:rsidP="00000000" w:rsidRDefault="00000000" w:rsidRPr="00000000" w14:paraId="0000002C">
      <w:pPr>
        <w:rPr/>
      </w:pPr>
      <w:r w:rsidDel="00000000" w:rsidR="00000000" w:rsidRPr="00000000">
        <w:rPr>
          <w:rtl w:val="0"/>
        </w:rPr>
      </w:r>
    </w:p>
    <w:sectPr>
      <w:type w:val="nextPage"/>
      <w:pgSz w:h="15840" w:w="12240" w:orient="portrait"/>
      <w:pgMar w:bottom="734.4"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legrey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spacing w:after="160" w:line="259" w:lineRule="auto"/>
        <w:ind w:left="-3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rFonts w:ascii="Alegreya Sans" w:cs="Alegreya Sans" w:eastAsia="Alegreya Sans" w:hAnsi="Alegreya Sans"/>
      <w:sz w:val="36"/>
      <w:szCs w:val="36"/>
    </w:rPr>
  </w:style>
  <w:style w:type="paragraph" w:styleId="Heading2">
    <w:name w:val="heading 2"/>
    <w:basedOn w:val="Normal"/>
    <w:next w:val="Normal"/>
    <w:pPr>
      <w:pageBreakBefore w:val="0"/>
    </w:pPr>
    <w:rPr>
      <w:rFonts w:ascii="Alegreya Sans" w:cs="Alegreya Sans" w:eastAsia="Alegreya Sans" w:hAnsi="Alegreya Sans"/>
      <w:sz w:val="32"/>
      <w:szCs w:val="32"/>
    </w:rPr>
  </w:style>
  <w:style w:type="paragraph" w:styleId="Heading3">
    <w:name w:val="heading 3"/>
    <w:basedOn w:val="Normal"/>
    <w:next w:val="Normal"/>
    <w:pPr>
      <w:pageBreakBefore w:val="0"/>
    </w:pPr>
    <w:rPr>
      <w:rFonts w:ascii="Alegreya Sans" w:cs="Alegreya Sans" w:eastAsia="Alegreya Sans" w:hAnsi="Alegreya Sans"/>
      <w:sz w:val="28"/>
      <w:szCs w:val="28"/>
    </w:rPr>
  </w:style>
  <w:style w:type="paragraph" w:styleId="Heading4">
    <w:name w:val="heading 4"/>
    <w:basedOn w:val="Normal"/>
    <w:next w:val="Normal"/>
    <w:pPr>
      <w:keepNext w:val="1"/>
      <w:keepLines w:val="1"/>
      <w:pageBreakBefore w:val="0"/>
    </w:pPr>
    <w:rPr>
      <w:rFonts w:ascii="Alegreya Sans" w:cs="Alegreya Sans" w:eastAsia="Alegreya Sans" w:hAnsi="Alegreya Sans"/>
      <w:i w:val="1"/>
      <w:iCs w:val="1"/>
      <w:color w:val="1f4d78"/>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160" w:before="0" w:line="259" w:lineRule="auto"/>
      <w:ind w:left="0" w:right="0" w:firstLine="288"/>
      <w:jc w:val="left"/>
    </w:pPr>
    <w:rPr>
      <w:rFonts w:ascii="Calibri" w:cs="Calibri" w:eastAsia="Calibri" w:hAnsi="Calibri"/>
      <w:b w:val="0"/>
      <w:bCs w:val="0"/>
      <w:i w:val="0"/>
      <w:iCs w:val="0"/>
      <w:smallCaps w:val="0"/>
      <w:strike w:val="0"/>
      <w:color w:val="5a5a5a"/>
      <w:sz w:val="22"/>
      <w:szCs w:val="22"/>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legreyaSans-regular.ttf"/><Relationship Id="rId2" Type="http://schemas.openxmlformats.org/officeDocument/2006/relationships/font" Target="fonts/AlegreyaSans-bold.ttf"/><Relationship Id="rId3" Type="http://schemas.openxmlformats.org/officeDocument/2006/relationships/font" Target="fonts/AlegreyaSans-italic.ttf"/><Relationship Id="rId4" Type="http://schemas.openxmlformats.org/officeDocument/2006/relationships/font" Target="fonts/Alegrey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