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i w:val="0"/>
          <w:sz w:val="36"/>
        </w:rPr>
        <w:t>V9 智能投研复盘系统改进路线图实施计划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一、计划概述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本计划依据《智能编码与 UI 自动化在投研复盘系统中的实践分析报告》中的短、中、长期改进路线图，将每项改进拆解为可独立执行、可验证的具体任务。计划覆盖提示词工程、设计令牌治理、质量门禁、UI 组件管理、测试体系、文档治理、代码复杂度治理、AI 记忆层与架构健康度监控八个领域。</w:t>
      </w:r>
    </w:p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二、任务总览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任务编号</w:t>
            </w:r>
          </w:p>
        </w:tc>
        <w:tc>
          <w:tcPr>
            <w:tcW w:type="dxa" w:w="146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任务名称</w:t>
            </w:r>
          </w:p>
        </w:tc>
        <w:tc>
          <w:tcPr>
            <w:tcW w:type="dxa" w:w="146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146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146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依赖任务</w:t>
            </w:r>
          </w:p>
        </w:tc>
        <w:tc>
          <w:tcPr>
            <w:tcW w:type="dxa" w:w="146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状态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T1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建立统一 AI 提示词模板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短期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无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✅ 已完成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T2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构建设计令牌—代码令牌双向映射表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短期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无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✅ 已完成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T3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强化 Husky 预提交质量门禁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短期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T1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✅ 已完成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T4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建立 UI 组件迁移检查清单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短期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无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✅ 已完成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T5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搭建组件示例库（Storybook/示例页）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中期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T4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✅ 已完成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T6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推行三层测试策略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中期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T3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✅ 已完成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T7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建立文档门禁与 JSDoc 规范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中期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T1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✅ 已完成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T8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代码复杂度专项治理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中期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T3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✅ 已完成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T9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构建项目专属 AI 记忆层（RAG）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低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长期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T1, T2, T7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✅ 已完成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T10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引入视觉回归测试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低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长期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T5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✅ 已完成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T11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建立 AI 生成—审计—修正飞轮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长期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T1, T3, T9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✅ 已完成</w:t>
            </w:r>
          </w:p>
        </w:tc>
      </w:tr>
      <w:tr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T12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建立架构健康度仪表盘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低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长期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T3, T8</w:t>
            </w:r>
          </w:p>
        </w:tc>
        <w:tc>
          <w:tcPr>
            <w:tcW w:type="dxa" w:w="1465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✅ 已完成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三、短期任务（1–2 周）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T1：建立统一 AI 提示词模板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目标</w:t>
      </w:r>
      <w:r>
        <w:rPr>
          <w:rFonts w:ascii="宋体" w:hAnsi="宋体" w:eastAsia="宋体"/>
          <w:b w:val="0"/>
          <w:i w:val="0"/>
          <w:sz w:val="22"/>
        </w:rPr>
        <w:t xml:space="preserve">：为所有 AI 生成代码场景提供统一、可复用的系统提示词模板，确保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分层约束、</w:t>
      </w:r>
      <w:r>
        <w:rPr>
          <w:rFonts w:ascii="Consolas" w:hAnsi="Consolas"/>
          <w:sz w:val="20"/>
        </w:rPr>
        <w:t>lint:colors</w:t>
      </w:r>
      <w:r>
        <w:rPr>
          <w:rFonts w:ascii="宋体" w:hAnsi="宋体" w:eastAsia="宋体"/>
          <w:b w:val="0"/>
          <w:i w:val="0"/>
          <w:sz w:val="22"/>
        </w:rPr>
        <w:t xml:space="preserve"> 规则、JSDoc 模板被稳定注入。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预期成果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prompts/system-prompt-template.md</w:t>
      </w:r>
      <w:r>
        <w:rPr>
          <w:rFonts w:ascii="宋体" w:hAnsi="宋体" w:eastAsia="宋体"/>
          <w:b w:val="0"/>
          <w:i w:val="0"/>
          <w:sz w:val="22"/>
        </w:rPr>
        <w:t>：通用系统提示词模板。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prompts/component-prompt-template.md</w:t>
      </w:r>
      <w:r>
        <w:rPr>
          <w:rFonts w:ascii="宋体" w:hAnsi="宋体" w:eastAsia="宋体"/>
          <w:b w:val="0"/>
          <w:i w:val="0"/>
          <w:sz w:val="22"/>
        </w:rPr>
        <w:t>：UI 组件生成专用模板。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prompts/service-prompt-template.md</w:t>
      </w:r>
      <w:r>
        <w:rPr>
          <w:rFonts w:ascii="宋体" w:hAnsi="宋体" w:eastAsia="宋体"/>
          <w:b w:val="0"/>
          <w:i w:val="0"/>
          <w:sz w:val="22"/>
        </w:rPr>
        <w:t>：Service 生成专用模板。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.cursorrules</w:t>
      </w:r>
      <w:r>
        <w:rPr>
          <w:rFonts w:ascii="宋体" w:hAnsi="宋体" w:eastAsia="宋体"/>
          <w:b w:val="0"/>
          <w:i w:val="0"/>
          <w:sz w:val="22"/>
        </w:rPr>
        <w:t xml:space="preserve"> / </w:t>
      </w:r>
      <w:r>
        <w:rPr>
          <w:rFonts w:ascii="Consolas" w:hAnsi="Consolas"/>
          <w:sz w:val="20"/>
        </w:rPr>
        <w:t>.trae/rules</w:t>
      </w:r>
      <w:r>
        <w:rPr>
          <w:rFonts w:ascii="宋体" w:hAnsi="宋体" w:eastAsia="宋体"/>
          <w:b w:val="0"/>
          <w:i w:val="0"/>
          <w:sz w:val="22"/>
        </w:rPr>
        <w:t xml:space="preserve"> 等 IDE 配置引用上述模板。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验收标准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所有模板均包含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分层规则摘要、颜色令牌引用要求、JSDoc 模板、测试与文档要求。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任意开发者使用模板生成新模块时，首次输出代码的 </w:t>
      </w:r>
      <w:r>
        <w:rPr>
          <w:rFonts w:ascii="Consolas" w:hAnsi="Consolas"/>
          <w:sz w:val="20"/>
        </w:rPr>
        <w:t>audit:layers</w:t>
      </w:r>
      <w:r>
        <w:rPr>
          <w:rFonts w:ascii="宋体" w:hAnsi="宋体" w:eastAsia="宋体"/>
          <w:b w:val="0"/>
          <w:i w:val="0"/>
          <w:sz w:val="22"/>
        </w:rPr>
        <w:t xml:space="preserve"> 违规率不超过 1 处。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关键步骤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读取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src/constants/theme.tokens.ts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eslint.colors.config.js</w:t>
      </w:r>
      <w:r>
        <w:rPr>
          <w:rFonts w:ascii="宋体" w:hAnsi="宋体" w:eastAsia="宋体"/>
          <w:b w:val="0"/>
          <w:i w:val="0"/>
          <w:sz w:val="22"/>
        </w:rPr>
        <w:t>，提炼必须注入的规则摘要。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2. 设计三段式模板结构：角色定义、约束清单、输出格式。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3. 分别为组件、Service、Store、类型定义编写专用模板。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4. 在 </w:t>
      </w:r>
      <w:r>
        <w:rPr>
          <w:rFonts w:ascii="Consolas" w:hAnsi="Consolas"/>
          <w:sz w:val="20"/>
        </w:rPr>
        <w:t>.cursorrules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.trae/rules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.vscode/settings.json</w:t>
      </w:r>
      <w:r>
        <w:rPr>
          <w:rFonts w:ascii="宋体" w:hAnsi="宋体" w:eastAsia="宋体"/>
          <w:b w:val="0"/>
          <w:i w:val="0"/>
          <w:sz w:val="22"/>
        </w:rPr>
        <w:t xml:space="preserve"> 中引用模板路径。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5. 用 3 个真实场景（新增 Widget、新增 Service、新增类型）验证模板效果。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风险与缓解措施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缓解措施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模板过长导致 AI 上下文占用过高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生成长度受限、质量下降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将模板拆分为通用层 + 场景层，仅加载当前场景所需片段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模板更新后旧会话未同步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生成结果风格回退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模板文件纳入版本控制，每次修改后在项目群或站会通知全员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T2：构建设计令牌—代码令牌双向映射表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状态</w:t>
      </w:r>
      <w:r>
        <w:rPr>
          <w:rFonts w:ascii="宋体" w:hAnsi="宋体" w:eastAsia="宋体"/>
          <w:b w:val="0"/>
          <w:i w:val="0"/>
          <w:sz w:val="22"/>
        </w:rPr>
        <w:t>：✅ 已完成（2026-07-10）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实际产出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docs/design-token-mapping.md</w:t>
      </w:r>
      <w:r>
        <w:rPr>
          <w:rFonts w:ascii="宋体" w:hAnsi="宋体" w:eastAsia="宋体"/>
          <w:b w:val="0"/>
          <w:i w:val="0"/>
          <w:sz w:val="22"/>
        </w:rPr>
        <w:t>：按业务场景给出 L1–L6 令牌的推荐 Import、代码示例、常见错误速查、AI 提示词注入模板、验收清单。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.vscode/token-snippets.code-snippets</w:t>
      </w:r>
      <w:r>
        <w:rPr>
          <w:rFonts w:ascii="宋体" w:hAnsi="宋体" w:eastAsia="宋体"/>
          <w:b w:val="0"/>
          <w:i w:val="0"/>
          <w:sz w:val="22"/>
        </w:rPr>
        <w:t>：48 个常用令牌的 VSCode 代码片段。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design-tokens/figma-to-project.json</w:t>
      </w:r>
      <w:r>
        <w:rPr>
          <w:rFonts w:ascii="宋体" w:hAnsi="宋体" w:eastAsia="宋体"/>
          <w:b w:val="0"/>
          <w:i w:val="0"/>
          <w:sz w:val="22"/>
        </w:rPr>
        <w:t>：Figma/MasterGo 设计变量到代码令牌的映射（54 条）。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design-tokens/project-to-figma.json</w:t>
      </w:r>
      <w:r>
        <w:rPr>
          <w:rFonts w:ascii="宋体" w:hAnsi="宋体" w:eastAsia="宋体"/>
          <w:b w:val="0"/>
          <w:i w:val="0"/>
          <w:sz w:val="22"/>
        </w:rPr>
        <w:t>：由脚本自动生成的反向映射。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scripts/verify-design-tokens.ts</w:t>
      </w:r>
      <w:r>
        <w:rPr>
          <w:rFonts w:ascii="宋体" w:hAnsi="宋体" w:eastAsia="宋体"/>
          <w:b w:val="0"/>
          <w:i w:val="0"/>
          <w:sz w:val="22"/>
        </w:rPr>
        <w:t>：校验映射表格式、双向一致性、重复项、未知层级。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package.json</w:t>
      </w:r>
      <w:r>
        <w:rPr>
          <w:rFonts w:ascii="宋体" w:hAnsi="宋体" w:eastAsia="宋体"/>
          <w:b w:val="0"/>
          <w:i w:val="0"/>
          <w:sz w:val="22"/>
        </w:rPr>
        <w:t xml:space="preserve"> 新增 </w:t>
      </w:r>
      <w:r>
        <w:rPr>
          <w:rFonts w:ascii="Consolas" w:hAnsi="Consolas"/>
          <w:sz w:val="20"/>
        </w:rPr>
        <w:t>verify:tokens</w:t>
      </w:r>
      <w:r>
        <w:rPr>
          <w:rFonts w:ascii="宋体" w:hAnsi="宋体" w:eastAsia="宋体"/>
          <w:b w:val="0"/>
          <w:i w:val="0"/>
          <w:sz w:val="22"/>
        </w:rPr>
        <w:t xml:space="preserve"> 命令。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v1.4.2 颜色令牌规范章节引用映射表与代码片段。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目标</w:t>
      </w:r>
      <w:r>
        <w:rPr>
          <w:rFonts w:ascii="宋体" w:hAnsi="宋体" w:eastAsia="宋体"/>
          <w:b w:val="0"/>
          <w:i w:val="0"/>
          <w:sz w:val="22"/>
        </w:rPr>
        <w:t>：消除设计稿到代码转换中的命名空间冲突与颜色误用，使设计变量与项目代码令牌形成可维护的双向映射。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预期成果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design-tokens/figma-to-project.json</w:t>
      </w:r>
      <w:r>
        <w:rPr>
          <w:rFonts w:ascii="宋体" w:hAnsi="宋体" w:eastAsia="宋体"/>
          <w:b w:val="0"/>
          <w:i w:val="0"/>
          <w:sz w:val="22"/>
        </w:rPr>
        <w:t>：设计变量到代码令牌的映射。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design-tokens/project-to-figma.json</w:t>
      </w:r>
      <w:r>
        <w:rPr>
          <w:rFonts w:ascii="宋体" w:hAnsi="宋体" w:eastAsia="宋体"/>
          <w:b w:val="0"/>
          <w:i w:val="0"/>
          <w:sz w:val="22"/>
        </w:rPr>
        <w:t>：代码令牌到设计变量的反向映射。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scripts/verify-design-tokens.ts</w:t>
      </w:r>
      <w:r>
        <w:rPr>
          <w:rFonts w:ascii="宋体" w:hAnsi="宋体" w:eastAsia="宋体"/>
          <w:b w:val="0"/>
          <w:i w:val="0"/>
          <w:sz w:val="22"/>
        </w:rPr>
        <w:t>：校验新增色值是否已映射、是否未硬编码。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更新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设计令牌章节，引用上述映射文件。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验收标准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映射表覆盖现有全部 4 层令牌（THEME_TOKENS、COLOR_TOKENS、COLOR_SHADES、chartColors）。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运行 </w:t>
      </w:r>
      <w:r>
        <w:rPr>
          <w:rFonts w:ascii="Consolas" w:hAnsi="Consolas"/>
          <w:sz w:val="20"/>
        </w:rPr>
        <w:t>npm run verify:tokens</w:t>
      </w:r>
      <w:r>
        <w:rPr>
          <w:rFonts w:ascii="宋体" w:hAnsi="宋体" w:eastAsia="宋体"/>
          <w:b w:val="0"/>
          <w:i w:val="0"/>
          <w:sz w:val="22"/>
        </w:rPr>
        <w:t xml:space="preserve"> 后，未映射颜色数为 0，硬编码颜色数不超过当前基线（6 处）。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关键步骤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1. 导出 Figma / MasterGo 中的颜色、字体、间距、圆角变量列表。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与 </w:t>
      </w:r>
      <w:r>
        <w:rPr>
          <w:rFonts w:ascii="Consolas" w:hAnsi="Consolas"/>
          <w:sz w:val="20"/>
        </w:rPr>
        <w:t>src/constants/theme.tokens.ts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src/config/chartColors.ts</w:t>
      </w:r>
      <w:r>
        <w:rPr>
          <w:rFonts w:ascii="宋体" w:hAnsi="宋体" w:eastAsia="宋体"/>
          <w:b w:val="0"/>
          <w:i w:val="0"/>
          <w:sz w:val="22"/>
        </w:rPr>
        <w:t xml:space="preserve"> 逐项对齐，建立映射。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编写 </w:t>
      </w:r>
      <w:r>
        <w:rPr>
          <w:rFonts w:ascii="Consolas" w:hAnsi="Consolas"/>
          <w:sz w:val="20"/>
        </w:rPr>
        <w:t>verify-design-tokens.ts</w:t>
      </w:r>
      <w:r>
        <w:rPr>
          <w:rFonts w:ascii="宋体" w:hAnsi="宋体" w:eastAsia="宋体"/>
          <w:b w:val="0"/>
          <w:i w:val="0"/>
          <w:sz w:val="22"/>
        </w:rPr>
        <w:t xml:space="preserve"> 脚本，扫描映射表格式与一致性。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4. 在 </w:t>
      </w:r>
      <w:r>
        <w:rPr>
          <w:rFonts w:ascii="Consolas" w:hAnsi="Consolas"/>
          <w:sz w:val="20"/>
        </w:rPr>
        <w:t>package.json</w:t>
      </w:r>
      <w:r>
        <w:rPr>
          <w:rFonts w:ascii="宋体" w:hAnsi="宋体" w:eastAsia="宋体"/>
          <w:b w:val="0"/>
          <w:i w:val="0"/>
          <w:sz w:val="22"/>
        </w:rPr>
        <w:t xml:space="preserve"> 中注册 </w:t>
      </w:r>
      <w:r>
        <w:rPr>
          <w:rFonts w:ascii="Consolas" w:hAnsi="Consolas"/>
          <w:sz w:val="20"/>
        </w:rPr>
        <w:t>npm run verify:tokens</w:t>
      </w:r>
      <w:r>
        <w:rPr>
          <w:rFonts w:ascii="宋体" w:hAnsi="宋体" w:eastAsia="宋体"/>
          <w:b w:val="0"/>
          <w:i w:val="0"/>
          <w:sz w:val="22"/>
        </w:rPr>
        <w:t xml:space="preserve"> 命令。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5. 将脚本接入 pre-commit 与 CI。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风险与缓解措施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缓解措施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设计稿变量命名与项目不一致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映射表维护困难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与设计侧协商统一命名前缀（如 `v9-`），无法对齐时建立别名表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业务语义色被误判为动态令牌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红涨绿跌等固定色被错误替换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在映射表中增加 `themeAware: false` 标记，脚本跳过校验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T3：强化 Husky 预提交质量门禁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状态</w:t>
      </w:r>
      <w:r>
        <w:rPr>
          <w:rFonts w:ascii="宋体" w:hAnsi="宋体" w:eastAsia="宋体"/>
          <w:b w:val="0"/>
          <w:i w:val="0"/>
          <w:sz w:val="22"/>
        </w:rPr>
        <w:t>：✅ 已完成（2026-07-10）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实际产出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重新初始化 git 仓库；创建 </w:t>
      </w:r>
      <w:r>
        <w:rPr>
          <w:rFonts w:ascii="Consolas" w:hAnsi="Consolas"/>
          <w:sz w:val="20"/>
        </w:rPr>
        <w:t>.husky/pre-commit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.husky/pre-push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pre-commit 扩展为 7 项检查：lint-staged（ESLint --fix + colors）→ </w:t>
      </w:r>
      <w:r>
        <w:rPr>
          <w:rFonts w:ascii="Consolas" w:hAnsi="Consolas"/>
          <w:sz w:val="20"/>
        </w:rPr>
        <w:t>lint:colors</w:t>
      </w:r>
      <w:r>
        <w:rPr>
          <w:rFonts w:ascii="宋体" w:hAnsi="宋体" w:eastAsia="宋体"/>
          <w:b w:val="0"/>
          <w:i w:val="0"/>
          <w:sz w:val="22"/>
        </w:rPr>
        <w:t xml:space="preserve"> → </w:t>
      </w:r>
      <w:r>
        <w:rPr>
          <w:rFonts w:ascii="Consolas" w:hAnsi="Consolas"/>
          <w:sz w:val="20"/>
        </w:rPr>
        <w:t>tsc:prod</w:t>
      </w:r>
      <w:r>
        <w:rPr>
          <w:rFonts w:ascii="宋体" w:hAnsi="宋体" w:eastAsia="宋体"/>
          <w:b w:val="0"/>
          <w:i w:val="0"/>
          <w:sz w:val="22"/>
        </w:rPr>
        <w:t xml:space="preserve"> → </w:t>
      </w:r>
      <w:r>
        <w:rPr>
          <w:rFonts w:ascii="Consolas" w:hAnsi="Consolas"/>
          <w:sz w:val="20"/>
        </w:rPr>
        <w:t>audit:layers</w:t>
      </w:r>
      <w:r>
        <w:rPr>
          <w:rFonts w:ascii="宋体" w:hAnsi="宋体" w:eastAsia="宋体"/>
          <w:b w:val="0"/>
          <w:i w:val="0"/>
          <w:sz w:val="22"/>
        </w:rPr>
        <w:t xml:space="preserve"> → </w:t>
      </w:r>
      <w:r>
        <w:rPr>
          <w:rFonts w:ascii="Consolas" w:hAnsi="Consolas"/>
          <w:sz w:val="20"/>
        </w:rPr>
        <w:t>audit:docs</w:t>
      </w:r>
      <w:r>
        <w:rPr>
          <w:rFonts w:ascii="宋体" w:hAnsi="宋体" w:eastAsia="宋体"/>
          <w:b w:val="0"/>
          <w:i w:val="0"/>
          <w:sz w:val="22"/>
        </w:rPr>
        <w:t xml:space="preserve"> → </w:t>
      </w:r>
      <w:r>
        <w:rPr>
          <w:rFonts w:ascii="Consolas" w:hAnsi="Consolas"/>
          <w:sz w:val="20"/>
        </w:rPr>
        <w:t>verify:tokens</w:t>
      </w:r>
      <w:r>
        <w:rPr>
          <w:rFonts w:ascii="宋体" w:hAnsi="宋体" w:eastAsia="宋体"/>
          <w:b w:val="0"/>
          <w:i w:val="0"/>
          <w:sz w:val="22"/>
        </w:rPr>
        <w:t xml:space="preserve"> → </w:t>
      </w:r>
      <w:r>
        <w:rPr>
          <w:rFonts w:ascii="Consolas" w:hAnsi="Consolas"/>
          <w:sz w:val="20"/>
        </w:rPr>
        <w:t>audit:tokens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pre-push 运行 </w:t>
      </w:r>
      <w:r>
        <w:rPr>
          <w:rFonts w:ascii="Consolas" w:hAnsi="Consolas"/>
          <w:sz w:val="20"/>
        </w:rPr>
        <w:t>test:clean</w:t>
      </w:r>
      <w:r>
        <w:rPr>
          <w:rFonts w:ascii="宋体" w:hAnsi="宋体" w:eastAsia="宋体"/>
          <w:b w:val="0"/>
          <w:i w:val="0"/>
          <w:sz w:val="22"/>
        </w:rPr>
        <w:t xml:space="preserve"> + </w:t>
      </w:r>
      <w:r>
        <w:rPr>
          <w:rFonts w:ascii="Consolas" w:hAnsi="Consolas"/>
          <w:sz w:val="20"/>
        </w:rPr>
        <w:t>build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package.json</w:t>
      </w:r>
      <w:r>
        <w:rPr>
          <w:rFonts w:ascii="宋体" w:hAnsi="宋体" w:eastAsia="宋体"/>
          <w:b w:val="0"/>
          <w:i w:val="0"/>
          <w:sz w:val="22"/>
        </w:rPr>
        <w:t xml:space="preserve"> 的 </w:t>
      </w:r>
      <w:r>
        <w:rPr>
          <w:rFonts w:ascii="Consolas" w:hAnsi="Consolas"/>
          <w:sz w:val="20"/>
        </w:rPr>
        <w:t>lint-staged</w:t>
      </w:r>
      <w:r>
        <w:rPr>
          <w:rFonts w:ascii="宋体" w:hAnsi="宋体" w:eastAsia="宋体"/>
          <w:b w:val="0"/>
          <w:i w:val="0"/>
          <w:sz w:val="22"/>
        </w:rPr>
        <w:t xml:space="preserve"> 更新：对 </w:t>
      </w:r>
      <w:r>
        <w:rPr>
          <w:rFonts w:ascii="Consolas" w:hAnsi="Consolas"/>
          <w:sz w:val="20"/>
        </w:rPr>
        <w:t>.ts,.tsx</w:t>
      </w:r>
      <w:r>
        <w:rPr>
          <w:rFonts w:ascii="宋体" w:hAnsi="宋体" w:eastAsia="宋体"/>
          <w:b w:val="0"/>
          <w:i w:val="0"/>
          <w:sz w:val="22"/>
        </w:rPr>
        <w:t xml:space="preserve"> 运行通用 ESLint 与颜色 ESLint；对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docs/*.md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prompts/*.md</w:t>
      </w:r>
      <w:r>
        <w:rPr>
          <w:rFonts w:ascii="宋体" w:hAnsi="宋体" w:eastAsia="宋体"/>
          <w:b w:val="0"/>
          <w:i w:val="0"/>
          <w:sz w:val="22"/>
        </w:rPr>
        <w:t xml:space="preserve"> 运行 </w:t>
      </w:r>
      <w:r>
        <w:rPr>
          <w:rFonts w:ascii="Consolas" w:hAnsi="Consolas"/>
          <w:sz w:val="20"/>
        </w:rPr>
        <w:t>audit:docs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更新至 v1.4.2。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回归验证：手动执行 </w:t>
      </w:r>
      <w:r>
        <w:rPr>
          <w:rFonts w:ascii="Consolas" w:hAnsi="Consolas"/>
          <w:sz w:val="20"/>
        </w:rPr>
        <w:t>.husky/pre-commit</w:t>
      </w:r>
      <w:r>
        <w:rPr>
          <w:rFonts w:ascii="宋体" w:hAnsi="宋体" w:eastAsia="宋体"/>
          <w:b w:val="0"/>
          <w:i w:val="0"/>
          <w:sz w:val="22"/>
        </w:rPr>
        <w:t xml:space="preserve"> 全部 7 项通过；</w:t>
      </w:r>
      <w:r>
        <w:rPr>
          <w:rFonts w:ascii="Consolas" w:hAnsi="Consolas"/>
          <w:sz w:val="20"/>
        </w:rPr>
        <w:t>audit:layers</w:t>
      </w:r>
      <w:r>
        <w:rPr>
          <w:rFonts w:ascii="宋体" w:hAnsi="宋体" w:eastAsia="宋体"/>
          <w:b w:val="0"/>
          <w:i w:val="0"/>
          <w:sz w:val="22"/>
        </w:rPr>
        <w:t>/</w:t>
      </w:r>
      <w:r>
        <w:rPr>
          <w:rFonts w:ascii="Consolas" w:hAnsi="Consolas"/>
          <w:sz w:val="20"/>
        </w:rPr>
        <w:t>audit:docs</w:t>
      </w:r>
      <w:r>
        <w:rPr>
          <w:rFonts w:ascii="宋体" w:hAnsi="宋体" w:eastAsia="宋体"/>
          <w:b w:val="0"/>
          <w:i w:val="0"/>
          <w:sz w:val="22"/>
        </w:rPr>
        <w:t>/</w:t>
      </w:r>
      <w:r>
        <w:rPr>
          <w:rFonts w:ascii="Consolas" w:hAnsi="Consolas"/>
          <w:sz w:val="20"/>
        </w:rPr>
        <w:t>audit:tokens</w:t>
      </w:r>
      <w:r>
        <w:rPr>
          <w:rFonts w:ascii="宋体" w:hAnsi="宋体" w:eastAsia="宋体"/>
          <w:b w:val="0"/>
          <w:i w:val="0"/>
          <w:sz w:val="22"/>
        </w:rPr>
        <w:t>/</w:t>
      </w:r>
      <w:r>
        <w:rPr>
          <w:rFonts w:ascii="Consolas" w:hAnsi="Consolas"/>
          <w:sz w:val="20"/>
        </w:rPr>
        <w:t>verify:tokens</w:t>
      </w:r>
      <w:r>
        <w:rPr>
          <w:rFonts w:ascii="宋体" w:hAnsi="宋体" w:eastAsia="宋体"/>
          <w:b w:val="0"/>
          <w:i w:val="0"/>
          <w:sz w:val="22"/>
        </w:rPr>
        <w:t xml:space="preserve"> 均 0 违规。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目标</w:t>
      </w:r>
      <w:r>
        <w:rPr>
          <w:rFonts w:ascii="宋体" w:hAnsi="宋体" w:eastAsia="宋体"/>
          <w:b w:val="0"/>
          <w:i w:val="0"/>
          <w:sz w:val="22"/>
        </w:rPr>
        <w:t>：在代码提交前强制通过分层审计与类型检查，防止违规代码进入仓库。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预期成果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.husky/pre-commit</w:t>
      </w:r>
      <w:r>
        <w:rPr>
          <w:rFonts w:ascii="宋体" w:hAnsi="宋体" w:eastAsia="宋体"/>
          <w:b w:val="0"/>
          <w:i w:val="0"/>
          <w:sz w:val="22"/>
        </w:rPr>
        <w:t xml:space="preserve"> 脚本更新，包含 </w:t>
      </w:r>
      <w:r>
        <w:rPr>
          <w:rFonts w:ascii="Consolas" w:hAnsi="Consolas"/>
          <w:sz w:val="20"/>
        </w:rPr>
        <w:t>npm run audit:layers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npx tsc --noEmit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npm run lint:colors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lint-staged</w:t>
      </w:r>
      <w:r>
        <w:rPr>
          <w:rFonts w:ascii="宋体" w:hAnsi="宋体" w:eastAsia="宋体"/>
          <w:b w:val="0"/>
          <w:i w:val="0"/>
          <w:sz w:val="22"/>
        </w:rPr>
        <w:t xml:space="preserve"> 配置仅对暂存区文件运行快速检查，避免全量扫描拖慢提交。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提交被阻断时的错误信息包含修复指引链接。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验收标准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任何包含 </w:t>
      </w:r>
      <w:r>
        <w:rPr>
          <w:rFonts w:ascii="Consolas" w:hAnsi="Consolas"/>
          <w:sz w:val="20"/>
        </w:rPr>
        <w:t>audit:layers</w:t>
      </w:r>
      <w:r>
        <w:rPr>
          <w:rFonts w:ascii="宋体" w:hAnsi="宋体" w:eastAsia="宋体"/>
          <w:b w:val="0"/>
          <w:i w:val="0"/>
          <w:sz w:val="22"/>
        </w:rPr>
        <w:t xml:space="preserve"> 违规或 </w:t>
      </w:r>
      <w:r>
        <w:rPr>
          <w:rFonts w:ascii="Consolas" w:hAnsi="Consolas"/>
          <w:sz w:val="20"/>
        </w:rPr>
        <w:t>tsc</w:t>
      </w:r>
      <w:r>
        <w:rPr>
          <w:rFonts w:ascii="宋体" w:hAnsi="宋体" w:eastAsia="宋体"/>
          <w:b w:val="0"/>
          <w:i w:val="0"/>
          <w:sz w:val="22"/>
        </w:rPr>
        <w:t xml:space="preserve"> 错误的提交均被 Husky 阻断。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正常提交的平均预提交耗时不超过 90 秒。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关键步骤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1. 初始化 git 仓库，安装 husky v9。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编写 </w:t>
      </w:r>
      <w:r>
        <w:rPr>
          <w:rFonts w:ascii="Consolas" w:hAnsi="Consolas"/>
          <w:sz w:val="20"/>
        </w:rPr>
        <w:t>.husky/pre-commit</w:t>
      </w:r>
      <w:r>
        <w:rPr>
          <w:rFonts w:ascii="宋体" w:hAnsi="宋体" w:eastAsia="宋体"/>
          <w:b w:val="0"/>
          <w:i w:val="0"/>
          <w:sz w:val="22"/>
        </w:rPr>
        <w:t>，串行执行 7 项门禁。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编写 </w:t>
      </w:r>
      <w:r>
        <w:rPr>
          <w:rFonts w:ascii="Consolas" w:hAnsi="Consolas"/>
          <w:sz w:val="20"/>
        </w:rPr>
        <w:t>.husky/pre-push</w:t>
      </w:r>
      <w:r>
        <w:rPr>
          <w:rFonts w:ascii="宋体" w:hAnsi="宋体" w:eastAsia="宋体"/>
          <w:b w:val="0"/>
          <w:i w:val="0"/>
          <w:sz w:val="22"/>
        </w:rPr>
        <w:t>，执行测试与构建。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4. 更新 </w:t>
      </w:r>
      <w:r>
        <w:rPr>
          <w:rFonts w:ascii="Consolas" w:hAnsi="Consolas"/>
          <w:sz w:val="20"/>
        </w:rPr>
        <w:t>lint-staged</w:t>
      </w:r>
      <w:r>
        <w:rPr>
          <w:rFonts w:ascii="宋体" w:hAnsi="宋体" w:eastAsia="宋体"/>
          <w:b w:val="0"/>
          <w:i w:val="0"/>
          <w:sz w:val="22"/>
        </w:rPr>
        <w:t xml:space="preserve"> 配置，对不同类型文件运行对应检查。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5. 手动执行 hook 验证全部通过。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风险与缓解措施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缓解措施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预提交耗时过长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开发者绕过 Husky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对 lint-staged 仅检查暂存文件，全量 audit 保留在 CI/pre-push 阶段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误报导致正常提交被阻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降低门禁信任度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建立白名单机制，经审批的预存基线可临时豁免；当前基线已保持 0 违规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Windows 环境下 hook 路径解析异常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hook 不被调用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使用 `$PWD/.husky/_/h` 绝对路径入口，避免 git bash 路径转义问题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T4：建立 UI 组件迁移检查清单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目标</w:t>
      </w:r>
      <w:r>
        <w:rPr>
          <w:rFonts w:ascii="宋体" w:hAnsi="宋体" w:eastAsia="宋体"/>
          <w:b w:val="0"/>
          <w:i w:val="0"/>
          <w:sz w:val="22"/>
        </w:rPr>
        <w:t>：将股票池看板跨舱迁移、Widget 注册同步等架构治理型改动标准化，降低人工遗漏与返工。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预期成果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docs/ui-migration-checklist.md</w:t>
      </w:r>
      <w:r>
        <w:rPr>
          <w:rFonts w:ascii="宋体" w:hAnsi="宋体" w:eastAsia="宋体"/>
          <w:b w:val="0"/>
          <w:i w:val="0"/>
          <w:sz w:val="22"/>
        </w:rPr>
        <w:t>：组件跨目录/跨舱迁移的标准检查清单。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docs/widget-integration-checklist.md</w:t>
      </w:r>
      <w:r>
        <w:rPr>
          <w:rFonts w:ascii="宋体" w:hAnsi="宋体" w:eastAsia="宋体"/>
          <w:b w:val="0"/>
          <w:i w:val="0"/>
          <w:sz w:val="22"/>
        </w:rPr>
        <w:t>：新增驾驶舱 Widget 的三处注册检查清单。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在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中引用上述清单，作为 AI 生成 Widget 时的默认输出。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验收标准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任何组件迁移 PR 必须勾选清单全部 6 类引用点（路由、导航、Store、Service、组件目录、测试）。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新增 Widget 的 PR 必须包含 </w:t>
      </w:r>
      <w:r>
        <w:rPr>
          <w:rFonts w:ascii="Consolas" w:hAnsi="Consolas"/>
          <w:sz w:val="20"/>
        </w:rPr>
        <w:t>widgetRegistry.ts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DEFAULT_WIDGET_CONFIG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WIDGET_DEFAULT_DATA_SOURCE</w:t>
      </w:r>
      <w:r>
        <w:rPr>
          <w:rFonts w:ascii="宋体" w:hAnsi="宋体" w:eastAsia="宋体"/>
          <w:b w:val="0"/>
          <w:i w:val="0"/>
          <w:sz w:val="22"/>
        </w:rPr>
        <w:t xml:space="preserve"> 三处修改。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关键步骤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1. 复盘股票池看板迁移过程，枚举所有被修改的文件类型与引用关系。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2. 提炼通用迁移检查清单，覆盖页面、路由、左侧导航、Store、Service、组件目录、测试、Storybook/示例。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3. 针对 Widget 注册，制作独立的三处同步清单与代码片段模板。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将清单作为 GitHub PR 模板或 Markdown 文件，要求迁移 PR 描述中勾选。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5. 在 AI 提示词中要求：任何迁移/Widget 任务，输出前先列出需修改的文件清单。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风险与缓解措施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缓解措施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清单过于繁琐被忽视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流于形式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将清单嵌入 PR 模板，未勾选项由代码审查者强制打回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AI 仍无法按清单执行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生成结果遗漏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对 AI 输出增加“清单核对”步骤，人工逐项确认后再进入代码生成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四、中期任务（1–2 个月）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T5：搭建组件示例库（Storybook / 示例页）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目标</w:t>
      </w:r>
      <w:r>
        <w:rPr>
          <w:rFonts w:ascii="宋体" w:hAnsi="宋体" w:eastAsia="宋体"/>
          <w:b w:val="0"/>
          <w:i w:val="0"/>
          <w:sz w:val="22"/>
        </w:rPr>
        <w:t>：建立可复用组件的可视化示例与文档，降低后续调用与 AI 生成的理解成本。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预期成果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选择方案：Storybook 或 </w:t>
      </w:r>
      <w:r>
        <w:rPr>
          <w:rFonts w:ascii="Consolas" w:hAnsi="Consolas"/>
          <w:sz w:val="20"/>
        </w:rPr>
        <w:t>src/pages/components-demo</w:t>
      </w:r>
      <w:r>
        <w:rPr>
          <w:rFonts w:ascii="宋体" w:hAnsi="宋体" w:eastAsia="宋体"/>
          <w:b w:val="0"/>
          <w:i w:val="0"/>
          <w:sz w:val="22"/>
        </w:rPr>
        <w:t xml:space="preserve"> 示例页（根据团队习惯）。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覆盖 </w:t>
      </w:r>
      <w:r>
        <w:rPr>
          <w:rFonts w:ascii="Consolas" w:hAnsi="Consolas"/>
          <w:sz w:val="20"/>
        </w:rPr>
        <w:t>src/components/ui/</w:t>
      </w:r>
      <w:r>
        <w:rPr>
          <w:rFonts w:ascii="宋体" w:hAnsi="宋体" w:eastAsia="宋体"/>
          <w:b w:val="0"/>
          <w:i w:val="0"/>
          <w:sz w:val="22"/>
        </w:rPr>
        <w:t xml:space="preserve"> 全部原子组件与 </w:t>
      </w:r>
      <w:r>
        <w:rPr>
          <w:rFonts w:ascii="Consolas" w:hAnsi="Consolas"/>
          <w:sz w:val="20"/>
        </w:rPr>
        <w:t>src/components/cockpit/</w:t>
      </w:r>
      <w:r>
        <w:rPr>
          <w:rFonts w:ascii="宋体" w:hAnsi="宋体" w:eastAsia="宋体"/>
          <w:b w:val="0"/>
          <w:i w:val="0"/>
          <w:sz w:val="22"/>
        </w:rPr>
        <w:t xml:space="preserve"> 主要业务组件。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每个示例包含 props 说明、使用场景、代码片段。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验收标准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示例库中组件覆盖率达到 80% 以上。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任意新增可复用组件必须附带示例，否则 PR 不合并。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AI 生成新页面时，能通过示例库检索到可复用组件的引用方式。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关键步骤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1. 评估 Storybook 与自建示例页的成本，一周内确定方案。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若选 Storybook，安装 </w:t>
      </w:r>
      <w:r>
        <w:rPr>
          <w:rFonts w:ascii="Consolas" w:hAnsi="Consolas"/>
          <w:sz w:val="20"/>
        </w:rPr>
        <w:t>@storybook/react-vite</w:t>
      </w:r>
      <w:r>
        <w:rPr>
          <w:rFonts w:ascii="宋体" w:hAnsi="宋体" w:eastAsia="宋体"/>
          <w:b w:val="0"/>
          <w:i w:val="0"/>
          <w:sz w:val="22"/>
        </w:rPr>
        <w:t xml:space="preserve"> 并配置主题与令牌；若选自建页，创建 </w:t>
      </w:r>
      <w:r>
        <w:rPr>
          <w:rFonts w:ascii="Consolas" w:hAnsi="Consolas"/>
          <w:sz w:val="20"/>
        </w:rPr>
        <w:t>ComponentsDemoPage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3. 按原子组件 → 业务组件 → Widget 的顺序补充示例。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为示例编写简短说明文档，标注何时使用、何时避免使用。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5. 在 AI 提示词中要求生成 UI 前先检索示例库。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风险与缓解措施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缓解措施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维护示例库增加额外成本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示例过时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将示例文件与组件文件绑定，组件修改时同步更新示例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团队不愿使用 Storybook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投入浪费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先以自建示例页低成本试点，验证价值后再决定是否迁移 Storybook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T6：推行三层测试策略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目标</w:t>
      </w:r>
      <w:r>
        <w:rPr>
          <w:rFonts w:ascii="宋体" w:hAnsi="宋体" w:eastAsia="宋体"/>
          <w:b w:val="0"/>
          <w:i w:val="0"/>
          <w:sz w:val="22"/>
        </w:rPr>
        <w:t>：建立单元测试、集成测试、E2E 测试分层体系，提升自动化测试对业务逻辑与数据流的覆盖。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预期成果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tests/unit/</w:t>
      </w:r>
      <w:r>
        <w:rPr>
          <w:rFonts w:ascii="宋体" w:hAnsi="宋体" w:eastAsia="宋体"/>
          <w:b w:val="0"/>
          <w:i w:val="0"/>
          <w:sz w:val="22"/>
        </w:rPr>
        <w:t>：纯函数、类型守卫、工具类测试。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tests/integration/</w:t>
      </w:r>
      <w:r>
        <w:rPr>
          <w:rFonts w:ascii="宋体" w:hAnsi="宋体" w:eastAsia="宋体"/>
          <w:b w:val="0"/>
          <w:i w:val="0"/>
          <w:sz w:val="22"/>
        </w:rPr>
        <w:t>：Service + DataBridge + Store 组合测试。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e2e/</w:t>
      </w:r>
      <w:r>
        <w:rPr>
          <w:rFonts w:ascii="宋体" w:hAnsi="宋体" w:eastAsia="宋体"/>
          <w:b w:val="0"/>
          <w:i w:val="0"/>
          <w:sz w:val="22"/>
        </w:rPr>
        <w:t>：关键用户旅程测试（登录 → 采集 → 分析 → 输出）。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更新 </w:t>
      </w:r>
      <w:r>
        <w:rPr>
          <w:rFonts w:ascii="Consolas" w:hAnsi="Consolas"/>
          <w:sz w:val="20"/>
        </w:rPr>
        <w:t>vitest.config.ts</w:t>
      </w:r>
      <w:r>
        <w:rPr>
          <w:rFonts w:ascii="宋体" w:hAnsi="宋体" w:eastAsia="宋体"/>
          <w:b w:val="0"/>
          <w:i w:val="0"/>
          <w:sz w:val="22"/>
        </w:rPr>
        <w:t>，为不同层级设置覆盖率阈值。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验收标准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单元测试覆盖率 ≥ 80%，集成测试覆盖率 ≥ 60%，E2E 覆盖核心用户旅程。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新增 Service 必须附带集成测试；新增页面必须附带至少一条 E2E 路径。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CI 中任何测试失败均阻塞合并。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关键步骤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1. 按目录重构现有测试文件，建立 unit / integration 分层。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编写 Service 集成测试模板，包含 </w:t>
      </w:r>
      <w:r>
        <w:rPr>
          <w:rFonts w:ascii="Consolas" w:hAnsi="Consolas"/>
          <w:sz w:val="20"/>
        </w:rPr>
        <w:t>DataBridge.forward()</w:t>
      </w:r>
      <w:r>
        <w:rPr>
          <w:rFonts w:ascii="宋体" w:hAnsi="宋体" w:eastAsia="宋体"/>
          <w:b w:val="0"/>
          <w:i w:val="0"/>
          <w:sz w:val="22"/>
        </w:rPr>
        <w:t xml:space="preserve"> Mock 与 </w:t>
      </w:r>
      <w:r>
        <w:rPr>
          <w:rFonts w:ascii="Consolas" w:hAnsi="Consolas"/>
          <w:sz w:val="20"/>
        </w:rPr>
        <w:t>EventBus</w:t>
      </w:r>
      <w:r>
        <w:rPr>
          <w:rFonts w:ascii="宋体" w:hAnsi="宋体" w:eastAsia="宋体"/>
          <w:b w:val="0"/>
          <w:i w:val="0"/>
          <w:sz w:val="22"/>
        </w:rPr>
        <w:t xml:space="preserve"> 清理。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编写 Store 测试模板，覆盖 </w:t>
      </w:r>
      <w:r>
        <w:rPr>
          <w:rFonts w:ascii="Consolas" w:hAnsi="Consolas"/>
          <w:sz w:val="20"/>
        </w:rPr>
        <w:t>withBroadcast</w:t>
      </w:r>
      <w:r>
        <w:rPr>
          <w:rFonts w:ascii="宋体" w:hAnsi="宋体" w:eastAsia="宋体"/>
          <w:b w:val="0"/>
          <w:i w:val="0"/>
          <w:sz w:val="22"/>
        </w:rPr>
        <w:t xml:space="preserve"> 跨 Tab 场景。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为 5 个核心 Service 和 5 个核心 Store 补充集成测试。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5. 在 </w:t>
      </w:r>
      <w:r>
        <w:rPr>
          <w:rFonts w:ascii="Consolas" w:hAnsi="Consolas"/>
          <w:sz w:val="20"/>
        </w:rPr>
        <w:t>vitest.config.ts</w:t>
      </w:r>
      <w:r>
        <w:rPr>
          <w:rFonts w:ascii="宋体" w:hAnsi="宋体" w:eastAsia="宋体"/>
          <w:b w:val="0"/>
          <w:i w:val="0"/>
          <w:sz w:val="22"/>
        </w:rPr>
        <w:t xml:space="preserve"> 中按目录配置覆盖率阈值。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6. 将覆盖率报告接入 CI，低于阈值时 PR 变红。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风险与缓解措施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缓解措施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集成测试 Mock 复杂度过高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测试脆弱、维护困难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封装 `createMockDataBridge()` 与 `createMockEventBus()` 工厂函数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E2E 测试不稳定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CI 频繁失败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优先覆盖稳定路径，对波动较大的行情数据使用 Mock 接口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T7：建立文档门禁与 JSDoc 规范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目标</w:t>
      </w:r>
      <w:r>
        <w:rPr>
          <w:rFonts w:ascii="宋体" w:hAnsi="宋体" w:eastAsia="宋体"/>
          <w:b w:val="0"/>
          <w:i w:val="0"/>
          <w:sz w:val="22"/>
        </w:rPr>
        <w:t>：提升文档与注释的完整性、一致性与准确性，降低团队沟通成本。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预期成果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docs/jsdoc-style-guide.md</w:t>
      </w:r>
      <w:r>
        <w:rPr>
          <w:rFonts w:ascii="宋体" w:hAnsi="宋体" w:eastAsia="宋体"/>
          <w:b w:val="0"/>
          <w:i w:val="0"/>
          <w:sz w:val="22"/>
        </w:rPr>
        <w:t>：统一 JSDoc/TSDoc 格式规范。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scripts/verify-docs.ts</w:t>
      </w:r>
      <w:r>
        <w:rPr>
          <w:rFonts w:ascii="宋体" w:hAnsi="宋体" w:eastAsia="宋体"/>
          <w:b w:val="0"/>
          <w:i w:val="0"/>
          <w:sz w:val="22"/>
        </w:rPr>
        <w:t>：检查 JSDoc 覆盖率、参数遗漏、过时文档引用。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npm run audit:docs</w:t>
      </w:r>
      <w:r>
        <w:rPr>
          <w:rFonts w:ascii="宋体" w:hAnsi="宋体" w:eastAsia="宋体"/>
          <w:b w:val="0"/>
          <w:i w:val="0"/>
          <w:sz w:val="22"/>
        </w:rPr>
        <w:t xml:space="preserve"> 接入 Husky 与 CI。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验收标准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公共导出函数 JSDoc 覆盖率达到 90% 以上。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audit:docs</w:t>
      </w:r>
      <w:r>
        <w:rPr>
          <w:rFonts w:ascii="宋体" w:hAnsi="宋体" w:eastAsia="宋体"/>
          <w:b w:val="0"/>
          <w:i w:val="0"/>
          <w:sz w:val="22"/>
        </w:rPr>
        <w:t xml:space="preserve"> 无参数遗漏、无过时 </w:t>
      </w:r>
      <w:r>
        <w:rPr>
          <w:rFonts w:ascii="Consolas" w:hAnsi="Consolas"/>
          <w:sz w:val="20"/>
        </w:rPr>
        <w:t>@link</w:t>
      </w:r>
      <w:r>
        <w:rPr>
          <w:rFonts w:ascii="宋体" w:hAnsi="宋体" w:eastAsia="宋体"/>
          <w:b w:val="0"/>
          <w:i w:val="0"/>
          <w:sz w:val="22"/>
        </w:rPr>
        <w:t xml:space="preserve"> 引用。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不同会话生成的注释风格一致。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关键步骤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制定 JSDoc 模板，包含 </w:t>
      </w:r>
      <w:r>
        <w:rPr>
          <w:rFonts w:ascii="Consolas" w:hAnsi="Consolas"/>
          <w:sz w:val="20"/>
        </w:rPr>
        <w:t>@param</w:t>
      </w:r>
      <w:r>
        <w:rPr>
          <w:rFonts w:ascii="宋体" w:hAnsi="宋体" w:eastAsia="宋体"/>
          <w:b w:val="0"/>
          <w:i w:val="0"/>
          <w:sz w:val="22"/>
        </w:rPr>
        <w:t xml:space="preserve">、 </w:t>
      </w:r>
      <w:r>
        <w:rPr>
          <w:rFonts w:ascii="Consolas" w:hAnsi="Consolas"/>
          <w:sz w:val="20"/>
        </w:rPr>
        <w:t>@returns</w:t>
      </w:r>
      <w:r>
        <w:rPr>
          <w:rFonts w:ascii="宋体" w:hAnsi="宋体" w:eastAsia="宋体"/>
          <w:b w:val="0"/>
          <w:i w:val="0"/>
          <w:sz w:val="22"/>
        </w:rPr>
        <w:t xml:space="preserve">、 </w:t>
      </w:r>
      <w:r>
        <w:rPr>
          <w:rFonts w:ascii="Consolas" w:hAnsi="Consolas"/>
          <w:sz w:val="20"/>
        </w:rPr>
        <w:t>@throws</w:t>
      </w:r>
      <w:r>
        <w:rPr>
          <w:rFonts w:ascii="宋体" w:hAnsi="宋体" w:eastAsia="宋体"/>
          <w:b w:val="0"/>
          <w:i w:val="0"/>
          <w:sz w:val="22"/>
        </w:rPr>
        <w:t xml:space="preserve">、 </w:t>
      </w:r>
      <w:r>
        <w:rPr>
          <w:rFonts w:ascii="Consolas" w:hAnsi="Consolas"/>
          <w:sz w:val="20"/>
        </w:rPr>
        <w:t>@example</w:t>
      </w:r>
      <w:r>
        <w:rPr>
          <w:rFonts w:ascii="宋体" w:hAnsi="宋体" w:eastAsia="宋体"/>
          <w:b w:val="0"/>
          <w:i w:val="0"/>
          <w:sz w:val="22"/>
        </w:rPr>
        <w:t xml:space="preserve">、 </w:t>
      </w:r>
      <w:r>
        <w:rPr>
          <w:rFonts w:ascii="Consolas" w:hAnsi="Consolas"/>
          <w:sz w:val="20"/>
        </w:rPr>
        <w:t>@see</w:t>
      </w:r>
      <w:r>
        <w:rPr>
          <w:rFonts w:ascii="宋体" w:hAnsi="宋体" w:eastAsia="宋体"/>
          <w:b w:val="0"/>
          <w:i w:val="0"/>
          <w:sz w:val="22"/>
        </w:rPr>
        <w:t xml:space="preserve"> 的使用规范。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编写 </w:t>
      </w:r>
      <w:r>
        <w:rPr>
          <w:rFonts w:ascii="Consolas" w:hAnsi="Consolas"/>
          <w:sz w:val="20"/>
        </w:rPr>
        <w:t>verify-docs.ts</w:t>
      </w:r>
      <w:r>
        <w:rPr>
          <w:rFonts w:ascii="宋体" w:hAnsi="宋体" w:eastAsia="宋体"/>
          <w:b w:val="0"/>
          <w:i w:val="0"/>
          <w:sz w:val="22"/>
        </w:rPr>
        <w:t>，基于 TypeScript AST 扫描公共导出函数的注释完整性与参数匹配度。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对 </w:t>
      </w:r>
      <w:r>
        <w:rPr>
          <w:rFonts w:ascii="Consolas" w:hAnsi="Consolas"/>
          <w:sz w:val="20"/>
        </w:rPr>
        <w:t>src/services/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src/store/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src/core/</w:t>
      </w:r>
      <w:r>
        <w:rPr>
          <w:rFonts w:ascii="宋体" w:hAnsi="宋体" w:eastAsia="宋体"/>
          <w:b w:val="0"/>
          <w:i w:val="0"/>
          <w:sz w:val="22"/>
        </w:rPr>
        <w:t xml:space="preserve"> 进行 JSDoc 补全专项行动。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4. 将 </w:t>
      </w:r>
      <w:r>
        <w:rPr>
          <w:rFonts w:ascii="Consolas" w:hAnsi="Consolas"/>
          <w:sz w:val="20"/>
        </w:rPr>
        <w:t>audit:docs</w:t>
      </w:r>
      <w:r>
        <w:rPr>
          <w:rFonts w:ascii="宋体" w:hAnsi="宋体" w:eastAsia="宋体"/>
          <w:b w:val="0"/>
          <w:i w:val="0"/>
          <w:sz w:val="22"/>
        </w:rPr>
        <w:t xml:space="preserve"> 接入 </w:t>
      </w:r>
      <w:r>
        <w:rPr>
          <w:rFonts w:ascii="Consolas" w:hAnsi="Consolas"/>
          <w:sz w:val="20"/>
        </w:rPr>
        <w:t>npm run audit</w:t>
      </w:r>
      <w:r>
        <w:rPr>
          <w:rFonts w:ascii="宋体" w:hAnsi="宋体" w:eastAsia="宋体"/>
          <w:b w:val="0"/>
          <w:i w:val="0"/>
          <w:sz w:val="22"/>
        </w:rPr>
        <w:t xml:space="preserve"> 总命令。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5. 在 CI 中运行，未通过时阻断合并。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风险与缓解措施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缓解措施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历史代码 JSDoc 补全工作量大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短期拖累进度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分模块逐步推进，优先补齐 Service 与 Store 公共 API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过度注释降低代码可读性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维护负担增加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仅要求公共 API 必须注释，私有函数可选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T8：代码复杂度专项治理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目标</w:t>
      </w:r>
      <w:r>
        <w:rPr>
          <w:rFonts w:ascii="宋体" w:hAnsi="宋体" w:eastAsia="宋体"/>
          <w:b w:val="0"/>
          <w:i w:val="0"/>
          <w:sz w:val="22"/>
        </w:rPr>
        <w:t>：降低深层嵌套、长链式条件与重复判断，提升代码可维护性，减少 AI 修改时的回归风险。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预期成果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scripts/complexity-scan.ts</w:t>
      </w:r>
      <w:r>
        <w:rPr>
          <w:rFonts w:ascii="宋体" w:hAnsi="宋体" w:eastAsia="宋体"/>
          <w:b w:val="0"/>
          <w:i w:val="0"/>
          <w:sz w:val="22"/>
        </w:rPr>
        <w:t>：基于 AST 扫描嵌套深度、分支链长度、重复条件。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optimization-plan.md</w:t>
      </w:r>
      <w:r>
        <w:rPr>
          <w:rFonts w:ascii="宋体" w:hAnsi="宋体" w:eastAsia="宋体"/>
          <w:b w:val="0"/>
          <w:i w:val="0"/>
          <w:sz w:val="22"/>
        </w:rPr>
        <w:t xml:space="preserve"> 中 P0 模块完成重构。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复杂度指标下降：真实深层嵌套减少 ≥ 50%，≥6 分支链减少 ≥ 60%，重复条件减少 ≥ 40%。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验收标准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npm run complexity-scan</w:t>
      </w:r>
      <w:r>
        <w:rPr>
          <w:rFonts w:ascii="宋体" w:hAnsi="宋体" w:eastAsia="宋体"/>
          <w:b w:val="0"/>
          <w:i w:val="0"/>
          <w:sz w:val="22"/>
        </w:rPr>
        <w:t xml:space="preserve"> 输出中，P0 模块无 ≥6 层嵌套、无 ≥8 分支链。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重构后 </w:t>
      </w:r>
      <w:r>
        <w:rPr>
          <w:rFonts w:ascii="Consolas" w:hAnsi="Consolas"/>
          <w:sz w:val="20"/>
        </w:rPr>
        <w:t>audit:layers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tsc:prod</w:t>
      </w:r>
      <w:r>
        <w:rPr>
          <w:rFonts w:ascii="宋体" w:hAnsi="宋体" w:eastAsia="宋体"/>
          <w:b w:val="0"/>
          <w:i w:val="0"/>
          <w:sz w:val="22"/>
        </w:rPr>
        <w:t>、单元测试全部通过。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关键步骤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基于现有 </w:t>
      </w:r>
      <w:r>
        <w:rPr>
          <w:rFonts w:ascii="Consolas" w:hAnsi="Consolas"/>
          <w:sz w:val="20"/>
        </w:rPr>
        <w:t>nested-code-review-report.json</w:t>
      </w:r>
      <w:r>
        <w:rPr>
          <w:rFonts w:ascii="宋体" w:hAnsi="宋体" w:eastAsia="宋体"/>
          <w:b w:val="0"/>
          <w:i w:val="0"/>
          <w:sz w:val="22"/>
        </w:rPr>
        <w:t>，按模块排序形成治理清单。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对 </w:t>
      </w:r>
      <w:r>
        <w:rPr>
          <w:rFonts w:ascii="Consolas" w:hAnsi="Consolas"/>
          <w:sz w:val="20"/>
        </w:rPr>
        <w:t>src/core/databridge.ts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src/core/databridgeHandlers.ts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src/mcp/core/server.ts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src/mcp/core/client.ts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src/data/db-migrations.ts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src/data/sectorDefinitions.ts</w:t>
      </w:r>
      <w:r>
        <w:rPr>
          <w:rFonts w:ascii="宋体" w:hAnsi="宋体" w:eastAsia="宋体"/>
          <w:b w:val="0"/>
          <w:i w:val="0"/>
          <w:sz w:val="22"/>
        </w:rPr>
        <w:t xml:space="preserve"> 等 P0 模块逐个重构。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3. 应用策略表、卫语句、提前返回、谓词函数提取等手法降低复杂度。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4. 每重构一个模块，运行对应单元测试与 </w:t>
      </w:r>
      <w:r>
        <w:rPr>
          <w:rFonts w:ascii="Consolas" w:hAnsi="Consolas"/>
          <w:sz w:val="20"/>
        </w:rPr>
        <w:t>tsc:prod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5. 将 </w:t>
      </w:r>
      <w:r>
        <w:rPr>
          <w:rFonts w:ascii="Consolas" w:hAnsi="Consolas"/>
          <w:sz w:val="20"/>
        </w:rPr>
        <w:t>complexity-scan</w:t>
      </w:r>
      <w:r>
        <w:rPr>
          <w:rFonts w:ascii="宋体" w:hAnsi="宋体" w:eastAsia="宋体"/>
          <w:b w:val="0"/>
          <w:i w:val="0"/>
          <w:sz w:val="22"/>
        </w:rPr>
        <w:t xml:space="preserve"> 接入 CI，作为趋势监控。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风险与缓解措施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缓解措施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重构引入行为变更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业务逻辑回归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重构前为每个 P0 模块补充快照测试或集成测试，重构后比对输出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复杂度指标下降但可读性未改善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形式主义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将重构结果提交人工评审，重点审查是否真正降低认知负担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五、长期任务（3–6 个月）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T9：构建项目专属 AI 记忆层（RAG）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目标</w:t>
      </w:r>
      <w:r>
        <w:rPr>
          <w:rFonts w:ascii="宋体" w:hAnsi="宋体" w:eastAsia="宋体"/>
          <w:b w:val="0"/>
          <w:i w:val="0"/>
          <w:sz w:val="22"/>
        </w:rPr>
        <w:t xml:space="preserve">：将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>、设计令牌映射、知识卡片、测试模板、迁移检查清单等知识资产向量化，提升 AI 长会话稳定性与生成质量。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预期成果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ai-knowledge/</w:t>
      </w:r>
      <w:r>
        <w:rPr>
          <w:rFonts w:ascii="宋体" w:hAnsi="宋体" w:eastAsia="宋体"/>
          <w:b w:val="0"/>
          <w:i w:val="0"/>
          <w:sz w:val="22"/>
        </w:rPr>
        <w:t xml:space="preserve"> 目录：存放结构化知识片段。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本地向量存储或轻量级 RAG 服务（如使用 </w:t>
      </w:r>
      <w:r>
        <w:rPr>
          <w:rFonts w:ascii="Consolas" w:hAnsi="Consolas"/>
          <w:sz w:val="20"/>
        </w:rPr>
        <w:t>langchain</w:t>
      </w:r>
      <w:r>
        <w:rPr>
          <w:rFonts w:ascii="宋体" w:hAnsi="宋体" w:eastAsia="宋体"/>
          <w:b w:val="0"/>
          <w:i w:val="0"/>
          <w:sz w:val="22"/>
        </w:rPr>
        <w:t xml:space="preserve"> + </w:t>
      </w:r>
      <w:r>
        <w:rPr>
          <w:rFonts w:ascii="Consolas" w:hAnsi="Consolas"/>
          <w:sz w:val="20"/>
        </w:rPr>
        <w:t>chroma</w:t>
      </w:r>
      <w:r>
        <w:rPr>
          <w:rFonts w:ascii="宋体" w:hAnsi="宋体" w:eastAsia="宋体"/>
          <w:b w:val="0"/>
          <w:i w:val="0"/>
          <w:sz w:val="22"/>
        </w:rPr>
        <w:t xml:space="preserve"> 或项目内 Markdown 索引）。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AI 会话启动时自动加载与当前任务相关的知识片段。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验收标准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RAG 检索准确率 ≥ 80%（对 20 个典型查询，前 3 条结果包含正确答案）。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使用 RAG 后，AI 生成代码的 </w:t>
      </w:r>
      <w:r>
        <w:rPr>
          <w:rFonts w:ascii="Consolas" w:hAnsi="Consolas"/>
          <w:sz w:val="20"/>
        </w:rPr>
        <w:t>audit:layers</w:t>
      </w:r>
      <w:r>
        <w:rPr>
          <w:rFonts w:ascii="宋体" w:hAnsi="宋体" w:eastAsia="宋体"/>
          <w:b w:val="0"/>
          <w:i w:val="0"/>
          <w:sz w:val="22"/>
        </w:rPr>
        <w:t xml:space="preserve"> 首次违规率下降 50%。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关键步骤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1. 梳理需要纳入 RAG 的知识资产清单。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2. 将长文档按主题切片（每片 500–1000 字），维护元数据（主题、关键词、版本）。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3. 选择 RAG 方案：本地 Chroma 向量库、项目内 SQLite 索引，或 WorkBuddy 内置知识库。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开发索引与检索脚本，支持按任务类型（组件/Service/测试/迁移）加载相关知识。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5. 在 AI 提示词工程工具（Cursor/Trae/WorkBuddy）中配置知识库引用。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6. 持续收集 bad case，迭代切片策略与检索算法。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风险与缓解措施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缓解措施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知识片段过多导致检索噪音大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AI 被无关信息干扰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引入元数据过滤，仅加载与当前文件层、当前任务类型相关的片段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向量库依赖外部服务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离线环境不可用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优先选择本地向量库方案，确保无外网时仍可工作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T10：引入视觉回归测试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目标</w:t>
      </w:r>
      <w:r>
        <w:rPr>
          <w:rFonts w:ascii="宋体" w:hAnsi="宋体" w:eastAsia="宋体"/>
          <w:b w:val="0"/>
          <w:i w:val="0"/>
          <w:sz w:val="22"/>
        </w:rPr>
        <w:t>：量化设计稿与代码渲染差异，防止 UI 改动引发 unintended visual changes。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预期成果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Playwright 视觉回归测试覆盖驾驶舱、分析舱、交易舱、输入舱核心页面。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基线截图纳入版本控制或独立存储。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PR 中自动生成视觉差异报告。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验收标准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核心页面视觉回归测试通过率 ≥ 95%。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任何导致像素级差异的 UI 改动必须在 PR 中可见并经过审批。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关键步骤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在 Playwright 配置中启用 </w:t>
      </w:r>
      <w:r>
        <w:rPr>
          <w:rFonts w:ascii="Consolas" w:hAnsi="Consolas"/>
          <w:sz w:val="20"/>
        </w:rPr>
        <w:t>screenshots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toHaveScreenshot</w:t>
      </w:r>
      <w:r>
        <w:rPr>
          <w:rFonts w:ascii="宋体" w:hAnsi="宋体" w:eastAsia="宋体"/>
          <w:b w:val="0"/>
          <w:i w:val="0"/>
          <w:sz w:val="22"/>
        </w:rPr>
        <w:t xml:space="preserve"> API。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2. 为每个核心页面编写稳定的视觉回归测试用例，固定 viewport 与主题状态。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3. 建立基线截图库，标注每个基线对应的 commit。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在 CI 中运行视觉回归测试，生成差异报告。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5. 制定视觉差异审批流程，明确可接受的差异阈值。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风险与缓解措施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缓解措施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动态数据导致截图不稳定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误报率高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对行情数据、时间等动态元素使用 Mock 或隐藏处理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基线截图库体积过大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仓库膨胀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将基线截图存储在独立 LFS 或对象存储中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T11：建立 AI 生成—审计—修正飞轮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目标</w:t>
      </w:r>
      <w:r>
        <w:rPr>
          <w:rFonts w:ascii="宋体" w:hAnsi="宋体" w:eastAsia="宋体"/>
          <w:b w:val="0"/>
          <w:i w:val="0"/>
          <w:sz w:val="22"/>
        </w:rPr>
        <w:t>：实现 AI 生成代码、自动审计、反馈修正的闭环，使生成质量随项目演进持续提升。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预期成果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自动化脚本：接收 AI 生成代码 → 运行 </w:t>
      </w:r>
      <w:r>
        <w:rPr>
          <w:rFonts w:ascii="Consolas" w:hAnsi="Consolas"/>
          <w:sz w:val="20"/>
        </w:rPr>
        <w:t>audit:layers</w:t>
      </w:r>
      <w:r>
        <w:rPr>
          <w:rFonts w:ascii="宋体" w:hAnsi="宋体" w:eastAsia="宋体"/>
          <w:b w:val="0"/>
          <w:i w:val="0"/>
          <w:sz w:val="22"/>
        </w:rPr>
        <w:t xml:space="preserve"> / </w:t>
      </w:r>
      <w:r>
        <w:rPr>
          <w:rFonts w:ascii="Consolas" w:hAnsi="Consolas"/>
          <w:sz w:val="20"/>
        </w:rPr>
        <w:t>tsc:prod</w:t>
      </w:r>
      <w:r>
        <w:rPr>
          <w:rFonts w:ascii="宋体" w:hAnsi="宋体" w:eastAsia="宋体"/>
          <w:b w:val="0"/>
          <w:i w:val="0"/>
          <w:sz w:val="22"/>
        </w:rPr>
        <w:t xml:space="preserve"> / </w:t>
      </w:r>
      <w:r>
        <w:rPr>
          <w:rFonts w:ascii="Consolas" w:hAnsi="Consolas"/>
          <w:sz w:val="20"/>
        </w:rPr>
        <w:t>lint:colors</w:t>
      </w:r>
      <w:r>
        <w:rPr>
          <w:rFonts w:ascii="宋体" w:hAnsi="宋体" w:eastAsia="宋体"/>
          <w:b w:val="0"/>
          <w:i w:val="0"/>
          <w:sz w:val="22"/>
        </w:rPr>
        <w:t xml:space="preserve"> → 将错误注入 AI 上下文 → 输出修正版本。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修正历史记录：保存常见错误模式与修复方案，供 RAG 使用。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人工确认机制：修正后的代码仍需人工审批方可写入仓库。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验收标准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- 80% 的常见分层违规可通过一次自动反馈循环修复。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飞轮处理单文件平均耗时不超过 3 分钟。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关键步骤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开发 </w:t>
      </w:r>
      <w:r>
        <w:rPr>
          <w:rFonts w:ascii="Consolas" w:hAnsi="Consolas"/>
          <w:sz w:val="20"/>
        </w:rPr>
        <w:t>ai-codegen-feedback.ts</w:t>
      </w:r>
      <w:r>
        <w:rPr>
          <w:rFonts w:ascii="宋体" w:hAnsi="宋体" w:eastAsia="宋体"/>
          <w:b w:val="0"/>
          <w:i w:val="0"/>
          <w:sz w:val="22"/>
        </w:rPr>
        <w:t xml:space="preserve"> 脚本，封装审计命令与错误解析。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2. 将错误信息转换为 AI 可理解的“修正提示”，按错误类型分类。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3. 建立错误—修复模式库，记录高频问题（如 lib 被业务污染、硬编码颜色）。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集成到 WorkBuddy / Cursor / Trae 的 Agent 工作流中。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5. 设置人工确认 gate，避免自动修正引入语义错误。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风险与缓解措施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缓解措施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自动修正过度“修复”导致语义错误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引入隐蔽 bug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强制人工 diff 确认，关键文件需代码审查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飞轮循环陷入死循环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资源浪费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设置最大迭代次数（如 3 次），超时转人工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宋体" w:hAnsi="宋体" w:eastAsia="宋体"/>
          <w:b/>
          <w:i w:val="0"/>
          <w:sz w:val="24"/>
        </w:rPr>
        <w:t>T12：建立架构健康度仪表盘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目标</w:t>
      </w:r>
      <w:r>
        <w:rPr>
          <w:rFonts w:ascii="宋体" w:hAnsi="宋体" w:eastAsia="宋体"/>
          <w:b w:val="0"/>
          <w:i w:val="0"/>
          <w:sz w:val="22"/>
        </w:rPr>
        <w:t>：持续监控分层违规、硬编码、嵌套深度、测试覆盖率、文档同步率等核心指标，形成可视化治理看板。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预期成果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- </w:t>
      </w:r>
      <w:r>
        <w:rPr>
          <w:rFonts w:ascii="Consolas" w:hAnsi="Consolas"/>
          <w:sz w:val="20"/>
        </w:rPr>
        <w:t>scripts/health-dashboard.ts</w:t>
      </w:r>
      <w:r>
        <w:rPr>
          <w:rFonts w:ascii="宋体" w:hAnsi="宋体" w:eastAsia="宋体"/>
          <w:b w:val="0"/>
          <w:i w:val="0"/>
          <w:sz w:val="22"/>
        </w:rPr>
        <w:t>：聚合各门禁与扫描结果，生成 JSON/MD 报告。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可选 Web 看板：在开发服务器中展示实时指标。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每周自动输出架构健康报告。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验收标准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仪表盘覆盖 ≥ 8 项核心指标。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指标趋势可追踪，历史数据保存 ≥ 90 天。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- 任一指标恶化时，自动通知相关负责人。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关键步骤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1. 定义核心指标：layers 违规数、hardcode 数量、嵌套深度 ≥4 处数、链式条件 ≥6 处数、测试覆盖率、JSDoc 覆盖率、文档同步率、路由 orphan 数。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开发聚合脚本，复用现有 </w:t>
      </w:r>
      <w:r>
        <w:rPr>
          <w:rFonts w:ascii="Consolas" w:hAnsi="Consolas"/>
          <w:sz w:val="20"/>
        </w:rPr>
        <w:t>audit:*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complexity-scan</w:t>
      </w:r>
      <w:r>
        <w:rPr>
          <w:rFonts w:ascii="宋体" w:hAnsi="宋体" w:eastAsia="宋体"/>
          <w:b w:val="0"/>
          <w:i w:val="0"/>
          <w:sz w:val="22"/>
        </w:rPr>
        <w:t>、</w:t>
      </w:r>
      <w:r>
        <w:rPr>
          <w:rFonts w:ascii="Consolas" w:hAnsi="Consolas"/>
          <w:sz w:val="20"/>
        </w:rPr>
        <w:t>verify-docs</w:t>
      </w:r>
      <w:r>
        <w:rPr>
          <w:rFonts w:ascii="宋体" w:hAnsi="宋体" w:eastAsia="宋体"/>
          <w:b w:val="0"/>
          <w:i w:val="0"/>
          <w:sz w:val="22"/>
        </w:rPr>
        <w:t xml:space="preserve"> 输出。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将结果输出为 </w:t>
      </w:r>
      <w:r>
        <w:rPr>
          <w:rFonts w:ascii="Consolas" w:hAnsi="Consolas"/>
          <w:sz w:val="20"/>
        </w:rPr>
        <w:t>health-report.json</w:t>
      </w:r>
      <w:r>
        <w:rPr>
          <w:rFonts w:ascii="宋体" w:hAnsi="宋体" w:eastAsia="宋体"/>
          <w:b w:val="0"/>
          <w:i w:val="0"/>
          <w:sz w:val="22"/>
        </w:rPr>
        <w:t xml:space="preserve"> 与 </w:t>
      </w:r>
      <w:r>
        <w:rPr>
          <w:rFonts w:ascii="Consolas" w:hAnsi="Consolas"/>
          <w:sz w:val="20"/>
        </w:rPr>
        <w:t>health-report.md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可选：使用轻量级图表库搭建 Web 看板。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5. 配置定时任务（如每周一早上）自动发送报告。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2"/>
        </w:rPr>
        <w:t>风险与缓解措施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影响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缓解措施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指标过多导致注意力分散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关键问题被淹没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每期报告仅突出 Top 3 恶化指标与 Top 3 改进指标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数据采集脚本运行耗时过长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看板更新不及时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对可增量计算的指标使用缓存，仅重新计算变更部分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六、实施顺序与依赖关系图</w:t>
      </w:r>
    </w:p>
    <w:p>
      <w:pPr>
        <w:ind w:left="720"/>
        <w:shd w:val="clear" w:color="auto" w:fill="F5F5F5"/>
      </w:pPr>
      <w:r>
        <w:rPr>
          <w:rFonts w:ascii="Consolas" w:hAnsi="Consolas"/>
          <w:sz w:val="20"/>
        </w:rPr>
        <w:t>短期（1–2 周）</w:t>
        <w:br/>
        <w:t>+-- T1 统一提示词模板 -----+</w:t>
        <w:br/>
        <w:t>+-- T2 设计令牌映射表 --+  |</w:t>
        <w:br/>
        <w:t>+-- T3 Husky 预提交门禁 &lt;--+  |</w:t>
        <w:br/>
        <w:t>+-- T4 UI 迁移检查清单 -------+</w:t>
        <w:br/>
        <w:t xml:space="preserve">            |</w:t>
        <w:br/>
        <w:t xml:space="preserve">            v</w:t>
        <w:br/>
        <w:t>中期（1–2 个月）</w:t>
        <w:br/>
        <w:t>+-- T5 组件示例库 &lt;-- T4</w:t>
        <w:br/>
        <w:t>+-- T6 三层测试策略 &lt;-- T3</w:t>
        <w:br/>
        <w:t>+-- T7 文档门禁 &lt;-- T1</w:t>
        <w:br/>
        <w:t>+-- T8 复杂度治理 &lt;-- T3</w:t>
        <w:br/>
        <w:t xml:space="preserve">            |</w:t>
        <w:br/>
        <w:t xml:space="preserve">            v</w:t>
        <w:br/>
        <w:t>长期（3–6 个月）</w:t>
        <w:br/>
        <w:t>+-- T9 AI 记忆层 &lt;-- T1, T2, T7</w:t>
        <w:br/>
        <w:t>+-- T10 视觉回归测试 &lt;-- T5</w:t>
        <w:br/>
        <w:t>+-- T11 生成-审计-修正飞轮 &lt;-- T1, T3, T9</w:t>
        <w:br/>
        <w:t>+-- T12 架构健康度仪表盘 &lt;-- T3, T8</w:t>
      </w:r>
    </w:p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七、里程碑与时间表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里程碑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时间</w:t>
            </w:r>
          </w:p>
        </w:tc>
        <w:tc>
          <w:tcPr>
            <w:tcW w:type="dxa" w:w="292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关键交付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M1：提示词与令牌基线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第 2 周末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T1、T2、T3、T4 完成并接入 CI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M2：测试与文档体系成型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第 6 周末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T5、T6、T7、T8 完成，核心指标下降达标</w:t>
            </w:r>
          </w:p>
        </w:tc>
      </w:tr>
      <w:tr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M3：AI 协同能力升级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第 14 周末</w:t>
            </w:r>
          </w:p>
        </w:tc>
        <w:tc>
          <w:tcPr>
            <w:tcW w:type="dxa" w:w="2929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T9、T10、T11、T12 完成，形成持续优化飞轮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八、资源与角色分工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  <w:tc>
          <w:tcPr>
            <w:tcW w:type="dxa" w:w="439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职责</w:t>
            </w:r>
          </w:p>
        </w:tc>
      </w:tr>
      <w:tr>
        <w:tc>
          <w:tcPr>
            <w:tcW w:type="dxa" w:w="439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架构负责人</w:t>
            </w:r>
          </w:p>
        </w:tc>
        <w:tc>
          <w:tcPr>
            <w:tcW w:type="dxa" w:w="439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审批 T3、T8、T12 的技术方案，监督分层治理</w:t>
            </w:r>
          </w:p>
        </w:tc>
      </w:tr>
      <w:tr>
        <w:tc>
          <w:tcPr>
            <w:tcW w:type="dxa" w:w="439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前端负责人</w:t>
            </w:r>
          </w:p>
        </w:tc>
        <w:tc>
          <w:tcPr>
            <w:tcW w:type="dxa" w:w="439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主导 T4、T5、T10，确保 UI 组件管理与设计规范一致</w:t>
            </w:r>
          </w:p>
        </w:tc>
      </w:tr>
      <w:tr>
        <w:tc>
          <w:tcPr>
            <w:tcW w:type="dxa" w:w="439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测试负责人</w:t>
            </w:r>
          </w:p>
        </w:tc>
        <w:tc>
          <w:tcPr>
            <w:tcW w:type="dxa" w:w="439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主导 T6，建设集成测试与 E2E 测试</w:t>
            </w:r>
          </w:p>
        </w:tc>
      </w:tr>
      <w:tr>
        <w:tc>
          <w:tcPr>
            <w:tcW w:type="dxa" w:w="439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文档/知识管理</w:t>
            </w:r>
          </w:p>
        </w:tc>
        <w:tc>
          <w:tcPr>
            <w:tcW w:type="dxa" w:w="439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主导 T1、T7、T9，维护提示词、JSDoc 规范与知识库</w:t>
            </w:r>
          </w:p>
        </w:tc>
      </w:tr>
      <w:tr>
        <w:tc>
          <w:tcPr>
            <w:tcW w:type="dxa" w:w="439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AI/工具链负责人</w:t>
            </w:r>
          </w:p>
        </w:tc>
        <w:tc>
          <w:tcPr>
            <w:tcW w:type="dxa" w:w="439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主导 T11、T12，搭建自动化飞轮与健康度看板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九、成功指标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  <w:tc>
          <w:tcPr>
            <w:tcW w:type="dxa" w:w="175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当前基线</w:t>
            </w:r>
          </w:p>
        </w:tc>
        <w:tc>
          <w:tcPr>
            <w:tcW w:type="dxa" w:w="175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短期目标</w:t>
            </w:r>
          </w:p>
        </w:tc>
        <w:tc>
          <w:tcPr>
            <w:tcW w:type="dxa" w:w="175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中期目标</w:t>
            </w:r>
          </w:p>
        </w:tc>
        <w:tc>
          <w:tcPr>
            <w:tcW w:type="dxa" w:w="175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长期目标</w:t>
            </w:r>
          </w:p>
        </w:tc>
      </w:tr>
      <w:tr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`audit:layers` 违规数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维持 0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维持 0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维持 0</w:t>
            </w:r>
          </w:p>
        </w:tc>
      </w:tr>
      <w:tr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颜色硬编码数量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≤ 3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</w:tr>
      <w:tr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真实深层嵌套（≥4 层）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61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55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≤ 30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≤ 15</w:t>
            </w:r>
          </w:p>
        </w:tc>
      </w:tr>
      <w:tr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≥6 分支链式条件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28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≤ 12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≤ 5</w:t>
            </w:r>
          </w:p>
        </w:tc>
      </w:tr>
      <w:tr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单元测试覆盖率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待测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维持或提升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≥ 80%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≥ 85%</w:t>
            </w:r>
          </w:p>
        </w:tc>
      </w:tr>
      <w:tr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JSDoc 公共 API 覆盖率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待测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≥ 70%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≥ 90%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≥ 95%</w:t>
            </w:r>
          </w:p>
        </w:tc>
      </w:tr>
      <w:tr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AI 生成代码首次合规率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待测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≥ 70%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≥ 85%</w:t>
            </w:r>
          </w:p>
        </w:tc>
        <w:tc>
          <w:tcPr>
            <w:tcW w:type="dxa" w:w="1758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≥ 90%</w:t>
            </w:r>
          </w:p>
        </w:tc>
      </w:tr>
    </w:tbl>
    <w:p>
      <w:pPr>
        <w:jc w:val="center"/>
      </w:pPr>
      <w:r>
        <w:rPr>
          <w:color w:val="999999"/>
        </w:rPr>
        <w:t>――――――――――――――――――――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十、附则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1. 本计划中的所有任务应保持与现有 </w:t>
      </w:r>
      <w:r>
        <w:rPr>
          <w:rFonts w:ascii="Consolas" w:hAnsi="Consolas"/>
          <w:sz w:val="20"/>
        </w:rPr>
        <w:t>AGENTS.md</w:t>
      </w:r>
      <w:r>
        <w:rPr>
          <w:rFonts w:ascii="宋体" w:hAnsi="宋体" w:eastAsia="宋体"/>
          <w:b w:val="0"/>
          <w:i w:val="0"/>
          <w:sz w:val="22"/>
        </w:rPr>
        <w:t xml:space="preserve"> 分层规则、</w:t>
      </w:r>
      <w:r>
        <w:rPr>
          <w:rFonts w:ascii="Consolas" w:hAnsi="Consolas"/>
          <w:sz w:val="20"/>
        </w:rPr>
        <w:t>src/constants/theme.tokens.ts</w:t>
      </w:r>
      <w:r>
        <w:rPr>
          <w:rFonts w:ascii="宋体" w:hAnsi="宋体" w:eastAsia="宋体"/>
          <w:b w:val="0"/>
          <w:i w:val="0"/>
          <w:sz w:val="22"/>
        </w:rPr>
        <w:t xml:space="preserve"> 设计令牌体系、</w:t>
      </w:r>
      <w:r>
        <w:rPr>
          <w:rFonts w:ascii="Consolas" w:hAnsi="Consolas"/>
          <w:sz w:val="20"/>
        </w:rPr>
        <w:t>npm run audit</w:t>
      </w:r>
      <w:r>
        <w:rPr>
          <w:rFonts w:ascii="宋体" w:hAnsi="宋体" w:eastAsia="宋体"/>
          <w:b w:val="0"/>
          <w:i w:val="0"/>
          <w:sz w:val="22"/>
        </w:rPr>
        <w:t xml:space="preserve"> 质量门禁一致。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2. 新增脚本应优先使用 TypeScript，并存放在 </w:t>
      </w:r>
      <w:r>
        <w:rPr>
          <w:rFonts w:ascii="Consolas" w:hAnsi="Consolas"/>
          <w:sz w:val="20"/>
        </w:rPr>
        <w:t>scripts/</w:t>
      </w:r>
      <w:r>
        <w:rPr>
          <w:rFonts w:ascii="宋体" w:hAnsi="宋体" w:eastAsia="宋体"/>
          <w:b w:val="0"/>
          <w:i w:val="0"/>
          <w:sz w:val="22"/>
        </w:rPr>
        <w:t xml:space="preserve"> 目录，必要时补充 </w:t>
      </w:r>
      <w:r>
        <w:rPr>
          <w:rFonts w:ascii="Consolas" w:hAnsi="Consolas"/>
          <w:sz w:val="20"/>
        </w:rPr>
        <w:t>tsconfig.scripts.json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3. 每项任务完成后，须更新 </w:t>
      </w:r>
      <w:r>
        <w:rPr>
          <w:rFonts w:ascii="Consolas" w:hAnsi="Consolas"/>
          <w:sz w:val="20"/>
        </w:rPr>
        <w:t>CHANGELOG.md</w:t>
      </w:r>
      <w:r>
        <w:rPr>
          <w:rFonts w:ascii="宋体" w:hAnsi="宋体" w:eastAsia="宋体"/>
          <w:b w:val="0"/>
          <w:i w:val="0"/>
          <w:sz w:val="22"/>
        </w:rPr>
        <w:t xml:space="preserve"> 与相关文档，确保知识同步。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本计划每两周评审一次，根据实际进展调整优先级与资源分配。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417" w:left="1701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sz w:val="18"/>
      </w:rPr>
      <w:t xml:space="preserve">第 </w:t>
    </w:r>
    <w:r>
      <w:fldChar w:fldCharType="begin"/>
      <w:instrText>PAGE</w:instrText>
      <w:fldChar w:fldCharType="end"/>
    </w:r>
    <w:r>
      <w:rPr>
        <w:rFonts w:ascii="宋体" w:hAnsi="宋体" w:eastAsia="宋体"/>
        <w:b w:val="0"/>
        <w:i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i w:val="0"/>
        <w:sz w:val="18"/>
      </w:rPr>
      <w:t>FINE 632 全球环境与经济政策 · 影响力论文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