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868A378" w:rsidR="00B64C21" w:rsidRDefault="005E1AA8">
      <w:pPr>
        <w:rPr>
          <w:rFonts w:ascii="Book Antiqua" w:eastAsia="Book Antiqua" w:hAnsi="Book Antiqua" w:cs="Book Antiqua"/>
          <w:b/>
          <w:bCs/>
          <w:sz w:val="24"/>
          <w:szCs w:val="24"/>
        </w:rPr>
      </w:pPr>
      <w:r>
        <w:rPr>
          <w:rFonts w:ascii="Book Antiqua" w:eastAsia="Book Antiqua" w:hAnsi="Book Antiqua" w:cs="Book Antiqua"/>
          <w:b/>
          <w:bCs/>
          <w:sz w:val="24"/>
          <w:szCs w:val="24"/>
        </w:rPr>
        <w:t>A Locally Executed Agentic AI Framework for Deduplication, Screening, and Structured Data Extraction in Spine Surgery Systematic Reviews: A PRISMA</w:t>
      </w:r>
      <w:r>
        <w:rPr>
          <w:rFonts w:ascii="Times New Roman" w:eastAsia="Times New Roman" w:hAnsi="Times New Roman" w:cs="Times New Roman"/>
          <w:b/>
          <w:bCs/>
          <w:sz w:val="24"/>
          <w:szCs w:val="24"/>
        </w:rPr>
        <w:t>‑</w:t>
      </w:r>
      <w:proofErr w:type="spellStart"/>
      <w:r>
        <w:rPr>
          <w:rFonts w:ascii="Book Antiqua" w:eastAsia="Book Antiqua" w:hAnsi="Book Antiqua" w:cs="Book Antiqua"/>
          <w:b/>
          <w:bCs/>
          <w:sz w:val="24"/>
          <w:szCs w:val="24"/>
        </w:rPr>
        <w:t>trAIce</w:t>
      </w:r>
      <w:proofErr w:type="spellEnd"/>
      <w:r>
        <w:rPr>
          <w:rFonts w:ascii="Book Antiqua" w:eastAsia="Book Antiqua" w:hAnsi="Book Antiqua" w:cs="Book Antiqua"/>
          <w:b/>
          <w:bCs/>
          <w:sz w:val="24"/>
          <w:szCs w:val="24"/>
        </w:rPr>
        <w:t xml:space="preserve"> Compliant Evaluation</w:t>
      </w:r>
    </w:p>
    <w:p w14:paraId="00000002" w14:textId="77777777" w:rsidR="00B64C21" w:rsidRDefault="005E1AA8">
      <w:pPr>
        <w:rPr>
          <w:rFonts w:ascii="Book Antiqua" w:eastAsia="Book Antiqua" w:hAnsi="Book Antiqua" w:cs="Book Antiqua"/>
          <w:b/>
          <w:bCs/>
          <w:sz w:val="24"/>
          <w:szCs w:val="24"/>
        </w:rPr>
      </w:pPr>
      <w:r>
        <w:rPr>
          <w:rFonts w:ascii="Book Antiqua" w:eastAsia="Book Antiqua" w:hAnsi="Book Antiqua" w:cs="Book Antiqua"/>
          <w:b/>
          <w:bCs/>
          <w:sz w:val="24"/>
          <w:szCs w:val="24"/>
        </w:rPr>
        <w:t xml:space="preserve">Abstract: </w:t>
      </w:r>
    </w:p>
    <w:p w14:paraId="00000003" w14:textId="77777777" w:rsidR="00B64C21" w:rsidRDefault="005E1AA8">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 xml:space="preserve">Study design: </w:t>
      </w:r>
      <w:r>
        <w:rPr>
          <w:rFonts w:ascii="Book Antiqua" w:eastAsia="Book Antiqua" w:hAnsi="Book Antiqua" w:cs="Book Antiqua"/>
          <w:sz w:val="24"/>
          <w:szCs w:val="24"/>
        </w:rPr>
        <w:t>Methods development and validation study.</w:t>
      </w:r>
      <w:r>
        <w:rPr>
          <w:rFonts w:ascii="Book Antiqua" w:eastAsia="Book Antiqua" w:hAnsi="Book Antiqua" w:cs="Book Antiqua"/>
          <w:b/>
          <w:bCs/>
          <w:i/>
          <w:iCs/>
          <w:sz w:val="24"/>
          <w:szCs w:val="24"/>
        </w:rPr>
        <w:t xml:space="preserve"> </w:t>
      </w:r>
    </w:p>
    <w:p w14:paraId="00000004" w14:textId="77777777" w:rsidR="00B64C21" w:rsidRDefault="005E1AA8">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 xml:space="preserve">Objective: </w:t>
      </w:r>
      <w:r>
        <w:rPr>
          <w:rFonts w:ascii="Book Antiqua" w:eastAsia="Book Antiqua" w:hAnsi="Book Antiqua" w:cs="Book Antiqua"/>
          <w:sz w:val="24"/>
          <w:szCs w:val="24"/>
        </w:rPr>
        <w:t>To develop and validate a locally executed agentic AI framework capable of performing deduplication, screening, and structured data extraction in systematic reviews, with transparent reporting following PRISMA</w:t>
      </w:r>
      <w:r>
        <w:rPr>
          <w:rFonts w:ascii="Times New Roman" w:eastAsia="Times New Roman" w:hAnsi="Times New Roman" w:cs="Times New Roman"/>
          <w:sz w:val="24"/>
          <w:szCs w:val="24"/>
        </w:rPr>
        <w:t>‑</w:t>
      </w:r>
      <w:proofErr w:type="spellStart"/>
      <w:r>
        <w:rPr>
          <w:rFonts w:ascii="Book Antiqua" w:eastAsia="Book Antiqua" w:hAnsi="Book Antiqua" w:cs="Book Antiqua"/>
          <w:sz w:val="24"/>
          <w:szCs w:val="24"/>
        </w:rPr>
        <w:t>trAIce</w:t>
      </w:r>
      <w:proofErr w:type="spellEnd"/>
      <w:r>
        <w:rPr>
          <w:rFonts w:ascii="Book Antiqua" w:eastAsia="Book Antiqua" w:hAnsi="Book Antiqua" w:cs="Book Antiqua"/>
          <w:sz w:val="24"/>
          <w:szCs w:val="24"/>
        </w:rPr>
        <w:t xml:space="preserve"> guidelines.</w:t>
      </w:r>
    </w:p>
    <w:p w14:paraId="00000005" w14:textId="77777777" w:rsidR="00B64C21" w:rsidRDefault="005E1AA8">
      <w:pPr>
        <w:rPr>
          <w:rFonts w:ascii="Book Antiqua" w:eastAsia="Book Antiqua" w:hAnsi="Book Antiqua" w:cs="Book Antiqua"/>
          <w:sz w:val="24"/>
          <w:szCs w:val="24"/>
        </w:rPr>
      </w:pPr>
      <w:r>
        <w:rPr>
          <w:rFonts w:ascii="Book Antiqua" w:eastAsia="Book Antiqua" w:hAnsi="Book Antiqua" w:cs="Book Antiqua"/>
          <w:b/>
          <w:bCs/>
          <w:i/>
          <w:iCs/>
          <w:sz w:val="24"/>
          <w:szCs w:val="24"/>
        </w:rPr>
        <w:t>Methods:</w:t>
      </w:r>
      <w:r>
        <w:rPr>
          <w:rFonts w:ascii="Book Antiqua" w:eastAsia="Book Antiqua" w:hAnsi="Book Antiqua" w:cs="Book Antiqua"/>
          <w:sz w:val="24"/>
          <w:szCs w:val="24"/>
        </w:rPr>
        <w:t xml:space="preserve"> We designed a multi</w:t>
      </w:r>
      <w:r>
        <w:rPr>
          <w:rFonts w:ascii="Times New Roman" w:eastAsia="Times New Roman" w:hAnsi="Times New Roman" w:cs="Times New Roman"/>
          <w:sz w:val="24"/>
          <w:szCs w:val="24"/>
        </w:rPr>
        <w:t>‑</w:t>
      </w:r>
      <w:r>
        <w:rPr>
          <w:rFonts w:ascii="Book Antiqua" w:eastAsia="Book Antiqua" w:hAnsi="Book Antiqua" w:cs="Book Antiqua"/>
          <w:sz w:val="24"/>
          <w:szCs w:val="24"/>
        </w:rPr>
        <w:t>agent pipeline composed of specialised agents for deduplication, title/abstract screening, structured data extraction, and verification. All processes were executed locally to ensure data governance and reproducibility. Human</w:t>
      </w:r>
      <w:r>
        <w:rPr>
          <w:rFonts w:ascii="Times New Roman" w:eastAsia="Times New Roman" w:hAnsi="Times New Roman" w:cs="Times New Roman"/>
          <w:sz w:val="24"/>
          <w:szCs w:val="24"/>
        </w:rPr>
        <w:t>‑</w:t>
      </w:r>
      <w:r>
        <w:rPr>
          <w:rFonts w:ascii="Book Antiqua" w:eastAsia="Book Antiqua" w:hAnsi="Book Antiqua" w:cs="Book Antiqua"/>
          <w:sz w:val="24"/>
          <w:szCs w:val="24"/>
        </w:rPr>
        <w:t>in</w:t>
      </w:r>
      <w:r>
        <w:rPr>
          <w:rFonts w:ascii="Times New Roman" w:eastAsia="Times New Roman" w:hAnsi="Times New Roman" w:cs="Times New Roman"/>
          <w:sz w:val="24"/>
          <w:szCs w:val="24"/>
        </w:rPr>
        <w:t>‑</w:t>
      </w:r>
      <w:r>
        <w:rPr>
          <w:rFonts w:ascii="Book Antiqua" w:eastAsia="Book Antiqua" w:hAnsi="Book Antiqua" w:cs="Book Antiqua"/>
          <w:sz w:val="24"/>
          <w:szCs w:val="24"/>
        </w:rPr>
        <w:t>the</w:t>
      </w:r>
      <w:r>
        <w:rPr>
          <w:rFonts w:ascii="Times New Roman" w:eastAsia="Times New Roman" w:hAnsi="Times New Roman" w:cs="Times New Roman"/>
          <w:sz w:val="24"/>
          <w:szCs w:val="24"/>
        </w:rPr>
        <w:t>‑</w:t>
      </w:r>
      <w:r>
        <w:rPr>
          <w:rFonts w:ascii="Book Antiqua" w:eastAsia="Book Antiqua" w:hAnsi="Book Antiqua" w:cs="Book Antiqua"/>
          <w:sz w:val="24"/>
          <w:szCs w:val="24"/>
        </w:rPr>
        <w:t>loop validation was implemented, with outputs compared against dual independent reviewers across three systematic reviews in spine surgery. Performance was assessed using accuracy, inter</w:t>
      </w:r>
      <w:r>
        <w:rPr>
          <w:rFonts w:ascii="Times New Roman" w:eastAsia="Times New Roman" w:hAnsi="Times New Roman" w:cs="Times New Roman"/>
          <w:sz w:val="24"/>
          <w:szCs w:val="24"/>
        </w:rPr>
        <w:t>‑</w:t>
      </w:r>
      <w:r>
        <w:rPr>
          <w:rFonts w:ascii="Book Antiqua" w:eastAsia="Book Antiqua" w:hAnsi="Book Antiqua" w:cs="Book Antiqua"/>
          <w:sz w:val="24"/>
          <w:szCs w:val="24"/>
        </w:rPr>
        <w:t>rater agreement (Cohen’s κ), time savings, and clinically critical error rates.</w:t>
      </w:r>
    </w:p>
    <w:p w14:paraId="00000006" w14:textId="77777777" w:rsidR="00B64C21" w:rsidRDefault="005E1AA8">
      <w:pPr>
        <w:rPr>
          <w:rFonts w:ascii="Book Antiqua" w:eastAsia="Book Antiqua" w:hAnsi="Book Antiqua" w:cs="Book Antiqua"/>
          <w:sz w:val="24"/>
          <w:szCs w:val="24"/>
        </w:rPr>
      </w:pPr>
      <w:r>
        <w:rPr>
          <w:rFonts w:ascii="Book Antiqua" w:eastAsia="Book Antiqua" w:hAnsi="Book Antiqua" w:cs="Book Antiqua"/>
          <w:b/>
          <w:bCs/>
          <w:i/>
          <w:iCs/>
          <w:sz w:val="24"/>
          <w:szCs w:val="24"/>
        </w:rPr>
        <w:t>Results:</w:t>
      </w:r>
      <w:r>
        <w:rPr>
          <w:rFonts w:ascii="Book Antiqua" w:eastAsia="Book Antiqua" w:hAnsi="Book Antiqua" w:cs="Book Antiqua"/>
          <w:sz w:val="24"/>
          <w:szCs w:val="24"/>
        </w:rPr>
        <w:t xml:space="preserve"> A total of 6,214 records were processed. Deduplication achieved near</w:t>
      </w:r>
      <w:r>
        <w:rPr>
          <w:rFonts w:ascii="Times New Roman" w:eastAsia="Times New Roman" w:hAnsi="Times New Roman" w:cs="Times New Roman"/>
          <w:sz w:val="24"/>
          <w:szCs w:val="24"/>
        </w:rPr>
        <w:t>‑</w:t>
      </w:r>
      <w:r>
        <w:rPr>
          <w:rFonts w:ascii="Book Antiqua" w:eastAsia="Book Antiqua" w:hAnsi="Book Antiqua" w:cs="Book Antiqua"/>
          <w:sz w:val="24"/>
          <w:szCs w:val="24"/>
        </w:rPr>
        <w:t>perfect agreement with human reviewers (κ = 0.98). Title and abstract screening of 4,861 records yielded higher concordance than human screening (κ = 0.91) and reduced the volume requiring full</w:t>
      </w:r>
      <w:r>
        <w:rPr>
          <w:rFonts w:ascii="Times New Roman" w:eastAsia="Times New Roman" w:hAnsi="Times New Roman" w:cs="Times New Roman"/>
          <w:sz w:val="24"/>
          <w:szCs w:val="24"/>
        </w:rPr>
        <w:t>‑</w:t>
      </w:r>
      <w:r>
        <w:rPr>
          <w:rFonts w:ascii="Book Antiqua" w:eastAsia="Book Antiqua" w:hAnsi="Book Antiqua" w:cs="Book Antiqua"/>
          <w:sz w:val="24"/>
          <w:szCs w:val="24"/>
        </w:rPr>
        <w:t>text review by 83%. Structured data extraction reached substantial agreement with human extraction (κ = 0.87). Across tasks, the agentic AI framework significantly reduced reviewer time requirements by 88.51% (85.8%-91.5%), corresponding to a mean saving of 19.5 hours per review (p&lt;0.001). Clinically critical discrepancies were rare (&lt;1%) and traceable, with no fabricated or hallucinated data introduced.</w:t>
      </w:r>
    </w:p>
    <w:p w14:paraId="00000007" w14:textId="77777777" w:rsidR="00B64C21" w:rsidRDefault="005E1AA8">
      <w:pPr>
        <w:rPr>
          <w:rFonts w:ascii="Book Antiqua" w:eastAsia="Book Antiqua" w:hAnsi="Book Antiqua" w:cs="Book Antiqua"/>
          <w:sz w:val="24"/>
          <w:szCs w:val="24"/>
        </w:rPr>
      </w:pPr>
      <w:r>
        <w:rPr>
          <w:rFonts w:ascii="Book Antiqua" w:eastAsia="Book Antiqua" w:hAnsi="Book Antiqua" w:cs="Book Antiqua"/>
          <w:b/>
          <w:bCs/>
          <w:i/>
          <w:iCs/>
          <w:sz w:val="24"/>
          <w:szCs w:val="24"/>
        </w:rPr>
        <w:t>Conclusions:</w:t>
      </w:r>
      <w:r>
        <w:rPr>
          <w:rFonts w:ascii="Book Antiqua" w:eastAsia="Book Antiqua" w:hAnsi="Book Antiqua" w:cs="Book Antiqua"/>
          <w:sz w:val="24"/>
          <w:szCs w:val="24"/>
        </w:rPr>
        <w:t xml:space="preserve"> A locally executed agentic AI framework can deliver accurate, efficient, and secure automation of systematic review tasks. By integrating multiple agents with human oversight, it achieved strong concordance, minimised critical errors, and significantly reduced workload, demonstrating a reproducible pathway for trustworthy evidence synthesis under PRISMA</w:t>
      </w:r>
      <w:r>
        <w:rPr>
          <w:rFonts w:ascii="Times New Roman" w:eastAsia="Times New Roman" w:hAnsi="Times New Roman" w:cs="Times New Roman"/>
          <w:sz w:val="24"/>
          <w:szCs w:val="24"/>
        </w:rPr>
        <w:t>‑</w:t>
      </w:r>
      <w:proofErr w:type="spellStart"/>
      <w:r>
        <w:rPr>
          <w:rFonts w:ascii="Book Antiqua" w:eastAsia="Book Antiqua" w:hAnsi="Book Antiqua" w:cs="Book Antiqua"/>
          <w:sz w:val="24"/>
          <w:szCs w:val="24"/>
        </w:rPr>
        <w:t>trAIce</w:t>
      </w:r>
      <w:proofErr w:type="spellEnd"/>
      <w:r>
        <w:rPr>
          <w:rFonts w:ascii="Book Antiqua" w:eastAsia="Book Antiqua" w:hAnsi="Book Antiqua" w:cs="Book Antiqua"/>
          <w:sz w:val="24"/>
          <w:szCs w:val="24"/>
        </w:rPr>
        <w:t xml:space="preserve"> standards.</w:t>
      </w:r>
    </w:p>
    <w:p w14:paraId="00000008" w14:textId="77777777" w:rsidR="00B64C21" w:rsidRDefault="00B64C21">
      <w:pPr>
        <w:rPr>
          <w:rFonts w:ascii="Book Antiqua" w:eastAsia="Book Antiqua" w:hAnsi="Book Antiqua" w:cs="Book Antiqua"/>
          <w:sz w:val="24"/>
          <w:szCs w:val="24"/>
        </w:rPr>
      </w:pPr>
    </w:p>
    <w:p w14:paraId="00000009" w14:textId="77777777" w:rsidR="00B64C21" w:rsidRDefault="005E1AA8">
      <w:pPr>
        <w:rPr>
          <w:rFonts w:ascii="Book Antiqua" w:eastAsia="Book Antiqua" w:hAnsi="Book Antiqua" w:cs="Book Antiqua"/>
          <w:sz w:val="24"/>
          <w:szCs w:val="24"/>
        </w:rPr>
      </w:pPr>
      <w:r>
        <w:rPr>
          <w:rFonts w:ascii="Book Antiqua" w:eastAsia="Book Antiqua" w:hAnsi="Book Antiqua" w:cs="Book Antiqua"/>
          <w:b/>
          <w:bCs/>
          <w:i/>
          <w:iCs/>
          <w:sz w:val="24"/>
          <w:szCs w:val="24"/>
        </w:rPr>
        <w:t>Keywords:</w:t>
      </w:r>
      <w:r>
        <w:rPr>
          <w:rFonts w:ascii="Book Antiqua" w:eastAsia="Book Antiqua" w:hAnsi="Book Antiqua" w:cs="Book Antiqua"/>
          <w:sz w:val="24"/>
          <w:szCs w:val="24"/>
        </w:rPr>
        <w:t xml:space="preserve"> Agentic AI; Systematic review; Meta</w:t>
      </w:r>
      <w:r>
        <w:rPr>
          <w:rFonts w:ascii="Times New Roman" w:eastAsia="Times New Roman" w:hAnsi="Times New Roman" w:cs="Times New Roman"/>
          <w:sz w:val="24"/>
          <w:szCs w:val="24"/>
        </w:rPr>
        <w:t>‑</w:t>
      </w:r>
      <w:r>
        <w:rPr>
          <w:rFonts w:ascii="Book Antiqua" w:eastAsia="Book Antiqua" w:hAnsi="Book Antiqua" w:cs="Book Antiqua"/>
          <w:sz w:val="24"/>
          <w:szCs w:val="24"/>
        </w:rPr>
        <w:t>analysis; Deduplication; Evidence synthesis.</w:t>
      </w:r>
    </w:p>
    <w:p w14:paraId="0000000A" w14:textId="77777777" w:rsidR="00B64C21" w:rsidRDefault="00B64C21">
      <w:pPr>
        <w:rPr>
          <w:rFonts w:ascii="Book Antiqua" w:eastAsia="Book Antiqua" w:hAnsi="Book Antiqua" w:cs="Book Antiqua"/>
          <w:sz w:val="24"/>
          <w:szCs w:val="24"/>
        </w:rPr>
      </w:pPr>
    </w:p>
    <w:p w14:paraId="0000000B" w14:textId="77777777" w:rsidR="00B64C21" w:rsidRDefault="00B64C21">
      <w:pPr>
        <w:rPr>
          <w:rFonts w:ascii="Book Antiqua" w:eastAsia="Book Antiqua" w:hAnsi="Book Antiqua" w:cs="Book Antiqua"/>
          <w:sz w:val="24"/>
          <w:szCs w:val="24"/>
        </w:rPr>
      </w:pPr>
    </w:p>
    <w:p w14:paraId="0000000C" w14:textId="77777777" w:rsidR="00B64C21" w:rsidRDefault="00B64C21">
      <w:pPr>
        <w:rPr>
          <w:rFonts w:ascii="Book Antiqua" w:eastAsia="Book Antiqua" w:hAnsi="Book Antiqua" w:cs="Book Antiqua"/>
          <w:sz w:val="24"/>
          <w:szCs w:val="24"/>
        </w:rPr>
      </w:pPr>
    </w:p>
    <w:p w14:paraId="0000000D" w14:textId="77777777" w:rsidR="00B64C21" w:rsidRDefault="00B64C21">
      <w:pPr>
        <w:rPr>
          <w:rFonts w:ascii="Book Antiqua" w:eastAsia="Book Antiqua" w:hAnsi="Book Antiqua" w:cs="Book Antiqua"/>
          <w:sz w:val="24"/>
          <w:szCs w:val="24"/>
        </w:rPr>
      </w:pPr>
    </w:p>
    <w:p w14:paraId="0000000E" w14:textId="77777777" w:rsidR="00B64C21" w:rsidRDefault="00B64C21">
      <w:pPr>
        <w:rPr>
          <w:rFonts w:ascii="Book Antiqua" w:eastAsia="Book Antiqua" w:hAnsi="Book Antiqua" w:cs="Book Antiqua"/>
          <w:sz w:val="24"/>
          <w:szCs w:val="24"/>
        </w:rPr>
      </w:pPr>
    </w:p>
    <w:p w14:paraId="0000000F" w14:textId="77777777" w:rsidR="00B64C21" w:rsidRDefault="005E1AA8">
      <w:pPr>
        <w:rPr>
          <w:rFonts w:ascii="Book Antiqua" w:eastAsia="Book Antiqua" w:hAnsi="Book Antiqua" w:cs="Book Antiqua"/>
          <w:b/>
          <w:bCs/>
          <w:sz w:val="24"/>
          <w:szCs w:val="24"/>
        </w:rPr>
      </w:pPr>
      <w:r>
        <w:rPr>
          <w:rFonts w:ascii="Book Antiqua" w:eastAsia="Book Antiqua" w:hAnsi="Book Antiqua" w:cs="Book Antiqua"/>
          <w:b/>
          <w:bCs/>
          <w:sz w:val="24"/>
          <w:szCs w:val="24"/>
        </w:rPr>
        <w:lastRenderedPageBreak/>
        <w:t>Introduction</w:t>
      </w:r>
    </w:p>
    <w:p w14:paraId="00000010" w14:textId="4CA683CF"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Systematic reviews and meta</w:t>
      </w:r>
      <w:r>
        <w:rPr>
          <w:rFonts w:ascii="Times New Roman" w:eastAsia="Times New Roman" w:hAnsi="Times New Roman" w:cs="Times New Roman"/>
          <w:sz w:val="24"/>
          <w:szCs w:val="24"/>
        </w:rPr>
        <w:t>‑</w:t>
      </w:r>
      <w:r>
        <w:rPr>
          <w:rFonts w:ascii="Book Antiqua" w:eastAsia="Book Antiqua" w:hAnsi="Book Antiqua" w:cs="Book Antiqua"/>
          <w:sz w:val="24"/>
          <w:szCs w:val="24"/>
        </w:rPr>
        <w:t>analyses occupy a central role in evidence</w:t>
      </w:r>
      <w:r>
        <w:rPr>
          <w:rFonts w:ascii="Times New Roman" w:eastAsia="Times New Roman" w:hAnsi="Times New Roman" w:cs="Times New Roman"/>
          <w:sz w:val="24"/>
          <w:szCs w:val="24"/>
        </w:rPr>
        <w:t>‑</w:t>
      </w:r>
      <w:r w:rsidR="00D93A57">
        <w:rPr>
          <w:rFonts w:ascii="Book Antiqua" w:eastAsia="Book Antiqua" w:hAnsi="Book Antiqua" w:cs="Book Antiqua"/>
          <w:sz w:val="24"/>
          <w:szCs w:val="24"/>
        </w:rPr>
        <w:t>based medicine.</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{"citationID":"GS2F5TER","properties":{"formattedCitation":"\\super 1\\nosupersub{}","plainCitation":"1","noteIndex":0},"citationItems":[{"id":71863,"uris":["http://zotero.org/users/4194337/items/I7CD3RHI"],"itemData":{"id":71863,"type":"chapter","abstract":"Evidence-based medicine (EBM) uses the scientific method to organize and apply current data to improve healthcare decisions. Thus, the best available science is combined with the healthcare professional's clinical experience and the patient's values to arrive at the best medical decision for the patient. There are 5 main steps for applying EBM to clinical practice:","call-number":"NBK470182","container-title":"StatPearls","language":"eng","license":"Copyright © 2026, StatPearls Publishing LLC.","note":"PMID: 29262040","publisher":"StatPearls Publishing","publisher-place":"Treasure Island (FL)","source":"PubMed","title":"Evidence-Based Medicine","URL":"http://www.ncbi.nlm.nih.gov/books/NBK470182/","author":[{"family":"Tenny","given":"Steven"},{"family":"Varacallo","given":"Matthew A."}],"accessed":{"date-parts":[["2026",3,12]]},"issued":{"date-parts":[["2026"]]}}}],"schema":"https://github.com/citation-style-language/schema/raw/master/csl-citation.json"}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1</w:t>
      </w:r>
      <w:r w:rsidR="003B0DAD">
        <w:rPr>
          <w:rFonts w:ascii="Book Antiqua" w:eastAsia="Book Antiqua" w:hAnsi="Book Antiqua" w:cs="Book Antiqua"/>
          <w:sz w:val="24"/>
          <w:szCs w:val="24"/>
        </w:rPr>
        <w:fldChar w:fldCharType="end"/>
      </w:r>
      <w:r>
        <w:rPr>
          <w:rFonts w:ascii="Book Antiqua" w:eastAsia="Book Antiqua" w:hAnsi="Book Antiqua" w:cs="Book Antiqua"/>
          <w:sz w:val="24"/>
          <w:szCs w:val="24"/>
        </w:rPr>
        <w:t xml:space="preserve"> By synthesising findings across multiple studies, they provide the most reliable form of evidence to guide clinical practice, inform policy, and shape future research directions. Unlike single studies, which may be limited by sample size, methodology, or context, systematic reviews integrate diverse data sources to deliver comprehensiv</w:t>
      </w:r>
      <w:r w:rsidR="00D93A57">
        <w:rPr>
          <w:rFonts w:ascii="Book Antiqua" w:eastAsia="Book Antiqua" w:hAnsi="Book Antiqua" w:cs="Book Antiqua"/>
          <w:sz w:val="24"/>
          <w:szCs w:val="24"/>
        </w:rPr>
        <w:t>e and balanced conclusions.</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{"citationID":"fpyMsRyM","properties":{"formattedCitation":"\\super 2,3\\nosupersub{}","plainCitation":"2,3","noteIndex":0},"citationItems":[{"id":71866,"uris":["http://zotero.org/users/4194337/items/NRCICYJK"],"itemData":{"id":71866,"type":"article-journal","abstract":"Purpose\nOn-The-Go (OTG) references are those that clinicians make within a tight deadline at the point of patient care to direct critical decisions. We conducted this study to assess the knowledge level of orthopaedicians on clinical usefulness and quality appraisal of different reference methods along with their attitude towards its utility for practice.\n\nMaterials and Methods\nA web-based survey was administered through Google Forms among the members of the Tamil Nadu Orthopaedic Association (TNOA) by snowball sampling method. The survey was designed by the Quality Appraisal Committee (QAC) of Orthopaedic Research Group (ORG) with 17 items. Association and correlation analysis were done between different responses in the survey to find out ways to improve the reference practices.\n\nResults\n177 participants with a mean age of 43.5 years completed the survey. About 45.8% (n</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81) of participants had prior knowledge on  the Oxford Levels of Evidence. However, they were not familiar with using them for critical appraisal of evidence. About 86.5% (n</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153) of participants were worried about the quality of the content they seek for reference. Among the reference sources, online research articles were used by 54.2% (n</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96), digital applications by 21.4% (n</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38), digital textbooks by 15.2% (n</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27), and other methods like peer discussion by 5.1% (n</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9). A significant association was noted between the participants who chose level I studies for their reference and their familiarity with the concept of fragility (p</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0.006) and heterogenicity (p</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0.021) and types of bias (p</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0.003). A significant association was noted between participants with active journal subscription and their familiarity with the concept of spin (p</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0.016) and their knowledge of the heterogeneity of study results (p</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0.019). We found a significant association between age (&lt;</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40 years of age) and knowledge on various types of bias (p</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0.032), heterogenicity (p</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0.01), and fragility (p</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 xml:space="preserve">0.021).\n\nConclusion\nThis is the first study on the information-seeking behaviour of the orthopaedicians. OTG references remain a part of the orthopaedic practice and are made mostly by accessing online research articles. Imparting knowledge of their quality appraisal should be an active part of the orthopaedic curriculum. This will, in turn, improve the attitude and reference practices leading to better decision-making towards patient care.","container-title":"Indian Journal of Orthopaedics","DOI":"10.1007/s43465-021-00350-4","ISSN":"0019-5413","issue":"4","journalAbbreviation":"Indian J Orthop","page":"869-878","PMID":"34194641","PMCID":"PMC8192656","source":"PubMed Central","title":"Analysis of Reference Practices among Practicing Orthopaedicians in India","volume":"55","author":[{"family":"Girinivasan","given":"Chellamuthu"},{"family":"Sathish","given":"Muthu"}],"issued":{"date-parts":[["2021",1,17]]}}},{"id":71868,"uris":["http://zotero.org/users/4194337/items/M49AUFWR"],"itemData":{"id":71868,"type":"article-journal","abstract":"AIMS: With the increase in the number of systematic reviews available, a logical next step to provide decision makers in healthcare with the evidence they require has been the conduct of reviews of existing systematic reviews. Syntheses of existing systematic reviews are referred to by many different names, one of which is an umbrella review. An umbrella review allows the findings of reviews relevant to a review question to be compared and contrasted. An umbrella review's most characteristic feature is that this type of evidence synthesis only considers for inclusion the highest level of evidence, namely other systematic reviews and meta-analyses. A methodology working group was formed by the Joanna Briggs Institute to develop methodological guidance for the conduct of an umbrella review, including diverse types of evidence, both quantitative and qualitative. The aim of this study is to describe the development and guidance for the conduct of an umbrella review.\nMETHODS: Discussion and testing of the elements of methods for the conduct of an umbrella review were held over a 6-month period by members of a methodology working group. The working group comprised six participants who corresponded via teleconference, e-mail and face-to-face meeting during this development period. In October 2013, the methodology was presented in a workshop at the Joanna Briggs Institute Convention. Workshop participants, review authors and methodologists provided further testing, critique and feedback on the proposed methodology.\nRESULTS: This study describes the methodology and methods developed for the conduct of an umbrella review that includes published systematic reviews and meta-analyses as the analytical unit of the review. Details are provided regarding the essential elements of an umbrella review, including presentation of the review question in a Population, Intervention, Comparator, Outcome format, nuances of the inclusion criteria and search strategy. A critical appraisal tool with 10 questions to help assess risk of bias in systematic reviews and meta-analyses was also developed and tested. Relevant details to extract from included reviews and how to best present the findings of both quantitative and qualitative systematic reviews in a reader friendly format are provided.\nCONCLUSIONS: Umbrella reviews provide a ready means for decision makers in healthcare to gain a clear understanding of a broad topic area. The umbrella review methodology described here is the first to consider reviews that report other than quantitative evidence derived from randomized controlled trials. The methodology includes an easy to use and informative summary of evidence table to readily provide decision makers with the available, highest level of evidence relevant to the question posed.","container-title":"International Journal of Evidence-Based Healthcare","DOI":"10.1097/XEB.0000000000000055","ISSN":"1744-1609","issue":"3","journalAbbreviation":"Int J Evid Based Healthc","language":"eng","page":"132-140","PMID":"26360830","source":"PubMed","title":"Summarizing systematic reviews: methodological development, conduct and reporting of an umbrella review approach","title-short":"Summarizing systematic reviews","volume":"13","author":[{"family":"Aromataris","given":"Edoardo"},{"family":"Fernandez","given":"Ritin"},{"family":"Godfrey","given":"Christina M."},{"family":"Holly","given":"Cheryl"},{"family":"Khalil","given":"Hanan"},{"family":"Tungpunkom","given":"Patraporn"}],"issued":{"date-parts":[["2015",9]]}}}],"schema":"https://github.com/citation-style-language/schema/raw/master/csl-citation.json"}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2,3</w:t>
      </w:r>
      <w:r w:rsidR="003B0DAD">
        <w:rPr>
          <w:rFonts w:ascii="Book Antiqua" w:eastAsia="Book Antiqua" w:hAnsi="Book Antiqua" w:cs="Book Antiqua"/>
          <w:sz w:val="24"/>
          <w:szCs w:val="24"/>
        </w:rPr>
        <w:fldChar w:fldCharType="end"/>
      </w:r>
      <w:r>
        <w:rPr>
          <w:rFonts w:ascii="Book Antiqua" w:eastAsia="Book Antiqua" w:hAnsi="Book Antiqua" w:cs="Book Antiqua"/>
          <w:sz w:val="24"/>
          <w:szCs w:val="24"/>
        </w:rPr>
        <w:t xml:space="preserve"> Meta</w:t>
      </w:r>
      <w:r>
        <w:rPr>
          <w:rFonts w:ascii="Times New Roman" w:eastAsia="Times New Roman" w:hAnsi="Times New Roman" w:cs="Times New Roman"/>
          <w:sz w:val="24"/>
          <w:szCs w:val="24"/>
        </w:rPr>
        <w:t>‑</w:t>
      </w:r>
      <w:r>
        <w:rPr>
          <w:rFonts w:ascii="Book Antiqua" w:eastAsia="Book Antiqua" w:hAnsi="Book Antiqua" w:cs="Book Antiqua"/>
          <w:sz w:val="24"/>
          <w:szCs w:val="24"/>
        </w:rPr>
        <w:t>analyses further strengthen this process by applying statistical techniques to pool results, quantify effect siz</w:t>
      </w:r>
      <w:r w:rsidR="00D93A57">
        <w:rPr>
          <w:rFonts w:ascii="Book Antiqua" w:eastAsia="Book Antiqua" w:hAnsi="Book Antiqua" w:cs="Book Antiqua"/>
          <w:sz w:val="24"/>
          <w:szCs w:val="24"/>
        </w:rPr>
        <w:t>es, and assess heterogeneity.</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{"citationID":"kek0IGCK","properties":{"formattedCitation":"\\super 4\\nosupersub{}","plainCitation":"4","noteIndex":0},"citationItems":[{"id":71870,"uris":["http://zotero.org/users/4194337/items/QVTDKHJ6"],"itemData":{"id":71870,"type":"article-journal","abstract":"The objectives of this paper are to provide an introduction to meta-analysis and to discuss the rationale for this type of research and other general considerations. Methods used to produce a rigorous meta-analysis are highlighted and some aspects of presentation and interpretation of meta-analysis are discussed.Meta-analysis is a quantitative, formal, epidemiological study design used to systematically assess previous research studies to derive conclusions about that body of research. Outcomes from a meta-analysis may include a more precise estimate of the effect of treatment or risk factor for disease, or other outcomes, than any individual study contributing to the pooled analysis. The examination of variability or heterogeneity in study results is also a critical outcome. The benefits of meta-analysis include a consolidated and quantitative review of a large, and often complex, sometimes apparently conflicting, body of literature. The specification of the outcome and hypotheses that are tested is critical to the conduct of meta-analyses, as is a sensitive literature search. A failure to identify the majority of existing studies can lead to erroneous conclusions; however, there are methods of examining data to identify the potential for studies to be missing; for example, by the use of funnel plots. Rigorously conducted meta-analyses are useful tools in evidence-based medicine. The need to integrate findings from many studies ensures that meta-analytic research is desirable and the large body of research now generated makes the conduct of this research feasible.","container-title":"Hippokratia","ISSN":"1790-8019","issue":"Suppl 1","journalAbbreviation":"Hippokratia","language":"eng","page":"29-37","PMID":"21487488","PMCID":"PMC3049418","source":"PubMed","title":"Meta-analysis in medical research","volume":"14","author":[{"family":"Haidich","given":"A. B."}],"issued":{"date-parts":[["2010",12]]}}}],"schema":"https://github.com/citation-style-language/schema/raw/master/csl-citation.json"}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4</w:t>
      </w:r>
      <w:r w:rsidR="003B0DAD">
        <w:rPr>
          <w:rFonts w:ascii="Book Antiqua" w:eastAsia="Book Antiqua" w:hAnsi="Book Antiqua" w:cs="Book Antiqua"/>
          <w:sz w:val="24"/>
          <w:szCs w:val="24"/>
        </w:rPr>
        <w:fldChar w:fldCharType="end"/>
      </w:r>
      <w:r>
        <w:rPr>
          <w:rFonts w:ascii="Book Antiqua" w:eastAsia="Book Antiqua" w:hAnsi="Book Antiqua" w:cs="Book Antiqua"/>
          <w:sz w:val="24"/>
          <w:szCs w:val="24"/>
        </w:rPr>
        <w:t xml:space="preserve"> Together, these methods underpin clinical guidelines and health technology assessments worldwide.</w:t>
      </w:r>
    </w:p>
    <w:p w14:paraId="00000011" w14:textId="31A2E725"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Despite their importance, systematic reviews and meta</w:t>
      </w:r>
      <w:r>
        <w:rPr>
          <w:rFonts w:ascii="Times New Roman" w:eastAsia="Times New Roman" w:hAnsi="Times New Roman" w:cs="Times New Roman"/>
          <w:sz w:val="24"/>
          <w:szCs w:val="24"/>
        </w:rPr>
        <w:t>‑</w:t>
      </w:r>
      <w:r>
        <w:rPr>
          <w:rFonts w:ascii="Book Antiqua" w:eastAsia="Book Antiqua" w:hAnsi="Book Antiqua" w:cs="Book Antiqua"/>
          <w:sz w:val="24"/>
          <w:szCs w:val="24"/>
        </w:rPr>
        <w:t>analyses are notoriously time</w:t>
      </w:r>
      <w:r>
        <w:rPr>
          <w:rFonts w:ascii="Times New Roman" w:eastAsia="Times New Roman" w:hAnsi="Times New Roman" w:cs="Times New Roman"/>
          <w:sz w:val="24"/>
          <w:szCs w:val="24"/>
        </w:rPr>
        <w:t>‑</w:t>
      </w:r>
      <w:r>
        <w:rPr>
          <w:rFonts w:ascii="Book Antiqua" w:eastAsia="Book Antiqua" w:hAnsi="Book Antiqua" w:cs="Book Antiqua"/>
          <w:sz w:val="24"/>
          <w:szCs w:val="24"/>
        </w:rPr>
        <w:t>consuming and labour-intensive, resulting in red</w:t>
      </w:r>
      <w:r w:rsidR="00D93A57">
        <w:rPr>
          <w:rFonts w:ascii="Book Antiqua" w:eastAsia="Book Antiqua" w:hAnsi="Book Antiqua" w:cs="Book Antiqua"/>
          <w:sz w:val="24"/>
          <w:szCs w:val="24"/>
        </w:rPr>
        <w:t>uced methodological rigour.</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{"citationID":"90AiyzDS","properties":{"formattedCitation":"\\super 5,6\\nosupersub{}","plainCitation":"5,6","noteIndex":0},"citationItems":[{"id":71875,"uris":["http://zotero.org/users/4194337/items/3QC4DEIY"],"itemData":{"id":71875,"type":"article-journal","abstract":"OBJECTIVES: To summarise logistical aspects of recently completed systematic reviews that were registered in the International Prospective Register of Systematic Reviews (PROSPERO) registry to quantify the time and resources required to complete such projects.\nDESIGN: Meta-analysis.\nDATA SOURCES AND STUDY SELECTION: All of the 195 registered and completed reviews (status from the PROSPERO registry) with associated publications at the time of our search (1 July 2014).\nDATA EXTRACTION: All authors extracted data using registry entries and publication information related to the data sources used, the number of initially retrieved citations, the final number of included studies, the time between registration date to publication date and number of authors involved for completion of each publication. Information related to funding and geographical location was also recorded when reported.\nRESULTS: The mean estimated time to complete the project and publish the review was 67.3</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weeks (IQR=42). The number of studies found in the literature searches ranged from 27 to 92</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020; the mean yield rate of included studies was 2.94% (IQR=2.5); and the mean number of authors per review was 5, SD=3. Funded reviews took significantly longer to complete and publish (mean=42 vs 26</w:instrText>
      </w:r>
      <w:r w:rsidR="003B0DAD">
        <w:rPr>
          <w:rFonts w:ascii="Times New Roman" w:eastAsia="Book Antiqua" w:hAnsi="Times New Roman" w:cs="Times New Roman"/>
          <w:sz w:val="24"/>
          <w:szCs w:val="24"/>
        </w:rPr>
        <w:instrText> </w:instrText>
      </w:r>
      <w:r w:rsidR="003B0DAD">
        <w:rPr>
          <w:rFonts w:ascii="Book Antiqua" w:eastAsia="Book Antiqua" w:hAnsi="Book Antiqua" w:cs="Book Antiqua"/>
          <w:sz w:val="24"/>
          <w:szCs w:val="24"/>
        </w:rPr>
        <w:instrText xml:space="preserve">weeks) and involved more authors and team members (mean=6.8 vs 4.8 people) than those that did not report funding (both p&lt;0.001).\nCONCLUSIONS: Systematic reviews presently take much time and require large amounts of human resources. In the light of the ever-increasing volume of published studies, application of existing computing and informatics technology should be applied to decrease this time and resource burden. We discuss recently published guidelines that provide a framework to make finding and accessing relevant literature less burdensome.","container-title":"BMJ open","DOI":"10.1136/bmjopen-2016-012545","ISSN":"2044-6055","issue":"2","journalAbbreviation":"BMJ Open","language":"eng","page":"e012545","PMID":"28242767","PMCID":"PMC5337708","source":"PubMed","title":"Analysis of the time and workers needed to conduct systematic reviews of medical interventions using data from the PROSPERO registry","volume":"7","author":[{"family":"Borah","given":"Rohit"},{"family":"Brown","given":"Andrew W."},{"family":"Capers","given":"Patrice L."},{"family":"Kaiser","given":"Kathryn A."}],"issued":{"date-parts":[["2017",2,27]]}}},{"id":71872,"uris":["http://zotero.org/users/4194337/items/ACFMNJJM"],"itemData":{"id":71872,"type":"article-journal","abstract":"Study Design:\nSystematic review.\n\nObjectives:\nTo assess the methodological quality of systematic reviews and meta-analyses in spine surgery over the past 2 decades.\n\nMaterials and Methods:\nWe conducted independent and in duplicate systematic review of the published systematic reviews and meta-analyses between 2000 and 2019 from PubMed Central and Cochrane Database pertaining to spine surgery involving surgical intervention. We searched bibliographies to identify additional relevant studies. Methodological quality was evaluated with AMSTAR score and graded with AMSTAR 2 criteria.\n\nResults:\nA total of 96 reviews met the eligibility criteria, with mean AMSTAR score of 7.51 (SD = 1.98). Based on AMSTAR 2 criteria, 13.5% (n = 13) and 18.7% (n = 18) of the studies had high and moderate level of confidence of results, respectively, without any critical flaws. A total of 29.1% (n = 28) of the studies had at least 1 critical flaw and 38.5% (n = 37) of the studies had more than 1 critical flaw, so that their results have low and critically low confidence, respectively. Failure to analyze the conflict of interest of authors of primary studies included in review and lack of list of excluded studies with justification were the most common critical flaw. Regression analysis demonstrated that studies with funding and studies published in recent years were significantly associated with higher methodological quality.\n\nConclusion:\nDespite improvement in methodological quality of systematic reviews and meta-analyses in spine surgery in current decade, a substantial proportion continue to show critical flaws. With increasing number of review articles in spine surgery, stringent measures must be taken to adhere to methodological quality by following PRISMA and AMSTAR guidelines to attain higher standards of evidence in published literature.","container-title":"Global Spine Journal","DOI":"10.1177/2192568220906810","ISSN":"2192-5682","issue":"3","journalAbbreviation":"Global Spine J","page":"378-399","PMID":"32875866","PMCID":"PMC8013933","source":"PubMed Central","title":"Systematic Reviews and Meta-Analysis in Spine Surgery—How Good Are They in Methodological Quality? A Systematic Review","title-short":"Systematic Reviews and Meta-Analysis in Spine Surgery—How Good Are They in Methodological Quality?","volume":"11","author":[{"family":"Sathish","given":"Muthu"},{"family":"Eswar","given":"Ramakrishnan"}],"issued":{"date-parts":[["2021",4]]}}}],"schema":"https://github.com/citation-style-language/schema/raw/master/csl-citation.json"}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5,6</w:t>
      </w:r>
      <w:r w:rsidR="003B0DAD">
        <w:rPr>
          <w:rFonts w:ascii="Book Antiqua" w:eastAsia="Book Antiqua" w:hAnsi="Book Antiqua" w:cs="Book Antiqua"/>
          <w:sz w:val="24"/>
          <w:szCs w:val="24"/>
        </w:rPr>
        <w:fldChar w:fldCharType="end"/>
      </w:r>
      <w:r>
        <w:rPr>
          <w:rFonts w:ascii="Book Antiqua" w:eastAsia="Book Antiqua" w:hAnsi="Book Antiqua" w:cs="Book Antiqua"/>
          <w:sz w:val="24"/>
          <w:szCs w:val="24"/>
        </w:rPr>
        <w:t xml:space="preserve"> The process typically begins with exhaustive literature searches across multiple databases, yielding thousands of records. Deduplication must then be performed to remove overlapping citations, a task complicated by inconsistent bibliographic formats and incomplete metadata. Title and abstract screening </w:t>
      </w:r>
      <w:proofErr w:type="gramStart"/>
      <w:r>
        <w:rPr>
          <w:rFonts w:ascii="Book Antiqua" w:eastAsia="Book Antiqua" w:hAnsi="Book Antiqua" w:cs="Book Antiqua"/>
          <w:sz w:val="24"/>
          <w:szCs w:val="24"/>
        </w:rPr>
        <w:t>requires</w:t>
      </w:r>
      <w:proofErr w:type="gramEnd"/>
      <w:r>
        <w:rPr>
          <w:rFonts w:ascii="Book Antiqua" w:eastAsia="Book Antiqua" w:hAnsi="Book Antiqua" w:cs="Book Antiqua"/>
          <w:sz w:val="24"/>
          <w:szCs w:val="24"/>
        </w:rPr>
        <w:t xml:space="preserve"> careful application of inclusion and exclusion criteria, often demanding multiple rounds of human review to ensure consistency. Full</w:t>
      </w:r>
      <w:r>
        <w:rPr>
          <w:rFonts w:ascii="Times New Roman" w:eastAsia="Times New Roman" w:hAnsi="Times New Roman" w:cs="Times New Roman"/>
          <w:sz w:val="24"/>
          <w:szCs w:val="24"/>
        </w:rPr>
        <w:t>‑</w:t>
      </w:r>
      <w:r>
        <w:rPr>
          <w:rFonts w:ascii="Book Antiqua" w:eastAsia="Book Antiqua" w:hAnsi="Book Antiqua" w:cs="Book Antiqua"/>
          <w:sz w:val="24"/>
          <w:szCs w:val="24"/>
        </w:rPr>
        <w:t xml:space="preserve">text screening adds another layer of complexity, as reviewers must interpret nuanced methodological details and clinical contexts. Finally, structured data extraction demands meticulous conversion of reported outcomes into </w:t>
      </w:r>
      <w:proofErr w:type="spellStart"/>
      <w:r>
        <w:rPr>
          <w:rFonts w:ascii="Book Antiqua" w:eastAsia="Book Antiqua" w:hAnsi="Book Antiqua" w:cs="Book Antiqua"/>
          <w:sz w:val="24"/>
          <w:szCs w:val="24"/>
        </w:rPr>
        <w:t>analyzable</w:t>
      </w:r>
      <w:proofErr w:type="spellEnd"/>
      <w:r>
        <w:rPr>
          <w:rFonts w:ascii="Book Antiqua" w:eastAsia="Book Antiqua" w:hAnsi="Book Antiqua" w:cs="Book Antiqua"/>
          <w:sz w:val="24"/>
          <w:szCs w:val="24"/>
        </w:rPr>
        <w:t xml:space="preserve"> formats, a stage prone to transcription errors and inconsistencies. Collectively, these tasks can take months or even years to complete, delaying the translati</w:t>
      </w:r>
      <w:r w:rsidR="00D93A57">
        <w:rPr>
          <w:rFonts w:ascii="Book Antiqua" w:eastAsia="Book Antiqua" w:hAnsi="Book Antiqua" w:cs="Book Antiqua"/>
          <w:sz w:val="24"/>
          <w:szCs w:val="24"/>
        </w:rPr>
        <w:t>on of evidence into practice.</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{"citationID":"QYtxqCY5","properties":{"formattedCitation":"\\super 7\\nosupersub{}","plainCitation":"7","noteIndex":0},"citationItems":[{"id":71878,"uris":["http://zotero.org/users/4194337/items/JESQAX7Y"],"itemData":{"id":71878,"type":"article-journal","abstract":"Background Meta-analyses based on individual patient data (IPD) are regarded as the gold standard for systematic reviews. However, the methods used for analysing and presenting results from IPD meta-analyses have received little discussion.Methods We review 44 IPD meta-analyses published during the years 1999–2001. We summarize whether they obtained all the data they sought, what types of approaches were used in the analysis, including assumptions of common or random effects, and how they examined the effects of covariates.Results Twenty-four out of 44 analyses focused on time-to-event outcomes, and most analyses (28) estimated treatment effects within each trial and then combined the results assuming a common treatment effect across trials. Three analyses failed to stratify by trial, analysing the data is if they came from a single mega-trial. Only nine analyses used random effects methods. Covariate-treatment interactions were generally investigated by subgrouping patients. Seven of the meta-analyses included data from less than 80% of the randomized patients sought, but did not address the resulting potential biases.Conclusions Although IPD meta-analyses have many advantages in assessing the effects of health care, there are several aspects that could be further developed to make fuller use of the potential of these time-consuming projects. In particular, IPD could be used to more fully investigate the influence of covariates on heterogeneity of treatment effects, both within and between trials. The impact of heterogeneity, or use of random effects, are seldom discussed. There is thus considerable scope for enhancing the methods of analysis and presentation of IPD meta-analysis.","container-title":"Clinical Trials","DOI":"10.1191/1740774505cn087oa","ISSN":"1740-7745","issue":"3","journalAbbreviation":"Clinical Trials","language":"EN","page":"209-217","publisher":"SAGE Publications","source":"SAGE Journals","title":"Meta-analysis of individual patient data from randomized trials: a review of methods used in practice","title-short":"Meta-analysis of individual patient data from randomized trials","volume":"2","author":[{"family":"Simmonds","given":"Mark C"},{"family":"Higginsa","given":"Julian P T"},{"family":"Stewartb","given":"Lesley A"},{"family":"Tierneyb","given":"Jayne F"},{"family":"Clarke","given":"Mike J"},{"family":"Thompson","given":"Simon G"}],"issued":{"date-parts":[["2005",6,1]]}}}],"schema":"https://github.com/citation-style-language/schema/raw/master/csl-citation.json"}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7</w:t>
      </w:r>
      <w:r w:rsidR="003B0DAD">
        <w:rPr>
          <w:rFonts w:ascii="Book Antiqua" w:eastAsia="Book Antiqua" w:hAnsi="Book Antiqua" w:cs="Book Antiqua"/>
          <w:sz w:val="24"/>
          <w:szCs w:val="24"/>
        </w:rPr>
        <w:fldChar w:fldCharType="end"/>
      </w:r>
    </w:p>
    <w:p w14:paraId="00000012" w14:textId="639D096C"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 xml:space="preserve">The exponential growth of scientific literature has </w:t>
      </w:r>
      <w:r w:rsidR="00D93A57">
        <w:rPr>
          <w:rFonts w:ascii="Book Antiqua" w:eastAsia="Book Antiqua" w:hAnsi="Book Antiqua" w:cs="Book Antiqua"/>
          <w:sz w:val="24"/>
          <w:szCs w:val="24"/>
        </w:rPr>
        <w:t>intensified these challenges.</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{"citationID":"sLMUzTt0","properties":{"formattedCitation":"\\super 8\\nosupersub{}","plainCitation":"8","noteIndex":0},"citationItems":[{"id":71879,"uris":["http://zotero.org/users/4194337/items/NLKU9IJ8"],"itemData":{"id":71879,"type":"article-journal","abstract":"The number of publications in biomedicine and life sciences has grown so much that it is difficult to keep track of new scientific works and to have an overview of the evolution of the field as a whole. Here, we present a two-dimensional (2D) map of the entire corpus of biomedical literature, based on the abstract texts of 21 million English articles from the PubMed database. To embed the abstracts into 2D, we used the large language model PubMedBERT, combined with t-SNE tailored to handle samples of this size. We used our map to study the emergence of the COVID-19 literature, the evolution of the neuroscience discipline, the uptake of machine learning, the distribution of gender imbalance in academic authorship, and the distribution of retracted paper mill articles. Furthermore, we present an interactive website that allows easy exploration and will enable further insights and facilitate future research.","container-title":"Patterns","DOI":"10.1016/j.patter.2024.100968","ISSN":"2666-3899","issue":"6","journalAbbreviation":"Patterns (N Y)","language":"eng","page":"100968","PMID":"39005482","PMCID":"PMC11240179","publisher-place":"New York, N.Y.","source":"PubMed","title":"The landscape of biomedical research","volume":"5","author":[{"family":"González-Márquez","given":"Rita"},{"family":"Schmidt","given":"Luca"},{"family":"Schmidt","given":"Benjamin M."},{"family":"Berens","given":"Philipp"},{"family":"Kobak","given":"Dmitry"}],"issued":{"date-parts":[["2024",6,14]]}}}],"schema":"https://github.com/citation-style-language/schema/raw/master/csl-citation.json"}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8</w:t>
      </w:r>
      <w:r w:rsidR="003B0DAD">
        <w:rPr>
          <w:rFonts w:ascii="Book Antiqua" w:eastAsia="Book Antiqua" w:hAnsi="Book Antiqua" w:cs="Book Antiqua"/>
          <w:sz w:val="24"/>
          <w:szCs w:val="24"/>
        </w:rPr>
        <w:fldChar w:fldCharType="end"/>
      </w:r>
      <w:r>
        <w:rPr>
          <w:rFonts w:ascii="Book Antiqua" w:eastAsia="Book Antiqua" w:hAnsi="Book Antiqua" w:cs="Book Antiqua"/>
          <w:sz w:val="24"/>
          <w:szCs w:val="24"/>
        </w:rPr>
        <w:t xml:space="preserve"> Biomedical databases now index millions of articles, with thousands added weekly. This sheer volume threatens the feasibility of traditional review methods, as human reviewers struggle to keep pace. In parallel, the demand for timely evidence has increased, particularly in rapidly evolving fields such as oncology, infectious diseases, and digital health. The tension between the need for speed and the requirement for rigour has created a pressing </w:t>
      </w:r>
      <w:r w:rsidR="00D93A57">
        <w:rPr>
          <w:rFonts w:ascii="Book Antiqua" w:eastAsia="Book Antiqua" w:hAnsi="Book Antiqua" w:cs="Book Antiqua"/>
          <w:sz w:val="24"/>
          <w:szCs w:val="24"/>
        </w:rPr>
        <w:t>methodological bottleneck.</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{"citationID":"XT0wyPWe","properties":{"formattedCitation":"\\super 9,10\\nosupersub{}","plainCitation":"9,10","noteIndex":0},"citationItems":[{"id":71882,"uris":["http://zotero.org/users/4194337/items/IRL8AGVP"],"itemData":{"id":71882,"type":"article-journal","abstract":"The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reviews.","container-title":"BMJ","DOI":"10.1136/bmj.n71","ISSN":"1756-1833","journalAbbreviation":"BMJ","language":"eng","page":"n71","PMID":"33782057","PMCID":"PMC8005924","publisher-place":"Clinical research ed.","source":"PubMed","title":"The PRISMA 2020 statement: an updated guideline for reporting systematic reviews","title-short":"The PRISMA 2020 statement","volume":"372","author":[{"family":"Page","given":"Matthew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A."},{"family":"Whiting","given":"Penny"},{"family":"Moher","given":"David"}],"issued":{"date-parts":[["2021",3,29]]}}},{"id":71885,"uris":["http://zotero.org/users/4194337/items/NL8BPERL"],"itemData":{"id":71885,"type":"article-journal","container-title":"The Cochrane Database of Systematic Reviews","DOI":"10.1002/14651858.ED000142","ISSN":"1469-493X","issue":"10","journalAbbreviation":"Cochrane Database Syst Rev","language":"eng","page":"ED000142","PMID":"31643080","PMCID":"PMC10284251","source":"PubMed","title":"Updated guidance for trusted systematic reviews: a new edition of the Cochrane Handbook for Systematic Reviews of Interventions","title-short":"Updated guidance for trusted systematic reviews","volume":"10","author":[{"family":"Cumpston","given":"Miranda"},{"family":"Li","given":"Tianjing"},{"family":"Page","given":"Matthew J."},{"family":"Chandler","given":"Jacqueline"},{"family":"Welch","given":"Vivian A."},{"family":"Higgins","given":"Julian Pt"},{"family":"Thomas","given":"James"}],"issued":{"date-parts":[["2019",10,3]]}}}],"schema":"https://github.com/citation-style-language/schema/raw/master/csl-citation.json"}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9,10</w:t>
      </w:r>
      <w:r w:rsidR="003B0DAD">
        <w:rPr>
          <w:rFonts w:ascii="Book Antiqua" w:eastAsia="Book Antiqua" w:hAnsi="Book Antiqua" w:cs="Book Antiqua"/>
          <w:sz w:val="24"/>
          <w:szCs w:val="24"/>
        </w:rPr>
        <w:fldChar w:fldCharType="end"/>
      </w:r>
    </w:p>
    <w:p w14:paraId="00000013" w14:textId="49BD2CFF"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 xml:space="preserve">The era of artificial intelligence (AI) </w:t>
      </w:r>
      <w:r w:rsidR="00D93A57">
        <w:rPr>
          <w:rFonts w:ascii="Book Antiqua" w:eastAsia="Book Antiqua" w:hAnsi="Book Antiqua" w:cs="Book Antiqua"/>
          <w:sz w:val="24"/>
          <w:szCs w:val="24"/>
        </w:rPr>
        <w:t>is reshaping this landscape.</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{"citationID":"CfFo2bCk","properties":{"formattedCitation":"\\super 11\\nosupersub{}","plainCitation":"11","noteIndex":0},"citationItems":[{"id":71888,"uris":["http://zotero.org/users/4194337/items/RVIZAQXW"],"itemData":{"id":71888,"type":"article-journal","abstract":"Artificial intelligence (AI) is a powerful and disruptive area of computer science, with the potential to fundamentally transform the practice of medicine and the delivery of healthcare. In this review article, we outline recent breakthroughs in the application of AI in healthcare, describe a roadmap to building effective, reliable and safe AI systems, and discuss the possible future direction of AI augmented healthcare systems.","container-title":"Future Healthcare Journal","DOI":"10.7861/fhj.2021-0095","ISSN":"2514-6645","issue":"2","journalAbbreviation":"Future Healthc J","language":"eng","page":"e188-e194","PMID":"34286183","PMCID":"PMC8285156","source":"PubMed","title":"Artificial intelligence in healthcare: transforming the practice of medicine","title-short":"Artificial intelligence in healthcare","volume":"8","author":[{"family":"Bajwa","given":"Junaid"},{"family":"Munir","given":"Usman"},{"family":"Nori","given":"Aditya"},{"family":"Williams","given":"Bryan"}],"issued":{"date-parts":[["2021",7]]}}}],"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11</w:t>
      </w:r>
      <w:r w:rsidR="003B0DAD">
        <w:rPr>
          <w:rFonts w:ascii="Book Antiqua" w:eastAsia="Book Antiqua" w:hAnsi="Book Antiqua" w:cs="Book Antiqua"/>
          <w:sz w:val="24"/>
          <w:szCs w:val="24"/>
        </w:rPr>
        <w:fldChar w:fldCharType="end"/>
      </w:r>
      <w:r>
        <w:rPr>
          <w:rFonts w:ascii="Book Antiqua" w:eastAsia="Book Antiqua" w:hAnsi="Book Antiqua" w:cs="Book Antiqua"/>
          <w:sz w:val="24"/>
          <w:szCs w:val="24"/>
        </w:rPr>
        <w:t xml:space="preserve"> Advances in machine learning, natural language processing, and large language models have demonstrated the potential to automate discrete tasks within evidence synthesis.</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{"citationID":"q49M0TRR","properties":{"formattedCitation":"\\super 12\\nosupersub{}","plainCitation":"12","noteIndex":0},"citationItems":[{"id":71891,"uris":["http://zotero.org/users/4194337/items/NYLW4Q4S"],"itemData":{"id":71891,"type":"article-journal","abstract":"BACKGROUND: Literature screening constitutes a critical component in evidence synthesis; however, it typically requires substantial time and human resources. Artificial intelligence (AI) has shown promise in this field, yet the accuracy and effectiveness of AI tools for literature screening remain uncertain. This study aims to evaluate the performance of several existing AI-powered automated tools for literature screening.\nMETHODS: This diagnostic accuracy study employed a cohort to evaluate the performance of five AI tools-ChatGPT 4.0, Claude 3.5, Gemini 1.5, DeepSeek-V3, and RobotSearch-in literature screening. We selected a random sample of 1,000 publications from a well-established literature cohort, with 500 as randomized controlled trials (RCTs) group and 500 as others group. Diagnostic accuracy was measured using several metrics, including the false negative fraction (FNF), time used for screening, false positive fraction (FPF), and the redundancy number needed to screen.\nRESULTS: We reported the FNF for the RCTs group and the FPF for the others group. In the RCTs group, RobotSearch exhibited the lowest FNF at 6.4% (95% CI: 4.6% to 8.9%), whereas Gemini exhibited the highest at 13.0% (95% CI: 10.3% to 16.3%). In the others group, the FPF of the four large language models ranged from 2.8% (95% CI: 1.7% to 4.7%) to 3.8% (95% CI: 2.4% to 5.9%), both of which were significantly lower than RobotSearch's rate of 22.2% (95% CI: 18.8% to 26.1%). In terms of screening efficiency, the mean time used for screening per article was 1.3 s for ChatGPT, 6.0 s for Claude, 1.2 s for Gemini, and 2.6 s for DeepSeek.\nCONCLUSIONS: The AI tools assessed in this study demonstrated commendable performance in literature screening; however, they are not yet suitable as standalone solutions. These tools can serve as effective auxiliary aids, and a hybrid approach that integrates human expertise with AI may enhance both the efficiency and accuracy of the literature screening process.","container-title":"BMC medical research methodology","DOI":"10.1186/s12874-025-02644-9","ISSN":"1471-2288","issue":"1","journalAbbreviation":"BMC Med Res Methodol","language":"eng","page":"199","PMID":"40855531","PMCID":"PMC12376440","source":"PubMed","title":"Artificial intelligence for the science of evidence synthesis: how good are AI-powered tools for automatic literature screening?","title-short":"Artificial intelligence for the science of evidence synthesis","volume":"25","author":[{"family":"Ruan","given":"Minghao"},{"family":"Fan","given":"Junhao"},{"family":"Liu","given":"Mingkai"},{"family":"Meng","given":"Zhengfeng"},{"family":"Zhang","given":"Xiaohai"},{"family":"Zhang","given":"Chengjing"}],"issued":{"date-parts":[["2025",8,25]]}}}],"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12</w:t>
      </w:r>
      <w:r w:rsidR="003B0DAD">
        <w:rPr>
          <w:rFonts w:ascii="Book Antiqua" w:eastAsia="Book Antiqua" w:hAnsi="Book Antiqua" w:cs="Book Antiqua"/>
          <w:sz w:val="24"/>
          <w:szCs w:val="24"/>
        </w:rPr>
        <w:fldChar w:fldCharType="end"/>
      </w:r>
      <w:r>
        <w:rPr>
          <w:rFonts w:ascii="Book Antiqua" w:eastAsia="Book Antiqua" w:hAnsi="Book Antiqua" w:cs="Book Antiqua"/>
          <w:sz w:val="24"/>
          <w:szCs w:val="24"/>
        </w:rPr>
        <w:t xml:space="preserve"> AI systems can rapidly identify duplicates, classify abstracts, and extract structured data, offering efficiency gains that w</w:t>
      </w:r>
      <w:r w:rsidR="00D93A57">
        <w:rPr>
          <w:rFonts w:ascii="Book Antiqua" w:eastAsia="Book Antiqua" w:hAnsi="Book Antiqua" w:cs="Book Antiqua"/>
          <w:sz w:val="24"/>
          <w:szCs w:val="24"/>
        </w:rPr>
        <w:t>ere previously unattainable.</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{"citationID":"fKU85YzU","properties":{"formattedCitation":"\\super 13\\nosupersub{}","plainCitation":"13","noteIndex":0},"citationItems":[{"id":71893,"uris":["http://zotero.org/users/4194337/items/CQLIPCAG"],"itemData":{"id":71893,"type":"article-journal","abstract":"Large language models (LLMs) can respond to free-text queries without being specifically trained in the task in question, causing excitement and concern about their use in healthcare settings. ChatGPT is a generative artificial intelligence (AI) chatbot produced through sophisticated fine-tuning of an LLM, and other tools are emerging through similar developmental processes. Here we outline how LLM applications such as ChatGPT are developed, and we discuss how they are being leveraged in clinical settings. We consider the strengths and limitations of LLMs and their potential to improve the efficiency and effectiveness of clinical, educational and research work in medicine. LLM chatbots have already been deployed in a range of biomedical contexts, with impressive but mixed results. This review acts as a primer for interested clinicians, who will determine if and how LLM technology is used in healthcare for the benefit of patients and practitioners.","container-title":"Nature Medicine","DOI":"10.1038/s41591-023-02448-8","ISSN":"1546-170X","issue":"8","journalAbbreviation":"Nat Med","language":"eng","page":"1930-1940","PMID":"37460753","source":"PubMed","title":"Large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13</w:t>
      </w:r>
      <w:r w:rsidR="003B0DAD">
        <w:rPr>
          <w:rFonts w:ascii="Book Antiqua" w:eastAsia="Book Antiqua" w:hAnsi="Book Antiqua" w:cs="Book Antiqua"/>
          <w:sz w:val="24"/>
          <w:szCs w:val="24"/>
        </w:rPr>
        <w:fldChar w:fldCharType="end"/>
      </w:r>
      <w:r>
        <w:rPr>
          <w:rFonts w:ascii="Book Antiqua" w:eastAsia="Book Antiqua" w:hAnsi="Book Antiqua" w:cs="Book Antiqua"/>
          <w:sz w:val="24"/>
          <w:szCs w:val="24"/>
        </w:rPr>
        <w:t xml:space="preserve"> However, most current implementations remain limited. They are often single</w:t>
      </w:r>
      <w:r>
        <w:rPr>
          <w:rFonts w:ascii="Times New Roman" w:eastAsia="Times New Roman" w:hAnsi="Times New Roman" w:cs="Times New Roman"/>
          <w:sz w:val="24"/>
          <w:szCs w:val="24"/>
        </w:rPr>
        <w:t>‑</w:t>
      </w:r>
      <w:r>
        <w:rPr>
          <w:rFonts w:ascii="Book Antiqua" w:eastAsia="Book Antiqua" w:hAnsi="Book Antiqua" w:cs="Book Antiqua"/>
          <w:sz w:val="24"/>
          <w:szCs w:val="24"/>
        </w:rPr>
        <w:t>task tools, designed to perform one function in isolation, without integration across the multi</w:t>
      </w:r>
      <w:r>
        <w:rPr>
          <w:rFonts w:ascii="Times New Roman" w:eastAsia="Times New Roman" w:hAnsi="Times New Roman" w:cs="Times New Roman"/>
          <w:sz w:val="24"/>
          <w:szCs w:val="24"/>
        </w:rPr>
        <w:t>‑</w:t>
      </w:r>
      <w:r>
        <w:rPr>
          <w:rFonts w:ascii="Book Antiqua" w:eastAsia="Book Antiqua" w:hAnsi="Book Antiqua" w:cs="Book Antiqua"/>
          <w:sz w:val="24"/>
          <w:szCs w:val="24"/>
        </w:rPr>
        <w:t>stage workflow of systematic reviews. Moreover, many operate as opaque cloud</w:t>
      </w:r>
      <w:r>
        <w:rPr>
          <w:rFonts w:ascii="Times New Roman" w:eastAsia="Times New Roman" w:hAnsi="Times New Roman" w:cs="Times New Roman"/>
          <w:sz w:val="24"/>
          <w:szCs w:val="24"/>
        </w:rPr>
        <w:t>‑</w:t>
      </w:r>
      <w:r>
        <w:rPr>
          <w:rFonts w:ascii="Book Antiqua" w:eastAsia="Book Antiqua" w:hAnsi="Book Antiqua" w:cs="Book Antiqua"/>
          <w:sz w:val="24"/>
          <w:szCs w:val="24"/>
        </w:rPr>
        <w:t>based services, raising concerns about transparency, reproduci</w:t>
      </w:r>
      <w:r w:rsidR="00F31B1D">
        <w:rPr>
          <w:rFonts w:ascii="Book Antiqua" w:eastAsia="Book Antiqua" w:hAnsi="Book Antiqua" w:cs="Book Antiqua"/>
          <w:sz w:val="24"/>
          <w:szCs w:val="24"/>
        </w:rPr>
        <w:t>bility, and data governance.</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{"citationID":"yijehu3q","properties":{"formattedCitation":"\\super 14\\nosupersub{}","plainCitation":"14","noteIndex":0},"citationItems":[{"id":71895,"uris":["http://zotero.org/users/4194337/items/PCQC2AAA"],"itemData":{"id":71895,"type":"article-journal","abstract":"PURPOSE: With the development of machine learning and artificial intelligence, various platforms were developed to aid in the time-consuming process of article screening in systematic reviews. We aim to analyze the efficiency of a machine learning-assisted platform as an end-user to aid in the screening of the articles for selection into systematic review in orthopaedic surgery.\nMETHODS: We included three previously published systematic reviews in the field of orthopaedics of increasing levels of difficulty in the structure of the research question to assess the efficiency of a platform with active-learning technology for article screening. We compared the efficiency of the platform compared to the traditional screening and also across the various scenarios tested. We performed five iterations for each review analyzed. The outcome parameters analyzed were the work saved at 95% recall (WSS-95), work saved at 100% recall (WSS-100), and relevant records found after screening the first 30% of the total records (RRF-30).\nRESULTS: The machine learning-assisted screening significantly improved the rate of identifying the relevant records compared to the traditional screening method (p&lt;0.001). The WSS-95 for the easy, intermediate, and advanced screening scenarios were 78%, 59%, and 38%, respectively. The WSS-100 for the easy, intermediate, and advanced screening scenarios were 75%, 48%, and 7%, respectively. The RRF-30 for the easy, intermediate, and advanced screening scenarios were 97%, 86%, and 64%, respectively. We noted a significant reduction (p&lt;0.001) in the efficiency with the increasing level of difficulty of the screening scenarios.\nCONCLUSION: The machine learning platform is significantly better than the traditional method as an assistive technology to aid in article screening. However, the efficiency of the platform significantly decreases as the complexity of the research question increases.","container-title":"International Orthopaedics","DOI":"10.1007/s00264-022-05672-y","ISSN":"1432-5195","issue":"2","journalAbbreviation":"Int Orthop","language":"eng","page":"551-556","PMID":"36562816","source":"PubMed","title":"The efficiency of machine learning-assisted platform for article screening in systematic reviews in orthopaedics","volume":"47","author":[{"family":"Muthu","given":"Sathish"}],"issued":{"date-parts":[["2023",2]]}}}],"schema":"https://github.com/citation-style-language/schema/raw/master/csl-citation.json"}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14</w:t>
      </w:r>
      <w:r w:rsidR="003B0DAD">
        <w:rPr>
          <w:rFonts w:ascii="Book Antiqua" w:eastAsia="Book Antiqua" w:hAnsi="Book Antiqua" w:cs="Book Antiqua"/>
          <w:sz w:val="24"/>
          <w:szCs w:val="24"/>
        </w:rPr>
        <w:fldChar w:fldCharType="end"/>
      </w:r>
    </w:p>
    <w:p w14:paraId="00000014" w14:textId="621CEA41"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lastRenderedPageBreak/>
        <w:t>Agentic A</w:t>
      </w:r>
      <w:r w:rsidR="00F31B1D">
        <w:rPr>
          <w:rFonts w:ascii="Book Antiqua" w:eastAsia="Book Antiqua" w:hAnsi="Book Antiqua" w:cs="Book Antiqua"/>
          <w:sz w:val="24"/>
          <w:szCs w:val="24"/>
        </w:rPr>
        <w:t>I represents a new paradigm.</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{"citationID":"muWYyoGx","properties":{"formattedCitation":"\\super 15\\nosupersub{}","plainCitation":"15","noteIndex":0},"citationItems":[{"id":71897,"uris":["http://zotero.org/users/4194337/items/TAI387QS"],"itemData":{"id":71897,"type":"article-journal","container-title":"Lancet","DOI":"10.1016/S0140-6736(25)00202-8","ISSN":"1474-547X","issue":"10477","journalAbbreviation":"Lancet","language":"eng","page":"457","PMID":"39922663","publisher-place":"London, England","source":"PubMed","title":"The rise of agentic AI teammates in medicine","volume":"405","author":[{"family":"Zou","given":"James"},{"family":"Topol","given":"Eric J."}],"issued":{"date-parts":[["2025",2,8]]}}}],"schema":"https://github.com/citation-style-language/schema/raw/master/csl-citation.json"}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15</w:t>
      </w:r>
      <w:r w:rsidR="003B0DAD">
        <w:rPr>
          <w:rFonts w:ascii="Book Antiqua" w:eastAsia="Book Antiqua" w:hAnsi="Book Antiqua" w:cs="Book Antiqua"/>
          <w:sz w:val="24"/>
          <w:szCs w:val="24"/>
        </w:rPr>
        <w:fldChar w:fldCharType="end"/>
      </w:r>
      <w:r>
        <w:rPr>
          <w:rFonts w:ascii="Book Antiqua" w:eastAsia="Book Antiqua" w:hAnsi="Book Antiqua" w:cs="Book Antiqua"/>
          <w:sz w:val="24"/>
          <w:szCs w:val="24"/>
        </w:rPr>
        <w:t xml:space="preserve"> Unlike monolithic models, agentic AI systems are composed of multiple specialised agents, each designed to perform a specific task while coordinating with others through autonomous reasoning, memory retention, and i</w:t>
      </w:r>
      <w:r w:rsidR="00F31B1D">
        <w:rPr>
          <w:rFonts w:ascii="Book Antiqua" w:eastAsia="Book Antiqua" w:hAnsi="Book Antiqua" w:cs="Book Antiqua"/>
          <w:sz w:val="24"/>
          <w:szCs w:val="24"/>
        </w:rPr>
        <w:t>terative task decomposition.</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{"citationID":"Ya75OuRM","properties":{"formattedCitation":"\\super 15,16\\nosupersub{}","plainCitation":"15,16","noteIndex":0},"citationItems":[{"id":71897,"uris":["http://zotero.org/users/4194337/items/TAI387QS"],"itemData":{"id":71897,"type":"article-journal","container-title":"Lancet","DOI":"10.1016/S0140-6736(25)00202-8","ISSN":"1474-547X","issue":"10477","journalAbbreviation":"Lancet","language":"eng","page":"457","PMID":"39922663","publisher-place":"London, England","source":"PubMed","title":"The rise of agentic AI teammates in medicine","volume":"405","author":[{"family":"Zou","given":"James"},{"family":"Topol","given":"Eric J."}],"issued":{"date-parts":[["2025",2,8]]}}},{"id":71899,"uris":["http://zotero.org/users/4194337/items/SLIGZKX7"],"itemData":{"id":71899,"type":"article-journal","abstract":"Artificial Intelligence (AI) is transforming the healthcare landscape, yet many current applications remain narrowly task-specific, constrained by data complexity and inherent biases. This paper explores the emergence of next generation \"agentic AI\" systems, characterized by advanced autonomy, adaptability, scalability, and probabilistic reasoning, which address critical challenges in medical management. These systems enhance various aspects of healthcare, including diagnostics, clinical decision support, treatment planning, patient monitoring, administrative operations, drug discovery, and robotic-assisted surgery. Powered by multimodal AI, agentic systems integrate diverse data sources, iteratively refine outputs, and leverage vast knowledge bases to deliver context-aware, patient-centric care with heightened precision and reduced error rates. These advancements promise to enhance patient outcomes, optimize clinical workflows, and expand the reach of AI-driven solutions. However, their deployment introduces ethical, privacy, and regulatory challenges, emphasizing the need for robust governance frameworks and interdisciplinary collaboration. Agentic AI has the potential to redefine healthcare, driving personalized, efficient, and scalable services while extending its impact beyond clinical settings to global public health initiatives. By addressing disparities and enhancing care delivery in resource-limited environments, this technology could significantly advance equitable healthcare. Realizing the full potential of agentic AI will require sustained research, innovation, and cross-disciplinary partnerships to ensure its responsible and transformative integration into healthcare systems worldwide.","container-title":"Informatics and Health","DOI":"10.1016/j.infoh.2025.03.001","ISSN":"2949-9534","issue":"2","journalAbbreviation":"Informatics and Health","page":"73-83","source":"ScienceDirect","title":"Next-generation agentic AI for transforming healthcare","volume":"2","author":[{"family":"Karunanayake","given":"Nalan"}],"issued":{"date-parts":[["2025",9,1]]}}}],"schema":"https://github.com/citation-style-language/schema/raw/master/csl-citation.json"}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15,16</w:t>
      </w:r>
      <w:r w:rsidR="003B0DAD">
        <w:rPr>
          <w:rFonts w:ascii="Book Antiqua" w:eastAsia="Book Antiqua" w:hAnsi="Book Antiqua" w:cs="Book Antiqua"/>
          <w:sz w:val="24"/>
          <w:szCs w:val="24"/>
        </w:rPr>
        <w:fldChar w:fldCharType="end"/>
      </w:r>
      <w:r>
        <w:rPr>
          <w:rFonts w:ascii="Book Antiqua" w:eastAsia="Book Antiqua" w:hAnsi="Book Antiqua" w:cs="Book Antiqua"/>
          <w:sz w:val="24"/>
          <w:szCs w:val="24"/>
        </w:rPr>
        <w:t xml:space="preserve"> This modular architecture mirrors the workflow of systematic reviews, making agentic AI particularly well</w:t>
      </w:r>
      <w:r>
        <w:rPr>
          <w:rFonts w:ascii="Times New Roman" w:eastAsia="Times New Roman" w:hAnsi="Times New Roman" w:cs="Times New Roman"/>
          <w:sz w:val="24"/>
          <w:szCs w:val="24"/>
        </w:rPr>
        <w:t>‑</w:t>
      </w:r>
      <w:r>
        <w:rPr>
          <w:rFonts w:ascii="Book Antiqua" w:eastAsia="Book Antiqua" w:hAnsi="Book Antiqua" w:cs="Book Antiqua"/>
          <w:sz w:val="24"/>
          <w:szCs w:val="24"/>
        </w:rPr>
        <w:t>suited to evidence synthesis. By embedding human</w:t>
      </w:r>
      <w:r>
        <w:rPr>
          <w:rFonts w:ascii="Times New Roman" w:eastAsia="Times New Roman" w:hAnsi="Times New Roman" w:cs="Times New Roman"/>
          <w:sz w:val="24"/>
          <w:szCs w:val="24"/>
        </w:rPr>
        <w:t>‑</w:t>
      </w:r>
      <w:r>
        <w:rPr>
          <w:rFonts w:ascii="Book Antiqua" w:eastAsia="Book Antiqua" w:hAnsi="Book Antiqua" w:cs="Book Antiqua"/>
          <w:sz w:val="24"/>
          <w:szCs w:val="24"/>
        </w:rPr>
        <w:t>in</w:t>
      </w:r>
      <w:r>
        <w:rPr>
          <w:rFonts w:ascii="Times New Roman" w:eastAsia="Times New Roman" w:hAnsi="Times New Roman" w:cs="Times New Roman"/>
          <w:sz w:val="24"/>
          <w:szCs w:val="24"/>
        </w:rPr>
        <w:t>‑</w:t>
      </w:r>
      <w:r>
        <w:rPr>
          <w:rFonts w:ascii="Book Antiqua" w:eastAsia="Book Antiqua" w:hAnsi="Book Antiqua" w:cs="Book Antiqua"/>
          <w:sz w:val="24"/>
          <w:szCs w:val="24"/>
        </w:rPr>
        <w:t>the</w:t>
      </w:r>
      <w:r>
        <w:rPr>
          <w:rFonts w:ascii="Times New Roman" w:eastAsia="Times New Roman" w:hAnsi="Times New Roman" w:cs="Times New Roman"/>
          <w:sz w:val="24"/>
          <w:szCs w:val="24"/>
        </w:rPr>
        <w:t>‑</w:t>
      </w:r>
      <w:r>
        <w:rPr>
          <w:rFonts w:ascii="Book Antiqua" w:eastAsia="Book Antiqua" w:hAnsi="Book Antiqua" w:cs="Book Antiqua"/>
          <w:sz w:val="24"/>
          <w:szCs w:val="24"/>
        </w:rPr>
        <w:t>loop validation, agentic AI frameworks can combine efficiency with oversight, ensuring that critical decisions remain traceable and clinically reliable.</w:t>
      </w:r>
    </w:p>
    <w:p w14:paraId="00000015" w14:textId="77777777"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The objective of this study is to develop and validate a locally executed agentic AI framework capable of supporting systematic reviews and meta</w:t>
      </w:r>
      <w:r>
        <w:rPr>
          <w:rFonts w:ascii="Times New Roman" w:eastAsia="Times New Roman" w:hAnsi="Times New Roman" w:cs="Times New Roman"/>
          <w:sz w:val="24"/>
          <w:szCs w:val="24"/>
        </w:rPr>
        <w:t>‑</w:t>
      </w:r>
      <w:r>
        <w:rPr>
          <w:rFonts w:ascii="Book Antiqua" w:eastAsia="Book Antiqua" w:hAnsi="Book Antiqua" w:cs="Book Antiqua"/>
          <w:sz w:val="24"/>
          <w:szCs w:val="24"/>
        </w:rPr>
        <w:t>analyses by automating key tasks—deduplication, title and abstract screening, and structured data extraction—while retaining human oversight for full</w:t>
      </w:r>
      <w:r>
        <w:rPr>
          <w:rFonts w:ascii="Times New Roman" w:eastAsia="Times New Roman" w:hAnsi="Times New Roman" w:cs="Times New Roman"/>
          <w:sz w:val="24"/>
          <w:szCs w:val="24"/>
        </w:rPr>
        <w:t>‑</w:t>
      </w:r>
      <w:r>
        <w:rPr>
          <w:rFonts w:ascii="Book Antiqua" w:eastAsia="Book Antiqua" w:hAnsi="Book Antiqua" w:cs="Book Antiqua"/>
          <w:sz w:val="24"/>
          <w:szCs w:val="24"/>
        </w:rPr>
        <w:t xml:space="preserve">text screening. </w:t>
      </w:r>
    </w:p>
    <w:p w14:paraId="00000016" w14:textId="77777777" w:rsidR="00B64C21" w:rsidRDefault="005E1AA8">
      <w:pPr>
        <w:rPr>
          <w:rFonts w:ascii="Book Antiqua" w:eastAsia="Book Antiqua" w:hAnsi="Book Antiqua" w:cs="Book Antiqua"/>
          <w:b/>
          <w:bCs/>
          <w:sz w:val="24"/>
          <w:szCs w:val="24"/>
        </w:rPr>
      </w:pPr>
      <w:r>
        <w:rPr>
          <w:rFonts w:ascii="Book Antiqua" w:eastAsia="Book Antiqua" w:hAnsi="Book Antiqua" w:cs="Book Antiqua"/>
          <w:b/>
          <w:bCs/>
          <w:sz w:val="24"/>
          <w:szCs w:val="24"/>
        </w:rPr>
        <w:t>Methods</w:t>
      </w:r>
    </w:p>
    <w:p w14:paraId="00000017" w14:textId="77777777" w:rsidR="00B64C21" w:rsidRDefault="005E1AA8">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Study Design</w:t>
      </w:r>
    </w:p>
    <w:p w14:paraId="00000018" w14:textId="05CD4C6B"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This study was conducted as a methods development and validation project to evaluate a locally executed agentic AI framework for systematic reviews and meta</w:t>
      </w:r>
      <w:r>
        <w:rPr>
          <w:rFonts w:ascii="Times New Roman" w:eastAsia="Times New Roman" w:hAnsi="Times New Roman" w:cs="Times New Roman"/>
          <w:sz w:val="24"/>
          <w:szCs w:val="24"/>
        </w:rPr>
        <w:t>‑</w:t>
      </w:r>
      <w:r>
        <w:rPr>
          <w:rFonts w:ascii="Book Antiqua" w:eastAsia="Book Antiqua" w:hAnsi="Book Antiqua" w:cs="Book Antiqua"/>
          <w:sz w:val="24"/>
          <w:szCs w:val="24"/>
        </w:rPr>
        <w:t>analyses. The study was reported in adherence to PRISMA</w:t>
      </w:r>
      <w:r>
        <w:rPr>
          <w:rFonts w:ascii="Times New Roman" w:eastAsia="Times New Roman" w:hAnsi="Times New Roman" w:cs="Times New Roman"/>
          <w:sz w:val="24"/>
          <w:szCs w:val="24"/>
        </w:rPr>
        <w:t>‑</w:t>
      </w:r>
      <w:proofErr w:type="spellStart"/>
      <w:r>
        <w:rPr>
          <w:rFonts w:ascii="Book Antiqua" w:eastAsia="Book Antiqua" w:hAnsi="Book Antiqua" w:cs="Book Antiqua"/>
          <w:sz w:val="24"/>
          <w:szCs w:val="24"/>
        </w:rPr>
        <w:t>trAIce</w:t>
      </w:r>
      <w:proofErr w:type="spellEnd"/>
      <w:r>
        <w:rPr>
          <w:rFonts w:ascii="Book Antiqua" w:eastAsia="Book Antiqua" w:hAnsi="Book Antiqua" w:cs="Book Antiqua"/>
          <w:sz w:val="24"/>
          <w:szCs w:val="24"/>
        </w:rPr>
        <w:t xml:space="preserve"> (PRISMA–Transparent Reporting of Artificial Intelligence in Comprehensive Evidence Synthesis) guidelines to ensure transparency, reproducibility</w:t>
      </w:r>
      <w:r w:rsidR="00F31B1D">
        <w:rPr>
          <w:rFonts w:ascii="Book Antiqua" w:eastAsia="Book Antiqua" w:hAnsi="Book Antiqua" w:cs="Book Antiqua"/>
          <w:sz w:val="24"/>
          <w:szCs w:val="24"/>
        </w:rPr>
        <w:t>, and methodological rigour.</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{"citationID":"AU2zJW7V","properties":{"formattedCitation":"\\super 17\\nosupersub{}","plainCitation":"17","noteIndex":0},"citationItems":[{"id":71902,"uris":["http://zotero.org/users/4194337/items/TVEQLKJZ"],"itemData":{"id":71902,"type":"article-journal","abstract":"BACKGROUND: Systematic literature reviews (SLRs) build the foundation for evidence synthesis, but they are exceptionally demanding in terms of time and resources. While recent advances in artificial intelligence (AI), particularly large language models, offer the potential to accelerate this process, their use introduces challenges to transparency and reproducibility. Reporting guidelines such as the PRISMA-AI (Preferred Reporting Items for Systematic Reviews and Meta-Analyses-Artificial Intelligence Extension) primarily focus on AI as a subject of research, not as a tool in the review process itself.\nOBJECTIVE: To address the gap in reporting standards, this study aimed to develop and propose a discipline-agnostic checklist extension to the PRISMA 2020 statement. The goal was to ensure transparent reporting when AI is used as a methodological tool in evidence synthesis, fostering trust in the next generation of SLRs.\nMETHODS: The proposed checklist, named PRISMA-trAIce (PRISMA-Transparent Reporting of Artificial Intelligence in Comprehensive Evidence Synthesis), was developed through a systematic process. We conducted a literature search to identify established, consensus-based AI reporting guidelines (eg, CONSORT-AI [Consolidated Standards of Reporting Trials-Artificial Intelligence] and TRIPOD-AI [Transparent Reporting of a Multivariable Prediction Model of Individual Prognosis or Diagnosis-Artificial Intelligence]). Relevant items from these frameworks were extracted, analyzed, and thematically synthesized to form a modular checklist that integrated with the PRISMA 2020 structure.\nRESULTS: The primary result of this work is the PRISMA-trAIce checklist, a comprehensive set of reporting items designed to document the use of AI in SLRs. The checklist covers the entire structure of an SLR, from title and abstract to methods and discussion, and includes specific items for identifying AI tools, describing human-AI interaction, reporting performance evaluation, and discussing limitations.\nCONCLUSIONS: PRISMA-trAIce establishes an important framework to improve the transparency and methodological integrity of AI-assisted systematic reviews, enhancing the trust required for the responsible application of AI-assisted systematic reviews in evidence synthesis. We present this work as a foundational proposal, explicitly inviting the scientific community to join an open science process of consensus building. Through this collaborative refinement, we aim to evolve PRISMA-trAIce into a formally endorsed guideline, thereby ensuring the collective validation and scientific rigor of future AI-driven research.","container-title":"Jmir Ai","DOI":"10.2196/80247","ISSN":"2817-1705","journalAbbreviation":"JMIR AI","language":"eng","page":"e80247","PMID":"41370833","PMCID":"PMC12694947","source":"PubMed","title":"Transparent Reporting of AI in Systematic Literature Reviews: Development of the PRISMA-trAIce Checklist","title-short":"Transparent Reporting of AI in Systematic Literature Reviews","volume":"4","author":[{"family":"Holst","given":"Dirk"},{"family":"Moenck","given":"Keno"},{"family":"Koch","given":"Julian"},{"family":"Schmedemann","given":"Ole"},{"family":"Schüppstuhl","given":"Thorsten"}],"issued":{"date-parts":[["2025",12,10]]}}}],"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17</w:t>
      </w:r>
      <w:r w:rsidR="003B0DAD">
        <w:rPr>
          <w:rFonts w:ascii="Book Antiqua" w:eastAsia="Book Antiqua" w:hAnsi="Book Antiqua" w:cs="Book Antiqua"/>
          <w:sz w:val="24"/>
          <w:szCs w:val="24"/>
        </w:rPr>
        <w:fldChar w:fldCharType="end"/>
      </w:r>
      <w:r w:rsidR="00FA66A3">
        <w:rPr>
          <w:rFonts w:ascii="Book Antiqua" w:eastAsia="Book Antiqua" w:hAnsi="Book Antiqua" w:cs="Book Antiqua"/>
          <w:sz w:val="24"/>
          <w:szCs w:val="24"/>
        </w:rPr>
        <w:t xml:space="preserve"> </w:t>
      </w:r>
      <w:r w:rsidR="00FA66A3" w:rsidRPr="00FA66A3">
        <w:rPr>
          <w:rFonts w:ascii="Book Antiqua" w:eastAsia="Book Antiqua" w:hAnsi="Book Antiqua" w:cs="Book Antiqua"/>
          <w:sz w:val="24"/>
          <w:szCs w:val="24"/>
        </w:rPr>
        <w:t>PRISMA</w:t>
      </w:r>
      <w:r w:rsidR="00FA66A3" w:rsidRPr="00FA66A3">
        <w:rPr>
          <w:rFonts w:ascii="Times New Roman" w:eastAsia="Book Antiqua" w:hAnsi="Times New Roman" w:cs="Times New Roman"/>
          <w:sz w:val="24"/>
          <w:szCs w:val="24"/>
        </w:rPr>
        <w:t>‑</w:t>
      </w:r>
      <w:proofErr w:type="spellStart"/>
      <w:r w:rsidR="00FA66A3" w:rsidRPr="00FA66A3">
        <w:rPr>
          <w:rFonts w:ascii="Book Antiqua" w:eastAsia="Book Antiqua" w:hAnsi="Book Antiqua" w:cs="Book Antiqua"/>
          <w:sz w:val="24"/>
          <w:szCs w:val="24"/>
        </w:rPr>
        <w:t>trAIce</w:t>
      </w:r>
      <w:proofErr w:type="spellEnd"/>
      <w:r w:rsidR="00FA66A3" w:rsidRPr="00FA66A3">
        <w:rPr>
          <w:rFonts w:ascii="Book Antiqua" w:eastAsia="Book Antiqua" w:hAnsi="Book Antiqua" w:cs="Book Antiqua"/>
          <w:sz w:val="24"/>
          <w:szCs w:val="24"/>
        </w:rPr>
        <w:t xml:space="preserve"> is particularly relevant because it addresses the “</w:t>
      </w:r>
      <w:r w:rsidR="00FA66A3" w:rsidRPr="00FA66A3">
        <w:rPr>
          <w:rFonts w:ascii="Book Antiqua" w:eastAsia="Book Antiqua" w:hAnsi="Book Antiqua" w:cs="Book Antiqua"/>
          <w:i/>
          <w:sz w:val="24"/>
          <w:szCs w:val="24"/>
        </w:rPr>
        <w:t>black box</w:t>
      </w:r>
      <w:r w:rsidR="00FA66A3" w:rsidRPr="00FA66A3">
        <w:rPr>
          <w:rFonts w:ascii="Book Antiqua" w:eastAsia="Book Antiqua" w:hAnsi="Book Antiqua" w:cs="Book Antiqua"/>
          <w:sz w:val="24"/>
          <w:szCs w:val="24"/>
        </w:rPr>
        <w:t>” nature of AI systems, requiring explicit documentation of inputs, outputs, and validation processes.</w:t>
      </w:r>
    </w:p>
    <w:p w14:paraId="28EF08F1" w14:textId="77777777" w:rsidR="005A73DD" w:rsidRDefault="005A73DD">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Development Phase</w:t>
      </w:r>
    </w:p>
    <w:p w14:paraId="52D1CBC5" w14:textId="012C683C" w:rsidR="005A73DD" w:rsidRDefault="005A73DD">
      <w:pPr>
        <w:rPr>
          <w:rFonts w:ascii="Book Antiqua" w:eastAsia="Book Antiqua" w:hAnsi="Book Antiqua" w:cs="Book Antiqua"/>
          <w:bCs/>
          <w:iCs/>
          <w:sz w:val="24"/>
          <w:szCs w:val="24"/>
        </w:rPr>
      </w:pPr>
      <w:r w:rsidRPr="005A73DD">
        <w:rPr>
          <w:rFonts w:ascii="Book Antiqua" w:eastAsia="Book Antiqua" w:hAnsi="Book Antiqua" w:cs="Book Antiqua"/>
          <w:bCs/>
          <w:iCs/>
          <w:sz w:val="24"/>
          <w:szCs w:val="24"/>
        </w:rPr>
        <w:t>The agentic AI pipeline was initiall</w:t>
      </w:r>
      <w:r w:rsidR="001E4718">
        <w:rPr>
          <w:rFonts w:ascii="Book Antiqua" w:eastAsia="Book Antiqua" w:hAnsi="Book Antiqua" w:cs="Book Antiqua"/>
          <w:bCs/>
          <w:iCs/>
          <w:sz w:val="24"/>
          <w:szCs w:val="24"/>
        </w:rPr>
        <w:t>y developed and refined using 26</w:t>
      </w:r>
      <w:r w:rsidRPr="005A73DD">
        <w:rPr>
          <w:rFonts w:ascii="Book Antiqua" w:eastAsia="Book Antiqua" w:hAnsi="Book Antiqua" w:cs="Book Antiqua"/>
          <w:bCs/>
          <w:iCs/>
          <w:sz w:val="24"/>
          <w:szCs w:val="24"/>
        </w:rPr>
        <w:t xml:space="preserve"> previously published systematic reviews authored by the investigators.</w:t>
      </w:r>
      <w:r w:rsidR="003B0DAD">
        <w:rPr>
          <w:rFonts w:ascii="Book Antiqua" w:eastAsia="Book Antiqua" w:hAnsi="Book Antiqua" w:cs="Book Antiqua"/>
          <w:bCs/>
          <w:iCs/>
          <w:sz w:val="24"/>
          <w:szCs w:val="24"/>
        </w:rPr>
        <w:fldChar w:fldCharType="begin"/>
      </w:r>
      <w:r w:rsidR="003B0DAD">
        <w:rPr>
          <w:rFonts w:ascii="Book Antiqua" w:eastAsia="Book Antiqua" w:hAnsi="Book Antiqua" w:cs="Book Antiqua"/>
          <w:bCs/>
          <w:iCs/>
          <w:sz w:val="24"/>
          <w:szCs w:val="24"/>
        </w:rPr>
        <w:instrText xml:space="preserve"> ADDIN ZOTERO_ITEM CSL_CITATION {"citationID":"xAlFwkjf","properties":{"formattedCitation":"\\super 18\\uc0\\u8211{}43\\nosupersub{}","plainCitation":"18–43","noteIndex":0},"citationItems":[{"id":71861,"uris":["http://zotero.org/users/4194337/items/VKDJ5ID2"],"itemData":{"id":71861,"type":"article-journal","abstract":"Study DesignSystematic Review and Meta-analysis.ObjectiveTo evaluate the prophylactic efficacy of incisional negative pressure wound therapy(NPWT) in mitigating the postoperative complications following primary spine surgery.MethodsA comprehensive search of the databases (PubMed, Embase, Scopus and Web of Science) was performed until October 2025 since inception. Studies comparing incisional NPWT vs standard wound dressing after primary spine surgery were included if at least one of the relevant outcome measures was reported. While the primary endpoint was surgical site infection(SSI), the evaluated secondary outcomes included wound complications, reoperations, readmissions, length of hospital stay(LOS), and cost-effectiveness. Random-effects meta-analysis with Knapp-Hartung adjustment was employed to calculate pooled odds ratios(ORs) and mean differences(MD). The risk of bias assessment was made using the Cochrane ROB2 tool and Newcastle Ottawa Scale.ResultsThirteen studies comprising 7619 patients(851NPWT and 6,768controls) were analysed. NPWT significantly mitigated the SSI rates[OR = 0.42, 95%CI(0.28-0.63)P &lt; 0.001;I2 = 78%) and wound complications[OR = 0.51,95%CI(0.33-0.78)P = 0.03;P = 0.03;I2 = 0%]. In contrast, reoperation rates[OR = 0.68,95%CI(0.39-1.18)], readmissions[OR = 0.76,95%CI(0.45-1.29)], and LOS [MD = -1.05days,95%CI(-2.16,0.07)] demonstrated non-significant trends, indicating the clinical implications of these secondary outcomes remain uncertain. Two studies reported marked cost savings, with up to $12.9 saved for per $1 spent on NPWT. No significant publication bias was observed.ConclusionProphylactic incisional NPWT is associated with reduced SSI and wound complications in spine surgery. Given the predominance of retrospective studies, protocol heterogeneity, and limited cost-effectiveness data, these findings should be interpreted cautiously. Current evidence suggests NPWT may be most beneficial in selected high-risk patients, with larger multicentric RCTs needed to confirm routine use and economic value.","container-title":"Global Spine Journal","DOI":"10.1177/21925682261426264","ISSN":"2192-5682","journalAbbreviation":"Global Spine J","language":"eng","page":"21925682261426264","PMID":"41670395","PMCID":"PMC12893932","source":"PubMed","title":"Role of Prophylactic Negative Pressure Wound Therapy in Reducing Surgical-Site Infections in Spine Surgery - A Systematic Review and Meta-Analysis","author":[{"family":"Muthu","given":"Sathish"},{"family":"Viswanathan","given":"Vibhu Krishnan"},{"family":"Munisamy","given":"Sathish"},{"family":"Kolarpatti Ponnusamy","given":"Dhibin Vikash"},{"family":"Theiss","given":"Steven"},{"family":"Rajappan Chandra","given":"Sathish Kumar"},{"family":"Sharun","given":"Khan"},{"family":"Rajaram Manoharan","given":"Sakthivel Rajan"}],"issued":{"date-parts":[["2026",2,11]]}}},{"id":71829,"uris":["http://zotero.org/users/4194337/items/RPKVEZ6H"],"itemData":{"id":71829,"type":"article-journal","abstract":"INTRODUCTION: To date, the available guidance on venous thromboembolism (VTE) prevention in elective lumbar fusion surgery is largely open to surgeon interpretation and preference without any specific suggested chemoprophylactic regimen.\nRESEARCH QUESTION: This study aimed to comparatively analyze the incidence of deep vein thrombosis (DVT) and pulmonary embolism (PE) with the use of commonly employed chemoprophylactic agents such as unfractionated heparin (UH) and low molecular weight heparin (LMWH) in lumbar fusion surgery.\nMATERIAL AND METHODS: An independent systematic review of four scientific databases (PubMed, Scopus, clinicaltrials.gov, Web of Science) was performed to identify relevant articles as per the preferred reporting in systematic reviews and meta-analysis (PRISMA) guidelines. Studies reporting on DVT/PE outcomes of lumbar fusion surgery in adult patients with UH or LMWH chemoprophylaxis were included for analysis. Analysis was performed using the Stata software.\nRESULTS: Twelve studies with 8495 patients were included in the analysis. A single-arm meta-analysis of the included studies found a DVT incidence of 14% (95%CI [8%-20%]) and 1% (95%CI [-6% - 8%]) with LMWH and UH respectively. Both the chemoprophylaxis agents prevented PE with a noted incidence of 0% (95%CI [0%-0.1%]) and 0% (95%CI [0%-1%]) with LMWH and UH respectively. The risk of bleeding-related complications with the usage of LMWH and UH was 0% (95% CI [0.0%-0.30%]) and 3% (95% CI [0.3%-5%]) respectively.\nDISCUSSION AND CONCLUSION: Both LMWH and UH reduces the overall incidence of DVT/PE, but there is a paucity of evidence analyzing the comparative effectiveness of the chemoprophylaxis regimens in lumbar fusion procedures. The heterogeneity in data prevents any conclusions, as there remains an evidence gap. We recommend future high-quality randomized controlled trials to investigate in this regard to help develop recommendations on thromboprophylaxis usage.","container-title":"Brain &amp; Spine","DOI":"10.1016/j.bas.2023.102711","ISSN":"2772-5294","journalAbbreviation":"Brain Spine","language":"eng","page":"102711","PMID":"38021015","PMCID":"PMC10668088","source":"PubMed","title":"Does the choice of chemoprophylaxis affect the prevention of deep vein thrombosis in lumbar fusion surgery? A systematic review of the literature","title-short":"Does the choice of chemoprophylaxis affect the prevention of deep vein thrombosis in lumbar fusion surgery?","volume":"3","author":[{"family":"Muthu","given":"Sathish"},{"family":"Mavrovounis","given":"Georgios"},{"family":"Corluka","given":"Stipe"},{"family":"Buser","given":"Zorica"},{"family":"Brodano","given":"Giovanni Barbanti"},{"family":"Wu","given":"Yabin"},{"family":"Meisel","given":"Hans-Jorg"},{"family":"Wang","given":"Jeffrey"},{"family":"Yoon","given":"S. Tim"},{"family":"Demetriades","given":"Andreas K."},{"literal":"AO Spine Knowledge Forum Degenerative"}],"issued":{"date-parts":[["2023"]]}}},{"id":71825,"uris":["http://zotero.org/users/4194337/items/RPN7VHLN"],"itemData":{"id":71825,"type":"article-journal","abstract":"STUDY DESIGN: A systematic review and meta-analysis.\nOBJECTIVE: This meta-analysis aimed to compare percutaneous (PPS) versus open pedicle screw (OPS) fixation for treatment of thoracic and lumbar spondylodiscitis.\nSUMMARY OF BACKGROUND DATA: Pyogenic spondylodiscitis of the thoracic and lumbar spine can produce instability, deformity, and/or neurological compromise. When medical treatment is unsuccessful, surgical treatment is indicated, with the conventional open approach the usual standard of care. However, percutaneous techniques can be advantageous in medically vulnerable patients.\nMATERIALS AND METHODS: A literature search was performed using the PubMed, Web of Science, and Scopus databases, looking for comparative articles on pyogenic spondylodiscitis requiring surgical stabilization with pedicle screws. This systematic review is reported according to PRISMA guidelines.\nRESULTS: From 215 articles initially identified, 7 retrospective studies were analyzed, encapsulating an overall sample of 722 patients: 405 male (56.1%) and 317 female (43.9%). The treatment modality was PPS fixation in 342 patients (47.4%) and OPS fixation in 380 (52.6%). For PPS, operating time was 29.75 minutes ( P &lt;0.0001), blood loss 390.18</w:instrText>
      </w:r>
      <w:r w:rsidR="003B0DAD">
        <w:rPr>
          <w:rFonts w:ascii="Times New Roman" w:eastAsia="Book Antiqua" w:hAnsi="Times New Roman" w:cs="Times New Roman"/>
          <w:bCs/>
          <w:iCs/>
          <w:sz w:val="24"/>
          <w:szCs w:val="24"/>
        </w:rPr>
        <w:instrText> </w:instrText>
      </w:r>
      <w:r w:rsidR="003B0DAD">
        <w:rPr>
          <w:rFonts w:ascii="Book Antiqua" w:eastAsia="Book Antiqua" w:hAnsi="Book Antiqua" w:cs="Book Antiqua"/>
          <w:bCs/>
          <w:iCs/>
          <w:sz w:val="24"/>
          <w:szCs w:val="24"/>
        </w:rPr>
        <w:instrText>mL ( P &lt;0.00001), postoperative pain 1.54 points ( P &lt;0.00001), and length of stay 4.49 days ( P =0.001) less than with OPS fixation, and wound infection 7.2% ( P =0.003) less frequent. No difference in screw misplacement ( P =0.94) or loosening ( P =0.33) rates was observed.\nCONCLUSION: Employing PPS fixation to treat pyogenic spondylodiscitis of the thoracic and lumbar spine is associated with significantly reduced operating time, blood loss, postoperative pain, length of stay, and rates of wound infection than OPS fixation, with no difference between the 2 treatments in rates of screw misplacement or screw loosening.","container-title":"Clinical Spine Surgery","DOI":"10.1097/BSD.0000000000001325","ISSN":"2380-0194","issue":"1","journalAbbreviation":"Clin Spine Surg","language":"eng","page":"24-33","PMID":"35344512","source":"PubMed","title":"Percutaneous Versus Open Pedicle Screw Fixation for Pyogenic Spondylodiscitis of the Thoracic and Lumbar Spine: Systematic Review and Meta-Analysis","title-short":"Percutaneous Versus Open Pedicle Screw Fixation for Pyogenic Spondylodiscitis of the Thoracic and Lumbar Spine","volume":"36","author":[{"family":"Cabrera","given":"Juan P."},{"family":"Camino-Willhuber","given":"Gastón"},{"family":"Muthu","given":"Sathish"},{"family":"Guiroy","given":"Alfredo"},{"family":"Valacco","given":"Marcelo"},{"family":"Pola","given":"Enrico"}],"issued":{"date-parts":[["2023",2,1]]}}},{"id":71821,"uris":["http://zotero.org/users/4194337/items/GNHARJ8I"],"itemData":{"id":71821,"type":"article-journal","abstract":"STUDY DESIGN: Systematic review and meta-analysis.\nOBJECTIVES: We performed this meta-analysis to evaluate whether endoscopic discectomy (ED) shows superiority compared with the current gold standard of microdiscectomy (MD) in management of lumbar disc disease.\nMATERIALS AND METHODS: We conducted independent and duplicate electronic database search including PubMed, Embase, and Cochrane Library from 1990 till April 2020 for studies comparing ED and MD in the management of lumbar disc disease. Analysis was performed in R platform using OpenMeta[Analyst] software.\nRESULTS: We included 27 studies, including 11 randomized controlled trials (RCTs), 7 nonrandomized prospective, and 9 retrospective studies involving 4018 patients in the meta-analysis. We stratified the results based on the study design. Considering the heterogeneity in some results between study designs, we weighed our conclusion essentially based on results of RCTs. On analyzing the RCTs, superiority was established at 95% confidence interval for ED compared with MD in terms of functional outcomes like Oswestry Disability Index (ODI) score (P = .008), duration of surgery (P = .023), and length of hospital stay (P &lt; .001) although significant heterogeneity was noted. Similarly, noninferiority to MD was established by ED in other outcomes like visual analogue scale score for back pain (P = .860) and leg pain (P = .495), MacNab classification (P = .097), recurrences (P = .993), reoperations (P = .740), and return-to-work period (P = .748).\nCONCLUSION: Our meta-analysis established the superiority of endoscopic discectomy in outcome measures like ODI score, duration of surgery, overall complications, length of hospital stay and noninferiority in other measures analyzed. With recent advances in the field of ED, the procedure has the potential to take over the place of MD as the gold standard of care in management of lumbar disc disease.","container-title":"Global Spine Journal","DOI":"10.1177/2192568220948814","ISSN":"2192-5682","issue":"7","journalAbbreviation":"Global Spine J","language":"eng","page":"1104-1120","PMID":"32935576","PMCID":"PMC8351066","source":"PubMed","title":"Is Endoscopic Discectomy the Next Gold Standard in the Management of Lumbar Disc Disease? Systematic Review and Superiority Analysis","title-short":"Is Endoscopic Discectomy the Next Gold Standard in the Management of Lumbar Disc Disease?","volume":"11","author":[{"family":"Muthu","given":"Sathish"},{"family":"Ramakrishnan","given":"Eswar"},{"family":"Chellamuthu","given":"Girinivasan"}],"issued":{"date-parts":[["2021",9]]}}},{"id":71819,"uris":["http://zotero.org/users/4194337/items/69FYT8AG"],"itemData":{"id":71819,"type":"article-journal","abstract":"STUDY DESIGN: Systematic review.\nOBJECTIVES: To assess the methodological quality of systematic reviews and meta-analyses in spine surgery over the past 2 decades.\nMATERIALS AND METHODS: We conducted independent and in duplicate systematic review of the published systematic reviews and meta-analyses between 2000 and 2019 from PubMed Central and Cochrane Database pertaining to spine surgery involving surgical intervention. We searched bibliographies to identify additional relevant studies. Methodological quality was evaluated with AMSTAR score and graded with AMSTAR 2 criteria.\nRESULTS: A total of 96 reviews met the eligibility criteria, with mean AMSTAR score of 7.51 (SD = 1.98). Based on AMSTAR 2 criteria, 13.5% (n = 13) and 18.7% (n = 18) of the studies had high and moderate level of confidence of results, respectively, without any critical flaws. A total of 29.1% (n = 28) of the studies had at least 1 critical flaw and 38.5% (n = 37) of the studies had more than 1 critical flaw, so that their results have low and critically low confidence, respectively. Failure to analyze the conflict of interest of authors of primary studies included in review and lack of list of excluded studies with justification were the most common critical flaw. Regression analysis demonstrated that studies with funding and studies published in recent years were significantly associated with higher methodological quality.\nCONCLUSION: Despite improvement in methodological quality of systematic reviews and meta-analyses in spine surgery in current decade, a substantial proportion continue to show critical flaws. With increasing number of review articles in spine surgery, stringent measures must be taken to adhere to methodological quality by following PRISMA and AMSTAR guidelines to attain higher standards of evidence in published literature.","container-title":"Global Spine Journal","DOI":"10.1177/2192568220906810","ISSN":"2192-5682","issue":"3","journalAbbreviation":"Global Spine J","language":"eng","page":"378-399","PMID":"32875866","PMCID":"PMC8013933","source":"PubMed","title":"Systematic Reviews and Meta-Analysis in Spine Surgery-How Good Are They in Methodological Quality? A Systematic Review","title-short":"Systematic Reviews and Meta-Analysis in Spine Surgery-How Good Are They in Methodological Quality?","volume":"11","author":[{"family":"Sathish","given":"Muthu"},{"family":"Eswar","given":"Ramakrishnan"}],"issued":{"date-parts":[["2021",4]]}}},{"id":71817,"uris":["http://zotero.org/users/4194337/items/HNZM2AYH"],"itemData":{"id":71817,"type":"article-journal","abstract":"STUDY DESIGN: Systematic review.\nOBJECTIVES: The aim of this study was to assess the robustness of statistically significant outcomes from randomized control trials (RCTs) in spine surgery using Fragility Index (FI) which is a novel metric measuring the number of events upon which statistical significance of the outcome depends.\nSUMMARY OF BACKGROUND DATA: Many trials in Spine surgery were characterized by fewer outcome events along with small sample size. FI helps us identify the robustness of the results from such studies with statistically significant dichotomous outcomes.\nMETHODS: We conducted independent and in duplicate, a systematic review of published RCTs in spine surgery from PubMed Central, Embase, and Cochrane Database. RCTs with 1:1 prospective study design and reporting statistically significant dichotomous primary or secondary outcomes were included. FI was calculated for each RCT and its correlation with various factors was analyzed.\nRESULTS: Seventy trials met inclusion criteria with a median sample size of 133 (interquartile range [IQR]: 80-218) and median reported events per trial was 38 (IQR: 13-94). The median FI score was 2 (IQR: 0-5), which means if we switch two patients from nonevent to event, the statistical significance of the outcome is lost. The FI score was less than the number of patients lost to follow-up in 28 of 70 trials. The FI score was found to positively correlated with sample size (r</w:instrText>
      </w:r>
      <w:r w:rsidR="003B0DAD">
        <w:rPr>
          <w:rFonts w:ascii="Times New Roman" w:eastAsia="Book Antiqua" w:hAnsi="Times New Roman" w:cs="Times New Roman"/>
          <w:bCs/>
          <w:iCs/>
          <w:sz w:val="24"/>
          <w:szCs w:val="24"/>
        </w:rPr>
        <w:instrText> </w:instrText>
      </w:r>
      <w:r w:rsidR="003B0DAD">
        <w:rPr>
          <w:rFonts w:ascii="Book Antiqua" w:eastAsia="Book Antiqua" w:hAnsi="Book Antiqua" w:cs="Book Antiqua"/>
          <w:bCs/>
          <w:iCs/>
          <w:sz w:val="24"/>
          <w:szCs w:val="24"/>
        </w:rPr>
        <w:instrText>=</w:instrText>
      </w:r>
      <w:r w:rsidR="003B0DAD">
        <w:rPr>
          <w:rFonts w:ascii="Times New Roman" w:eastAsia="Book Antiqua" w:hAnsi="Times New Roman" w:cs="Times New Roman"/>
          <w:bCs/>
          <w:iCs/>
          <w:sz w:val="24"/>
          <w:szCs w:val="24"/>
        </w:rPr>
        <w:instrText> </w:instrText>
      </w:r>
      <w:r w:rsidR="003B0DAD">
        <w:rPr>
          <w:rFonts w:ascii="Book Antiqua" w:eastAsia="Book Antiqua" w:hAnsi="Book Antiqua" w:cs="Book Antiqua"/>
          <w:bCs/>
          <w:iCs/>
          <w:sz w:val="24"/>
          <w:szCs w:val="24"/>
        </w:rPr>
        <w:instrText>0.431, P</w:instrText>
      </w:r>
      <w:r w:rsidR="003B0DAD">
        <w:rPr>
          <w:rFonts w:ascii="Times New Roman" w:eastAsia="Book Antiqua" w:hAnsi="Times New Roman" w:cs="Times New Roman"/>
          <w:bCs/>
          <w:iCs/>
          <w:sz w:val="24"/>
          <w:szCs w:val="24"/>
        </w:rPr>
        <w:instrText> </w:instrText>
      </w:r>
      <w:r w:rsidR="003B0DAD">
        <w:rPr>
          <w:rFonts w:ascii="Book Antiqua" w:eastAsia="Book Antiqua" w:hAnsi="Book Antiqua" w:cs="Book Antiqua"/>
          <w:bCs/>
          <w:iCs/>
          <w:sz w:val="24"/>
          <w:szCs w:val="24"/>
        </w:rPr>
        <w:instrText>=</w:instrText>
      </w:r>
      <w:r w:rsidR="003B0DAD">
        <w:rPr>
          <w:rFonts w:ascii="Times New Roman" w:eastAsia="Book Antiqua" w:hAnsi="Times New Roman" w:cs="Times New Roman"/>
          <w:bCs/>
          <w:iCs/>
          <w:sz w:val="24"/>
          <w:szCs w:val="24"/>
        </w:rPr>
        <w:instrText> </w:instrText>
      </w:r>
      <w:r w:rsidR="003B0DAD">
        <w:rPr>
          <w:rFonts w:ascii="Book Antiqua" w:eastAsia="Book Antiqua" w:hAnsi="Book Antiqua" w:cs="Book Antiqua"/>
          <w:bCs/>
          <w:iCs/>
          <w:sz w:val="24"/>
          <w:szCs w:val="24"/>
        </w:rPr>
        <w:instrText>0.001), total number of outcome events (r</w:instrText>
      </w:r>
      <w:r w:rsidR="003B0DAD">
        <w:rPr>
          <w:rFonts w:ascii="Times New Roman" w:eastAsia="Book Antiqua" w:hAnsi="Times New Roman" w:cs="Times New Roman"/>
          <w:bCs/>
          <w:iCs/>
          <w:sz w:val="24"/>
          <w:szCs w:val="24"/>
        </w:rPr>
        <w:instrText> </w:instrText>
      </w:r>
      <w:r w:rsidR="003B0DAD">
        <w:rPr>
          <w:rFonts w:ascii="Book Antiqua" w:eastAsia="Book Antiqua" w:hAnsi="Book Antiqua" w:cs="Book Antiqua"/>
          <w:bCs/>
          <w:iCs/>
          <w:sz w:val="24"/>
          <w:szCs w:val="24"/>
        </w:rPr>
        <w:instrText>=</w:instrText>
      </w:r>
      <w:r w:rsidR="003B0DAD">
        <w:rPr>
          <w:rFonts w:ascii="Times New Roman" w:eastAsia="Book Antiqua" w:hAnsi="Times New Roman" w:cs="Times New Roman"/>
          <w:bCs/>
          <w:iCs/>
          <w:sz w:val="24"/>
          <w:szCs w:val="24"/>
        </w:rPr>
        <w:instrText> </w:instrText>
      </w:r>
      <w:r w:rsidR="003B0DAD">
        <w:rPr>
          <w:rFonts w:ascii="Book Antiqua" w:eastAsia="Book Antiqua" w:hAnsi="Book Antiqua" w:cs="Book Antiqua"/>
          <w:bCs/>
          <w:iCs/>
          <w:sz w:val="24"/>
          <w:szCs w:val="24"/>
        </w:rPr>
        <w:instrText>0.305, P</w:instrText>
      </w:r>
      <w:r w:rsidR="003B0DAD">
        <w:rPr>
          <w:rFonts w:ascii="Times New Roman" w:eastAsia="Book Antiqua" w:hAnsi="Times New Roman" w:cs="Times New Roman"/>
          <w:bCs/>
          <w:iCs/>
          <w:sz w:val="24"/>
          <w:szCs w:val="24"/>
        </w:rPr>
        <w:instrText> </w:instrText>
      </w:r>
      <w:r w:rsidR="003B0DAD">
        <w:rPr>
          <w:rFonts w:ascii="Book Antiqua" w:eastAsia="Book Antiqua" w:hAnsi="Book Antiqua" w:cs="Book Antiqua"/>
          <w:bCs/>
          <w:iCs/>
          <w:sz w:val="24"/>
          <w:szCs w:val="24"/>
        </w:rPr>
        <w:instrText>=</w:instrText>
      </w:r>
      <w:r w:rsidR="003B0DAD">
        <w:rPr>
          <w:rFonts w:ascii="Times New Roman" w:eastAsia="Book Antiqua" w:hAnsi="Times New Roman" w:cs="Times New Roman"/>
          <w:bCs/>
          <w:iCs/>
          <w:sz w:val="24"/>
          <w:szCs w:val="24"/>
        </w:rPr>
        <w:instrText> </w:instrText>
      </w:r>
      <w:r w:rsidR="003B0DAD">
        <w:rPr>
          <w:rFonts w:ascii="Book Antiqua" w:eastAsia="Book Antiqua" w:hAnsi="Book Antiqua" w:cs="Book Antiqua"/>
          <w:bCs/>
          <w:iCs/>
          <w:sz w:val="24"/>
          <w:szCs w:val="24"/>
        </w:rPr>
        <w:instrText>0.01) while negatively correlated with P value (r</w:instrText>
      </w:r>
      <w:r w:rsidR="003B0DAD">
        <w:rPr>
          <w:rFonts w:ascii="Times New Roman" w:eastAsia="Book Antiqua" w:hAnsi="Times New Roman" w:cs="Times New Roman"/>
          <w:bCs/>
          <w:iCs/>
          <w:sz w:val="24"/>
          <w:szCs w:val="24"/>
        </w:rPr>
        <w:instrText> </w:instrText>
      </w:r>
      <w:r w:rsidR="003B0DAD">
        <w:rPr>
          <w:rFonts w:ascii="Book Antiqua" w:eastAsia="Book Antiqua" w:hAnsi="Book Antiqua" w:cs="Book Antiqua"/>
          <w:bCs/>
          <w:iCs/>
          <w:sz w:val="24"/>
          <w:szCs w:val="24"/>
        </w:rPr>
        <w:instrText>=</w:instrText>
      </w:r>
      <w:r w:rsidR="003B0DAD">
        <w:rPr>
          <w:rFonts w:ascii="Times New Roman" w:eastAsia="Book Antiqua" w:hAnsi="Times New Roman" w:cs="Times New Roman"/>
          <w:bCs/>
          <w:iCs/>
          <w:sz w:val="24"/>
          <w:szCs w:val="24"/>
        </w:rPr>
        <w:instrText> </w:instrText>
      </w:r>
      <w:r w:rsidR="003B0DAD">
        <w:rPr>
          <w:rFonts w:ascii="Book Antiqua" w:eastAsia="Book Antiqua" w:hAnsi="Book Antiqua" w:cs="Book Antiqua"/>
          <w:bCs/>
          <w:iCs/>
          <w:sz w:val="24"/>
          <w:szCs w:val="24"/>
        </w:rPr>
        <w:instrText>-0.392, P</w:instrText>
      </w:r>
      <w:r w:rsidR="003B0DAD">
        <w:rPr>
          <w:rFonts w:ascii="Times New Roman" w:eastAsia="Book Antiqua" w:hAnsi="Times New Roman" w:cs="Times New Roman"/>
          <w:bCs/>
          <w:iCs/>
          <w:sz w:val="24"/>
          <w:szCs w:val="24"/>
        </w:rPr>
        <w:instrText> </w:instrText>
      </w:r>
      <w:r w:rsidR="003B0DAD">
        <w:rPr>
          <w:rFonts w:ascii="Book Antiqua" w:eastAsia="Book Antiqua" w:hAnsi="Book Antiqua" w:cs="Book Antiqua"/>
          <w:bCs/>
          <w:iCs/>
          <w:sz w:val="24"/>
          <w:szCs w:val="24"/>
        </w:rPr>
        <w:instrText>=</w:instrText>
      </w:r>
      <w:r w:rsidR="003B0DAD">
        <w:rPr>
          <w:rFonts w:ascii="Times New Roman" w:eastAsia="Book Antiqua" w:hAnsi="Times New Roman" w:cs="Times New Roman"/>
          <w:bCs/>
          <w:iCs/>
          <w:sz w:val="24"/>
          <w:szCs w:val="24"/>
        </w:rPr>
        <w:instrText> </w:instrText>
      </w:r>
      <w:r w:rsidR="003B0DAD">
        <w:rPr>
          <w:rFonts w:ascii="Book Antiqua" w:eastAsia="Book Antiqua" w:hAnsi="Book Antiqua" w:cs="Book Antiqua"/>
          <w:bCs/>
          <w:iCs/>
          <w:sz w:val="24"/>
          <w:szCs w:val="24"/>
        </w:rPr>
        <w:instrText>0.001). Funding, journal impact-factor, risk of bias domains, and year of publication did not have a significant correlation.\nCONCLUSION: Statistically significant dichotomous outcomes reported in spine surgery RCTs are more often fragile and outcomes of the patients lost to follow-up could have changed the significance of results and hence it needs caution before transcending their results into clinical application. The addition of FI in routine reporting of RCTs would guide readers on the robustness of the statistical significance of outcomes. RCTs with FI ≥5 without any patient lost to follow-up can be considered to have clinically robust results.Level of Evidence: 1.","container-title":"Spine","DOI":"10.1097/BRS.0000000000003645","ISSN":"1528-1159","issue":"3","journalAbbreviation":"Spine (Phila Pa 1976)","language":"eng","page":"198-208","PMID":"32756285","source":"PubMed","title":"Fragility Analysis of Statistically Significant Outcomes of Randomized Control Trials in Spine Surgery: A Systematic Review","title-short":"Fragility Analysis of Statistically Significant Outcomes of Randomized Control Trials in Spine Surgery","volume":"46","author":[{"family":"Muthu","given":"Sathish"},{"family":"Ramakrishnan","given":"Eswar"}],"issued":{"date-parts":[["2021",2,1]]}}},{"id":71827,"uris":["http://zotero.org/users/4194337/items/H4BWXH39"],"itemData":{"id":71827,"type":"article-journal","abstract":"STUDY DESIGN: Systematic review of meta-analyses.\nOBJECTIVE: To perform a systematic review of meta-analyses to compare the clinical and radiological outcomes following anterior cervical discectomy and fusion with stand-alone cage (SAC) and anterior cervical cage-plate constructs (ACCPC).\nMETHODS: The systematic overview was conducted in accordance with Preferred Reporting Items for Systematic Reviews and Meta-Analyses (PRISMA) guidelines and reported as per Cochrane Handbook for Systematic Reviews of Interventions following the methodology described in reporting Overview of reviews.\nRESULTS: Based on the available level-1 evidence, SAC offers significantly better benefits over ACCPC, in terms of shorter operative time (p &lt; 0.00001; I2 = 0%), lower blood loss (p = 0.01; I2 = 0%), lesser rates of post-operative dysphagia (p = 0.02; I2 = 0%), reduced overall expenditure (p = 0.001) and long-term adjacent segment degeneration (ASD)/anterior longitudinal ligament ossification (ALO; p = 0.0003; I2 = 0%). There is no significant difference between the two constructs with regard to fusion rates, functional outcome scores, follow-up radiological sagittal alignment parameters or cage subsidence.\nCONCLUSION: Based on the available evidence, SAC constructs in ACDF reduce blood loss, decreases operative time, mitigates post-operative dysphagia, lessens hospital-related expenditure and minimises long-term ASD rates.","container-title":"World Neurosurgery: X","DOI":"10.1016/j.wnsx.2023.100185","ISSN":"2590-1397","journalAbbreviation":"World Neurosurg X","language":"eng","page":"100185","PMID":"37008560","PMCID":"PMC10064425","source":"PubMed","title":"Is anterior cervical plating necessary for cage constructs in anterior cervical discectomy and fusion surgery for cervical degenerative disorders? Evidence-based on the systematic overview of meta-analyses","title-short":"Is anterior cervical plating necessary for cage constructs in anterior cervical discectomy and fusion surgery for cervical degenerative disorders?","volume":"18","author":[{"family":"Viswanathan","given":"Vibhu Krishnan"},{"family":"Muthu","given":"Sathish"}],"issued":{"date-parts":[["2023",4]]}}},{"id":71811,"uris":["http://zotero.org/users/4194337/items/ENCHJ9UF"],"itemData":{"id":71811,"type":"article-journal","abstract":"OBJECTIVE: We performed this meta-analysis to compare the safety of unilateral with bilateral instrumented fusion in 2-level degenerative disorders of the lumbar spine.\nMETHODS: We conducted an independent and a duplicate electronic database search including PubMed, Embase, and Cochrane Library until January 2020 for randomized controlled trials (RCTs) comparing unilateral pedicle screw fixation with bilateral pedicle screw fixation for multilevel lumbar degenerative disorders. Fusion and complication rates were the primary outcomes analyzed. Analysis was performed in R platform using OpenMeta[Analyst] software.\nRESULTS: Five RCTs including 215 patients (Unilateral/Bilateral = 106/109) were included in the meta-analysis. There was no significant difference between the 2 groups regarding fusion rate, complication rate, blood loss, duration of hospital stay, functional outcome scores like Visual Analog Scale, Oswestry Disability Index, and Short-Form 36 health survey at the final follow-up. Unilateral pedicle screw fixation was associated with a significant reduction in operation time (P &lt; 0.001). Compared with the open approach, the minimally invasive approach showed a significant difference in terms of factors like operative time, blood loss, hospital stay, Visual Analog Scale, and Oswestry Disability Index (P = 0.004).\nCONCLUSIONS: Our meta-analysis establishes the immediate safety and significant lesser operative period of unilateral pedicle screw fixation in lumbar fusion. However, due to lack of evidence on complications like cage subsidence and adjacent segment disease, unilateral pedicle screw fixation cannot be recommended as an alternative to bilateral pedicle screw fixation for 2-level degenerative spinal disease. Our analysis established the lacunae in literature for high-quality evidence on the subject; hence we recommend further large multicenter studies with longer follow-up to arrive at a conclusion.","container-title":"World Neurosurgery","DOI":"10.1016/j.wneu.2020.05.078","ISSN":"1878-8769","journalAbbreviation":"World Neurosurg","language":"eng","page":"357-368","PMID":"32428724","source":"PubMed","title":"How Safe Is Unilateral Pedicle Screw Fixation in Lumbar Fusion Surgery for Management of 2-Level Lumbar Degenerative Disorders Compared with Bilateral Pedicle Screw Fixation? Meta-analysis of Randomized Controlled Trials","title-short":"How Safe Is Unilateral Pedicle Screw Fixation in Lumbar Fusion Surgery for Management of 2-Level Lumbar Degenerative Disorders Compared with Bilateral Pedicle Screw Fixation?","volume":"140","author":[{"family":"Muthu","given":"Sathish"},{"family":"Chellamuthu","given":"Girinivasan"}],"issued":{"date-parts":[["2020",8]]}}},{"id":71833,"uris":["http://zotero.org/users/4194337/items/MIQPTDUR"],"itemData":{"id":71833,"type":"article-journal","abstract":"Study Design: Systematic literature reviewObjective: To critically analyze the literature and describe the complications associated with the use of allograft in 1- or 2- level anterior cervical discectomy and fusion (ACDF)Methods: A systematic search of PubMed/MEDLINE, EMBASE, and ClinicalTrials.gov databases was conducted for literature published between January 2000 and August 2020 reporting complications associated with the use of allograft in 1- or 2- level ACDF.Results: From 584 potentially relevant citations, 21 met the inclusion criteria (4 randomized controlled trials (RCT), 4 prospective, and 13 retrospective studies). The patient number varied between 26 and 463 in comparative studies (RCT and non-RCT) and between 29 and 345 in non-comparative studies. Fusion rate was reported in 14 studies and ranged between 68.5-100%. The most frequently reported complication was post-operative dysphagia or dysphonia, with incidences ranging between .5% and 14.4%. Revision surgery was the second most reported complication (14 studies) and ranged between 0% and 10.3%. Wound-related complications were reported in 6 studies and ranged between 0% and 22.8%.Conclusion: The overall reporting of complications was low with very few comparative studies. Reported complications with allografts are within the range of other osteobiologics and autografts and in most cases may not attributable to the use of osteobiologics and may be complications of the procedure itself. Comparative studies with a more robust methodology analyzing complications with allograft and other osteobiologics are needed to inform current practice with strong recommendations.","container-title":"Global Spine Journal","DOI":"10.1177/21925682231173358","ISSN":"2192-5682","issue":"2_suppl","journalAbbreviation":"Global Spine J","language":"eng","page":"70S-77S","PMID":"38421325","PMCID":"PMC10913902","source":"PubMed","title":"Complications of the Use Allograft in 1- or 2-Level Anterior Cervical Discectomy and Fusion: A Systematic Review","title-short":"Complications of the Use Allograft in 1- or 2-Level Anterior Cervical Discectomy and Fusion","volume":"14","author":[{"family":"Rodrigues-Pinto","given":"Ricardo"},{"family":"Muthu","given":"Sathish"},{"family":"Diniz","given":"Sara E."},{"family":"Cabrera","given":"Juan Pablo"},{"family":"Martin","given":"Christopher T."},{"family":"Agarwal","given":"Neha"},{"family":"Meisel","given":"Hans Jörg"},{"family":"Wang","given":"Jeffrey C."},{"family":"Buser","given":"Zorica"},{"literal":"AO Spine Knowledge Forum Degenerative"}],"issued":{"date-parts":[["2024",2]]}}},{"id":71831,"uris":["http://zotero.org/users/4194337/items/8TBYHAW2"],"itemData":{"id":71831,"type":"article-journal","abstract":"PURPOSE: To compare the clinical effectiveness of reduction and fusion with in situ fusion in the management of patients with degenerative lumbar spondylolisthesis (DLS).\nMETHODS: The systematic review was conducted following the PRISMA guidelines. Relevant studies were identified from PubMed, Embase, Scopus, Cochrane Library, ClinicalTrials.gov, and Google Scholar. The inclusion criteria were: (1) comparative studies of reduction and fusion versus in situ fusion for DLS patients, (2) outcomes reported as VAS/NRS, ODI, JOA score, operating time, blood loss, complication rate, fusion rate, or reoperation rate, (3) randomized controlled trials and observational studies published in English from the inception of the databases to January 2023. The exclusion criteria included: (1) reviews, case series, case reports, letters, and conference reports, (2) in vitro biomechanical studies and computational modeling studies, (3) no report on study outcomes. The risk of bias 2 (RoB2) tool and the Newcastle-Ottawa scale was conducted to assess the risk of bias of RCTs and observational studies, respectively.\nRESULTS: Five studies with a total of 704 patients were included (375 reduction and fusion, 329 in situ fusion). Operating time was significantly longer in the reduction and fusion group compared to in situ fusion group (weighted mean difference 7.20; 95% confidence interval 0.19, 14.21; P</w:instrText>
      </w:r>
      <w:r w:rsidR="003B0DAD">
        <w:rPr>
          <w:rFonts w:ascii="Times New Roman" w:eastAsia="Book Antiqua" w:hAnsi="Times New Roman" w:cs="Times New Roman"/>
          <w:bCs/>
          <w:iCs/>
          <w:sz w:val="24"/>
          <w:szCs w:val="24"/>
        </w:rPr>
        <w:instrText> </w:instrText>
      </w:r>
      <w:r w:rsidR="003B0DAD">
        <w:rPr>
          <w:rFonts w:ascii="Book Antiqua" w:eastAsia="Book Antiqua" w:hAnsi="Book Antiqua" w:cs="Book Antiqua"/>
          <w:bCs/>
          <w:iCs/>
          <w:sz w:val="24"/>
          <w:szCs w:val="24"/>
        </w:rPr>
        <w:instrText>=</w:instrText>
      </w:r>
      <w:r w:rsidR="003B0DAD">
        <w:rPr>
          <w:rFonts w:ascii="Times New Roman" w:eastAsia="Book Antiqua" w:hAnsi="Times New Roman" w:cs="Times New Roman"/>
          <w:bCs/>
          <w:iCs/>
          <w:sz w:val="24"/>
          <w:szCs w:val="24"/>
        </w:rPr>
        <w:instrText> </w:instrText>
      </w:r>
      <w:r w:rsidR="003B0DAD">
        <w:rPr>
          <w:rFonts w:ascii="Book Antiqua" w:eastAsia="Book Antiqua" w:hAnsi="Book Antiqua" w:cs="Book Antiqua"/>
          <w:bCs/>
          <w:iCs/>
          <w:sz w:val="24"/>
          <w:szCs w:val="24"/>
        </w:rPr>
        <w:instrText xml:space="preserve">0.04). No additional significant intergroup differences were noted in terms of other outcomes analyzed.\nCONCLUSION: While the reduction and fusion group demonstrated a statistically longer operating time compared to the in situ fusion group, the clinical significance of this difference was minimal. The findings suggest no substantial superiority of lumbar fusion with reduction over without reduction for the management of DLS.","container-title":"European Spine Journal: Official Publication of the European Spine Society, the European Spinal Deformity Society, and the European Section of the Cervical Spine Research Society","DOI":"10.1007/s00586-023-08041-4","ISSN":"1432-0932","issue":"5","journalAbbreviation":"Eur Spine J","language":"eng","page":"1748-1761","PMID":"38043128","source":"PubMed","title":"Clinical effectiveness of reduction and fusion versus in situ fusion in the management of degenerative lumbar spondylolisthesis: a systematic review and meta-analysis","title-short":"Clinical effectiveness of reduction and fusion versus in situ fusion in the management of degenerative lumbar spondylolisthesis","volume":"33","author":[{"family":"Wang","given":"Dongfan"},{"family":"Wang","given":"Wei"},{"family":"Han","given":"Di"},{"family":"Muthu","given":"Sathish"},{"family":"Cabrera","given":"Juan P."},{"family":"Hamouda","given":"Waeel"},{"family":"Ambrosio","given":"Luca"},{"family":"Cheung","given":"Jason P. Y."},{"family":"Le","given":"Hai V."},{"family":"Vadalà","given":"Gianluca"},{"family":"Buser","given":"Zorica"},{"family":"Wang","given":"Jeffrey C."},{"family":"Cho","given":"Samuel"},{"family":"Yoon","given":"S. Tim"},{"family":"Lu","given":"Shibao"},{"family":"Chen","given":"Xiaolong"},{"family":"Diwan","given":"Ashish D."},{"literal":"AO Spine Knowledge Forum Degenerative"}],"issued":{"date-parts":[["2024",5]]}}},{"id":71813,"uris":["http://zotero.org/users/4194337/items/BUM4XC5P"],"itemData":{"id":71813,"type":"article-journal","abstract":"STUDY DESIGN: Systematic review and meta-analysis.\nOBJECTIVE: To systematically review the available articles on topical vancomycin powder (TVP) use in pediatric spine surgeries exploring the usefulness and safety of such practice.\nMETHODS: We conducted an independent and duplicate electronic database search in PubMed, EMBASE, and Cochrane Library till March 2020 to identify all relevant literature on the use of TVP for pediatric spine surgeries. Surgical site infection (SSI) rate, specific reported complications, reoperation rate, microbial flora pattern in reported SSIs, and safety profile were the outcomes analyzed. Analysis was performed with the R platform using OpenMeta[Analyst] software.\nRESULTS: No prospective studies were available to evaluate the use of TVP in pediatric spine surgeries for the prevention of SSIs. Neither standardized protocol, nor drug dosage, nor safety profile was established for pediatric use. Three retrospective cohort studies including 824 patients (TVP/control: 400/424) were included in the meta-analysis. There was low-quality evidence suggesting no significant difference between the 2 groups in SSI rate (RR = 0.474; 95% CI = [0.106,2.112]; P = .327) with significant heterogeneity (I2 = 70.14; P = .035). The TVP group showed a significant benefit on cost analysis in one of the included studies. However, TVP did not prevent gram-negative coinfection on SSI in the TVP group.\nCONCLUSION: From the literature available at present, TVP does not qualify to be recommended as a safe and useful option to prevent SSI following pediatric spine surgeries. High-quality prospective interventional studies are needed to arrive at a consensus on its use along with appropriate dosage and method of application.","container-title":"Global Spine Journal","DOI":"10.1177/2192568220937286","ISSN":"2192-5682","issue":"5","journalAbbreviation":"Global Spine J","language":"eng","page":"774-781","PMID":"32677529","PMCID":"PMC8165936","source":"PubMed","title":"Is Use of Topical Vancomycin in Pediatric Spine Surgeries a Safe Option in the Prevention of Surgical Site Infections? A Meta-analysis and Systematic Review of the Literature","title-short":"Is Use of Topical Vancomycin in Pediatric Spine Surgeries a Safe Option in the Prevention of Surgical Site Infections?","volume":"11","author":[{"family":"Sathish","given":"Muthu"},{"family":"Girinivasan","given":"Chellamuthu"}],"issued":{"date-parts":[["2021",6]]}}},{"id":71815,"uris":["http://zotero.org/users/4194337/items/JF9LJL9L"],"itemData":{"id":71815,"type":"article-journal","abstract":"STUDY DESIGN: Systematic review, meta-analysis, evidence synthesis.\nOBJECTIVES: To analyse the literature evidence available to support the usage of wound drain in various scenarios of spine surgery and provide an evidence summary on the surgical practice.\nMATERIALS AND METHODS: We conducted independent and duplicate electronic database searches adhering to PRISMA guidelines in PubMed, Embase, and Cochrane Library till April 2020. Quality appraisal was done as per Cochrane ROB tool, and evidence synthesis was done as per GRADE approach. Five domains of spine surgery with associated key questions were identified. Evidence tables were generated for each question and critical appraisal done as per the GRADE approach.\nRESULTS: Twenty-three studies (9-RCTs, 4-prospective studies, 10-retrospective studies) were included. Analysis of studies in cervical spine either by anterior or posterior approach and single/multilevel thoracolumbar spinal surgeries did not show any evidence of reduction in surgical site infection (SSI) or haematoma formation with the use of drain. Deformity correction surgeries and surgeries done for trauma or tumour involving spine also did not find any added benefit from the use of wound drains despite increasing the total blood loss.\nCONCLUSION: Evidence from this review suggests that routine use of drain in various domains of spine surgery does not reduce the risk of SSI and their absence did not increase the risk of haematoma formation. The current best evidence is presented with its limitations. High-quality studies to address their use in spine surgeries in cervical, trauma, and tumour domains are required to further strengthen the evidence synthesised from available literature.","container-title":"European Spine Journal: Official Publication of the European Spine Society, the European Spinal Deformity Society, and the European Section of the Cervical Spine Research Society","DOI":"10.1007/s00586-020-06540-2","ISSN":"1432-0932","issue":"9","journalAbbreviation":"Eur Spine J","language":"eng","page":"2111-2128","PMID":"32700123","source":"PubMed","title":"Risk-benefit analysis of wound drain usage in spine surgery: a systematic review and meta-analysis with evidence summary","title-short":"Risk-benefit analysis of wound drain usage in spine surgery","volume":"29","author":[{"family":"Muthu","given":"Sathish"},{"family":"Ramakrishnan","given":"Eswar"},{"family":"Natarajan","given":"Karthick Kumar"},{"family":"Chellamuthu","given":"Girinivasan"}],"issued":{"date-parts":[["2020",9]]}}},{"id":71845,"uris":["http://zotero.org/users/4194337/items/CWQNRYM5"],"itemData":{"id":71845,"type":"article-journal","abstract":"The current meta-analysis was performed to analyze the efficacy and safety of platelet-rich plasma (PRP) as an epidural injectate, in comparison with steroids in the management of radiculopathy due to lumbar disc disease (LDD). We conducted independent and duplicate searches of the electronic databases (PubMed, Embase and Cochrane Library) in March 2024 to identify randomized controlled trials (RCTs) analyzing the efficacy of epidural PRP for pain relief in the management of LDD. Animal or in vitro studies, clinical studies without a comparator group, and retrospective or non-randomised clinical studies were excluded. Diverse post-intervention pain scores [visual analog score (VAS)] and functional scores [Oswestry Disability Index (ODI), SF-36], as reported in the reviewed studies, were evaluated. Statistical analysis was performed using STATA 17 software. 5 RCTs including 310 patients (PRP/Steroids = 153/157) were included in the analysis. The included studies compared the efficacy and safety of epidural PRP and steroids at various time-points including 1, 3, 6, 12, 24, and 48 weeks. Epidural PRP injection was found to offer comparable pain relief (VAS; WMD = -0.09, 95% CI [-0.66, 0.47], p = 0.641; I2 = 96.72%, p &lt; 0.001), functional improvement (ODI; WMD = 0.72, 95% CI [-6.81, 8.25], p = 0.524; I2 = 98.73%, p &lt; 0.001), and overall health improvement (SF-36; WMD = 1.01, 95% CI [-1.14, 3.17], p = 0.224; I2 = 0.0%, p = 0.36) as epidural steroid injection (ESI) at all the observed time points in the included studies without any increase in adverse events or complications. Epidural administration of PRP offers comparable benefit as epidural steroid injection (ESI) in the management of radiculopathy due to LDD. The safety profile of the epidural PRP is also similar to ESI.","container-title":"Experimental Biology and Medicine","DOI":"10.3389/ebm.2025.10390","ISSN":"1535-3699","journalAbbreviation":"Exp Biol Med (Maywood)","language":"eng","page":"10390","PMID":"39968415","PMCID":"PMC11832311","publisher-place":"Maywood, N.J.","source":"PubMed","title":"Is platelet-rich plasma better than steroids as epidural drug of choice in lumbar disc disease with radiculopathy? Meta-analysis of randomized controlled trials","title-short":"Is platelet-rich plasma better than steroids as epidural drug of choice in lumbar disc disease with radiculopathy?","volume":"250","author":[{"family":"Muthu","given":"Sathish"},{"family":"Viswanathan","given":"Vibhu Krishnan"},{"family":"Gangadaran","given":"Prakash"}],"issued":{"date-parts":[["2025"]]}}},{"id":71823,"uris":["http://zotero.org/users/4194337/items/3JVMZ9W9"],"itemData":{"id":71823,"type":"article-journal","abstract":"BACKGROUND AIMS: The authors aim to analyze the evidence in the literature regarding the efficacy and safety of mesenchymal stem cell (MSC) therapy in human subjects with traumatic spinal cord injury (SCI) and identify its potential role in the management of SCI.\nMETHODS: The authors conducted independent and duplicate searches of electronic databases, including PubMed, Embase and the Cochrane Library, until May 2020 for studies analyzing the efficacy and safety of stem cell therapy for SCI. American Spine Injury Association (ASIA) impairment scale (AIS) grade improvement, ASIA sensorimotor score, activities of daily living score, residual urine volume, bladder function improvement, somatosensory evoked potential (SSEP) improvement and adverse reactions were the outcomes analyzed. Analysis was performed in R platform using OpenMeta[Analyst] software.\nRESULTS: Nineteen studies involving 670 patients were included for analysis. On analysis, the intervention group showed statistically significant improvement in AIS grade (P &lt; 0.001), ASIA sensory score (P &lt; 0.017), light touch (P &lt; 0.001), pinprick (P = 0.046), bladder function (P = 0.012), residual urine volume (P = 0.023) and SSEP (P = 0.002). However, no significant difference was noted in motor score (P = 0.193) or activities of daily living score (P = 0.161). Although the intervention group had a significant increase in complications (P &lt; 0.001), no serious or permanent adverse events were reported. On subgroup analysis, low concentration of MSCs (&lt;5 × 107 cells) and initial AIS grade A presentation showed significantly better outcomes than their counterparts.\nCONCLUSIONS: The authors' analysis establishes the efficacy and safety of MSC transplantation in terms of improvement in AIS grade, ASIA sensory score, bladder function and electrophysiological parameters like SSEP compared with controls, without major adverse events. However, further research is needed to standardize dose, timing, route and source of MSCs used for transplantation.","container-title":"Cytotherapy","DOI":"10.1016/j.jcyt.2020.09.007","ISSN":"1477-2566","issue":"3","journalAbbreviation":"Cytotherapy","language":"eng","page":"186-197","PMID":"33183980","source":"PubMed","title":"Current evidence on mesenchymal stem cell therapy for traumatic spinal cord injury: systematic review and meta-analysis","title-short":"Current evidence on mesenchymal stem cell therapy for traumatic spinal cord injury","volume":"23","author":[{"family":"Muthu","given":"Sathish"},{"family":"Jeyaraman","given":"Madhan"},{"family":"Gulati","given":"Arun"},{"family":"Arora","given":"Arunabh"}],"issued":{"date-parts":[["2021",3]]}}},{"id":71835,"uris":["http://zotero.org/users/4194337/items/RGZEUD7L"],"itemData":{"id":71835,"type":"article-journal","abstract":"STUDY DESIGN: Systematic review.\nOBJECTIVE: Erector spinae plane block (ESPB) is growing in popularity over the recent past as an adjuvant modality in multimodal analgesic management following lumbar spine surgery (LSS). The current updated meta-analysis was performed to analyze the efficacy of ESPB for postoperative analgesia in patients undergoing LSS.\nMETHODS: We conducted independent and duplicate electronic database searches including PubMed, Embase and Cochrane Library till June 2023 for randomized controlled trials (RCTs) analyzing the efficacy of bilateral ESPB for postoperative pain relief in lumbar spine surgeries. Post-operative pain scores, total analgesic consumption, first analgesic requirement time, length of stay and complications were the outcomes evaluated. Statistical analysis was performed using STATA 17 software.\nRESULTS: 32 RCTs including 1464 patients (ESPB/Control = 1077/1069) were included in the analysis. There was a significant pain relief in ESPB group, as compared to placebo across all timelines such as during immediate post-operative period (p &lt; 0.001), 4 h (p &lt; 0.001), 8 h (p &lt; 0.001), 12 h (p &lt; 0.001), 24 h (p = 0.001) post-surgery. Similarly, ESPB group showed a significant reduction in analgesic requirement at 8 h (p &lt; 0.001), 12 h (p = 0.001), and 24 h (p &lt; 0.001). However, no difference was noted in the first analgesic requirement time, time to ambulate or total length of stay in the hospital. ESPB demonstrated significantly improved overall satisfaction score for the analgesic management (p &lt; 0.001), reduced intensive care stay (p &lt; 0.05) with significantly reduced post-operative nausea and vomiting (p &lt; 0.001) compared to controls.\nCONCLUSION: ESPB offers prolonged post-operative pain relief compared to controls, thereby reducing the need for opioid consumption and its related complications.","container-title":"World Neurosurgery: X","DOI":"10.1016/j.wnsx.2024.100360","ISSN":"2590-1397","journalAbbreviation":"World Neurosurg X","language":"eng","page":"100360","PMID":"38511162","PMCID":"PMC10950749","source":"PubMed","title":"Bilateral erector spinae plane block for postoperative pain relief in lumbar spine surgery: A PRISMA-compliant updated systematic review &amp; meta-analysis","title-short":"Bilateral erector spinae plane block for postoperative pain relief in lumbar spine surgery","volume":"23","author":[{"family":"Muthu","given":"Sathish"},{"family":"Viswanathan","given":"Vibhu Krishnan"},{"family":"Annamalai","given":"Saravanan"},{"family":"Thabrez","given":"Mohammed"}],"issued":{"date-parts":[["2024",7]]}}},{"id":71837,"uris":["http://zotero.org/users/4194337/items/FIZ9XS5K"],"itemData":{"id":71837,"type":"article-journal","abstract":"BACKGROUND: Management of lumbar degenerative spondylolisthesis with decompression-only procedure has been performed for its added benefit of a shorter duration of surgery, lower blood loss, and shorter hospital stay. However, reported failure rates for decompression-only procedures vary depending on the methods utilized for decompression. Hence, we aim to identify the failure rates of individual methods of decompression-only procedures performed for degenerative lumbar spondylolisthesis.\nMETHODS: An independent systematic review of 4 scientific databases (PubMed, Scopus, clinicaltrials.gov, Web of Science) was performed to identify relevant articles as per the preferred reporting in systematic reviews and meta-analysis guidelines. Studies reporting on failure rates defined by reoperation at the index level following decompression-only procedure for degenerative lumbar spondylolisthesis were included for analysis. Studies were appraised using ROBINS tool of Cochrane, and analysis was performed using the Open Meta[Analyst] software.\nRESULTS: The overall failure rate of decompression-only procedure was 9.1% (95% confidence interval [CI] [6.5-11.7]). Furthermore, open decompression had failure rate of 10.9% (95% CI [6.0-15.8]), while microendoscopic decompression had failure rate of 6.7% (95% CI [2.9-10.6]). The failure rate gradually increased from 6.9% (95% CI [2.0-11.7]) at 1 year to 7% (95% CI [3.6-10.3]), 11.7% (95% CI [4.5-18.9]), and 11.7% (95% CI [6.6-16.7]) at 2, 3, and 5 years, respectively. Single level decompression had a failure rate of 9.6% (95% CI [6.3-12.9]), while multilevel decompression recorded a failure rate of 8.7% (95% CI [5.6-11.7]).\nCONCLUSION: High-quality evidence on the decompression-only procedure for degenerative spondylolisthesis is limited. The decompression-only procedure had an overall failure rate of 9.1% without significant differences between the decompression techniques.\nLEVEL OF EVIDENCE: Level IV. See Instructions for Authors for a complete description of levels of evidence.","container-title":"JB &amp; JS open access","DOI":"10.2106/JBJS.OA.23.00163","ISSN":"2472-7245","issue":"3","journalAbbreviation":"JB JS Open Access","language":"eng","page":"e23.00163","PMID":"38974406","PMCID":"PMC11221853","source":"PubMed","title":"Rate of Reoperation Following Decompression-Only Procedure for Lumbar Degenerative Spondylolisthesis: A Systematic Review of Literature","title-short":"Rate of Reoperation Following Decompression-Only Procedure for Lumbar Degenerative Spondylolisthesis","volume":"9","author":[{"family":"Muthu","given":"Sathish"},{"family":"Ćorluka","given":"Stipe"},{"family":"Buser","given":"Zorica"},{"family":"Malcolm","given":"James G."},{"family":"Luo","given":"Zhuojing"},{"family":"Gollahalli Shivashankar","given":"Prajwal"},{"family":"Ambrosio","given":"Luca"},{"family":"Griffoni","given":"Cristiana"},{"family":"Demetriades","given":"Andreas K."},{"family":"Ivandić","given":"Stjepan"},{"family":"Wu","given":"Yabin"},{"family":"Wang","given":"Jeffrey"},{"family":"Meisel","given":"Hans-Jorg"},{"family":"Yoon","given":"Tim Sangwook"}],"issued":{"date-parts":[["2024"]]}}},{"id":71839,"uris":["http://zotero.org/users/4194337/items/FPPJYQCB"],"itemData":{"id":71839,"type":"article-journal","abstract":"BACKGROUND CONTEXT: Lumbar disc herniation (LDH) is a leading cause of low back pain (LBP) and leg pain and may require surgical treatment in case of persistent pain and/or neurological deficits. Conventional discectomy involves removing the herniated fragment and additional material from the disc space, potentially accelerating disc degeneration and contributing to chronic LBP. Conversely, by resecting the herniated fragment only, sequestrectomy may reduce postoperative LBP while increasing the risk of LDH recurrence.\nPURPOSE: To compare discectomy versus sequestrectomy in terms of risk of reherniation, reoperation rate, complications, pain, satisfaction, and perioperative outcomes (operative time, blood loss, length of stay [LOS]).\nSTUDY DESIGN: Systematic review and meta-analysis.\nMETHODS: A systematic search of PubMed/MEDLINE and Scopus databases was performed through May 1, 2024 for both randomized and nonrandomized studies. The search was conducted according to PRISMA guidelines. The RoB-2 and MINORS tools were utilized to assess the risk of bias in included studies. The quality of the evidence was evaluated according to the GRADE approach. Relevant outcomes were pooled for meta-analysis.\nRESULTS: A total of 16 articles (1 randomized controlled trial with 2 follow-up studies, 6 prospective studies, and 7 retrospective studies) published between 1991 and 2020 involving 2009 patients were included for analysis. No significant differences were noted between discectomy versus sequestrectomy in terms of risk of reherniation (OR: 0.85, 95% CI: 0.57 to 1.26, p=.42), reoperation rate (OR: 0.95, 95% CI: 0.64 to 1.40, p=.78), and complications (OR: 1.03, 95% CI: 0.50 to 2.11, p=.94). Although LBP (MD: -0.06, 95% CI: -0.39 to 0.28, p=.74) and leg pain intensity (MD: 0.11, 95% CI: -0.21 to 0.42, p=.50) were similar postoperatively, significantly better outcomes were reported by patients treated with sequestrectomy at 1 year (leg pain: MD: 0.37, 95% CI: 0.19 to 0.54, p&lt;.0001) and 2 years (LBP: MD: 0.19, 95% CI: 0.03 to 0.34, p=.02; leg pain: MD: 0.20, 95% CI: 0.09 to 0.31, p=.0005). Sequestrectomy also resulted in a higher patient satisfaction (OR: 0.60, 95% CI: 0.40 to 0.90, p=.01) and shorter operative time (MD: 8.71, 95% CI: 1.66 to 15.75, p=.02), while blood loss (MD: 0.18, 95% CI: -2.31 to 2.67, p=.89) and LOS (MD: 0.02 days, 95% CI: -0.07 to 0.12, p=.60) did not significantly differ compared to discectomy.\nCONCLUSIONS: Based on the current evidence, discectomy and sequestrectomy do not significantly differ in terms of risk of reherniation, reoperation rate, and postoperative complications. Patients treated with sequestrectomy may benefit from a marginally higher pain improvement, better satisfaction outcomes, and a shorter operative time, although the clinical relevance of these differences needs to be validated in larger, prospective, randomized studies.","container-title":"The Spine Journal: Official Journal of the North American Spine Society","DOI":"10.1016/j.spinee.2024.09.007","ISSN":"1878-1632","issue":"2","journalAbbreviation":"Spine J","language":"eng","page":"211-226","PMID":"39341573","source":"PubMed","title":"Discectomy versus sequestrectomy in the treatment of lumbar disc herniation: a systematic review and meta-analysis","title-short":"Discectomy versus sequestrectomy in the treatment of lumbar disc herniation","volume":"25","author":[{"family":"Ambrosio","given":"Luca"},{"family":"Vadalà","given":"Gianluca"},{"family":"Rinaldis","given":"Elisabetta","non-dropping-particle":"de"},{"family":"Muthu","given":"Sathish"},{"family":"Ćorluka","given":"Stipe"},{"family":"Buser","given":"Zorica"},{"family":"Meisel","given":"Hans-Jörg"},{"family":"Yoon","given":"S. Tim"},{"family":"Denaro","given":"Vincenzo"},{"literal":"AO Spine Knowledge Forum Degenerative"}],"issued":{"date-parts":[["2025",2]]}}},{"id":71849,"uris":["http://zotero.org/users/4194337/items/4GJW9Z4S"],"itemData":{"id":71849,"type":"article-journal","abstract":"Despite the favorable postoperative prognosis of C5 palsy (C5P), a certain proportion of these patients have less satisfactory outcomes. The current systematic review and meta-analysis thus aimed to comprehensively evaluate existing literature and identify the onset, recovery patterns, and outcomes of C5P following diverse surgical approaches. Five different databases (Google Scholar, Embase, PubMed, Web of Science, and Cochrane Library) were thoroughly searched for relevant literature on October 15, 2024. Studies reporting on incidences of C5P following surgery for degenerative cervical conditions with recovery data published until 2024 were scrutinized. Narrative or systematic reviews, opinions, letters to the editor, and manuscripts published in non-English languages were excluded. A total of 30 articles involving 8,116 patients who underwent undergoing surgery for degenerative cervical myelopathy with 748 reported C5P cases were included for analysis. The overall time to palsy reported in the included studies was 3 days (95% confidence interval [CI], 2.56-3.60). Palsy occurred earliest with anterior cervical decompression and fusion (ACDF) at 2 days (95% CI, 0.35-4.54), followed by laminoplasty (LP) at 3.2 days (95% CI, 2.02-4.34) and posterior cervical decompression and fusion (PCDF) at 3.6 days (95% CI, 2.81-4.37). Patients with palsy showed improved recovery with time. At the 1-year follow-up, the reported recovery rates were 100%, 52.9%, and 50% for ACDF, LP, and PCDF, respectively. C5P demonstrated a delayed presentation, with mean onset of 3 days after surgery, which can range from 2 days for ACDF to 3.6 days for PDCF. Recovery improved progressively with time and varied for different surgical procedures, with ACDF showing the best recovery and PDCF for cervical myelopathy showing the poorest recovery.","container-title":"Asian Spine Journal","DOI":"10.31616/asj.2025.0012","ISSN":"1976-1902","issue":"6","journalAbbreviation":"Asian Spine J","language":"eng","page":"1059-1071","PMID":"40797377","PMCID":"PMC12765916","source":"PubMed","title":"Recovery patterns from C5 palsy after anterior cervical decompression and fusion, posterior cervical decompression and fusion, and laminoplasty for degenerative cervical myelopathy: systematic review and meta-analysis of 748 C5 palsy cases","title-short":"Recovery patterns from C5 palsy after anterior cervical decompression and fusion, posterior cervical decompression and fusion, and laminoplasty for degenerative cervical myelopathy","volume":"19","author":[{"family":"Viswanathan","given":"Vibhu Krishnan"},{"family":"Kalanchiam","given":"Guna Pratheep"},{"family":"Chinnappan","given":"Akilan"},{"family":"Muthu","given":"Sathish"}],"issued":{"date-parts":[["2025",12]]}}},{"id":71841,"uris":["http://zotero.org/users/4194337/items/B43RKMJU"],"itemData":{"id":71841,"type":"article-journal","abstract":"STUDY DESIGN: Cross-sectional study with systematic review of literature.\nOBJECTIVE: There is an increasing interest in the topical use of antibiotics to prevent infection following spine surgery. To extend the antibiotic coverage to the gram-negative spectrum, the usage of tobramycin powder is being considered. We surveyed to analyze the current practice preference on the use of topical tobramycin in lumbar spine surgery and also aimed to analyze the literature for current evidence on the same.\nMETHODS: A multinational cross-sectional survey was conducted among AO Spine members worldwide to understand the use of topical tobramycin in 1 or 2-level open lumbar fusion surgeries. Also, an independent systematic review of four scientific databases (PubMed, Scopus, clinicaltrials.gov, Web of Science) was performed by two authors to identify relevant articles in adherence to the preferred reporting in systematic reviews and meta-analysis (PRISMA) guidelines. Studies reporting the usage of tobramycin in lumbar spine surgeries were included for analysis.\nRESULTS: Among the 231 participating surgeons, only 1.7 %(n = 4) reported utilizing tobramycin in 1 or 2-level open lumbar fusion surgery. Upon systematic review of the literature, two studies with 484 patients were included for analysis. With the usage of tobramycin as a topical antibiotic powder, both studies noted a reduction in the incidence of infection with change in the spectrum of infective organisms.\nCONCLUSION: Topical Tobramycin is not the commonly preferred topical antibiotic to prevent SSI among spine surgeons worldwide. There is a lack of sufficient evidence to support the routine use of topical tobramycin in lumbar spine surgery.","container-title":"World Neurosurgery: X","DOI":"10.1016/j.wnsx.2024.100397","ISSN":"2590-1397","journalAbbreviation":"World Neurosurg X","language":"eng","page":"100397","PMID":"39391070","PMCID":"PMC11466638","source":"PubMed","title":"Practice preference and evidence analysis on topical use of tobramycin powder in lumbar spine surgery: A Multi-National AO spine survey with systematic review of the literature","title-short":"Practice preference and evidence analysis on topical use of tobramycin powder in lumbar spine surgery","volume":"24","author":[{"family":"Sotiris","given":"Veranis"},{"family":"Muthu","given":"Sathish"},{"family":"Gary","given":"Matt"},{"family":"Cho","given":"Sam"},{"family":"Kato","given":"So"},{"family":"Lewis","given":"Stephen J."},{"family":"Kim","given":"Ho-Joong"},{"family":"Wang","given":"Jeffrey"},{"family":"Jain","given":"Amit"},{"family":"Yoon","given":"S. Tim"},{"literal":"AO Spine Knowledge Forum Degenerative"}],"issued":{"date-parts":[["2024",10]]}}},{"id":71843,"uris":["http://zotero.org/users/4194337/items/2BWXXTNX"],"itemData":{"id":71843,"type":"article-journal","abstract":"Study DesignSystematic review.ObjectiveWhile the occurrence of sexual dysfunction in patients sustaining traumatic cervical or thoracic injuries is well acknowledged, the evidence regarding its prevalence and outcome in individuals with degenerative cervical myelopathy (DCM) is still limited. The current systematic review was planned to comprehensively evaluate the existing literature regarding the prevalence, patterns, presentation, and outcome of sexual dysfunction in patients presenting with DCM.MethodsA thorough search of the literature was performed on October 15, 2024, using 5 different databases (Google Scholar, Embase, PubMed, Web of Science and Cochrane Library). Studies on sexual dysfunction in DCM published until 2024 were scrutinized. Narrative or systematic reviews, opinions, letters to the editor, and manuscripts published in non-English languages were excluded.ResultsOverall, the literature search yielded a total of 384 articles of which 7 articles with 910 patients were included in the analysis. The overall prevalence of erectile dysfunction (ED) in CSM ranges between 3 and 6%. 82% of patients with preoperative ED had an abnormal psychogenic erection while the remaining had an abnormal reflexogenic erectile function. The erectile function was reported to improve substantially following decompressive surgery (68% recovery rate; P = 0.05). The presence of preoperative sexual dysfunction has been associated with poorer neurological outcomes (50% recovery rate; including poorer gait recovery). The data regarding ejaculatory disturbances and female sexual dysfunction in DCM patients are still limited.ConclusionED occurs in 3 to 6% of patients with DCM, with a majority of patients suffering from ED from psychogenic origin. Surgical decompression can significantly improve the sexual recovery in these patients. Patients with ED have overall poorer neurological recovery.","container-title":"Global Spine Journal","DOI":"10.1177/21925682251316484","ISSN":"2192-5682","issue":"5","journalAbbreviation":"Global Spine J","language":"eng","page":"2779-2788","PMID":"39837807","PMCID":"PMC11752150","source":"PubMed","title":"Sexual Dysfunction in Cervical Spondylomyelopathy and Its Prognosis Following Surgical Decompression: A Systematic Review","title-short":"Sexual Dysfunction in Cervical Spondylomyelopathy and Its Prognosis Following Surgical Decompression","volume":"15","author":[{"family":"Viswanathan","given":"Vibhu Krishnan"},{"family":"Muthu","given":"Sathish"}],"issued":{"date-parts":[["2025",6]]}}},{"id":71847,"uris":["http://zotero.org/users/4194337/items/URNJFZSM"],"itemData":{"id":71847,"type":"article-journal","abstract":"Study DesignSystematic review.ObjectiveThe current literature suggests that decompression-only procedures may be an adequate treatment option for low-grade degenerative spondylolisthesis. It is necessary to understand the causes of the failure to adequately select patients to achieve acceptable results. Our aim is to identify factors associated with failure of decompression-only procedures for degenerative lumbar spondylolisthesis.MethodsAn independent systematic review of scientific databases (PubMed, Scopus, clinicaltrials. gov, Web of Science) was performed to identify relevant articles as per the preferred reporting in systematic reviews and meta-analysis (PRISMA) guidelines. Studies analysing the risk factors for failure following decompression-only procedure for degenerative lumbar spondylolisthesis were included. The pooled analysis was performed using the Stata software.ResultsSix studies were included with the baseline characteristics of the successful group and the failed group. Individual study analysis has found factors like motion at index level, and multi-level decompression to be responsible for failure. However, upon pooled analysis patient-related factors (age, sex, BMI), disease-related factors (Pfirrmann grade, slip distance, disc height, facet angulation, translation, movement at index level, sacral slope), and outcome parameters (VAS, ODI and JOA score) between the two groups did not demonstrate any significant difference.ConclusionHigh-quality evidence analysing the risk factors for failure of decompression-only procedure for degenerative spondylolisthesis is limited. Although factors such as motion at index level, and multi-level decompression were found to be potential risk factors in individual studies, pooled analysis did not find any of them to significantly predict failure of decompression-only procedures for degenerative spondylolisthesis.","container-title":"Global Spine Journal","DOI":"10.1177/21925682251342230","ISSN":"2192-5682","issue":"8","journalAbbreviation":"Global Spine J","language":"eng","page":"3919-3932","PMID":"40369865","PMCID":"PMC12081395","source":"PubMed","title":"Decompression-Only for Lumbar Degenerative Spondylolisthesis - What are the Risk for Failure? - A Systematic Review","title-short":"Decompression-Only for Lumbar Degenerative Spondylolisthesis - What are the Risk for Failure?","volume":"15","author":[{"family":"Corluka","given":"Stipe"},{"family":"Muthu","given":"Sathish"},{"family":"Yoon","given":"Tim"},{"family":"Cunha","given":"Carla"},{"family":"Gary","given":"Matthew"},{"family":"Vadala","given":"Gianluca"},{"family":"Barbanto Brodano","given":"Giovanni"},{"family":"Monetta","given":"Annalisa"},{"family":"K Demetriades","given":"Andreas"},{"family":"Ivandić","given":"Stjepan"},{"family":"Wu","given":"Yabin"},{"family":"Wang","given":"Jeffrey"},{"family":"Meisel","given":"Hans-Jorg"},{"family":"Buser","given":"Zorica"}],"issued":{"date-parts":[["2025",11]]}}},{"id":71851,"uris":["http://zotero.org/users/4194337/items/B7H6QXGF"],"itemData":{"id":71851,"type":"article-journal","abstract":"BACKGROUND: Lumbar spinal fusion (LSF) is a common surgical procedure for treating lumbar degenerative conditions. The use of osteobiologics to enhance fusion has emerged as a promising alternative to address the limitations of autologous iliac crest bone graft (AICBG), but their comparative efficacy and safety remain unclear. This systematic review and network meta-analysis (NMA) aimed to assess the fusion rates, safety profiles, and clinical outcomes of the use of osteobiologics in LSF.\nMETHODS: PubMed/MEDLINE and Scopus databases were searched for randomized controlled trials (RCTs) comparing different osteobiologics to AICBG in LSF. Data on fusion rates, complications, pain, disability, blood loss, operative time, and length of stay (LOS) were extracted. The risk of bias was evaluated using the Cochrane Risk of Bias-2 tool, and the certainty of evidence was assessed using the GRADE framework. The NMA was performed using a frequentist random-effects model to compare the efficacy and safety of various osteobiologics, along with associated perioperative and clinical outcomes.\nRESULTS: Forty-three RCTs including a total of 3,823 patients were identified. The use of rhBMP-2 (recombinant human bone morphogenetic protein-2) significantly improved fusion rates (odds ratio [OR]: 3.71; 95% confidence interval [CI]: 2.59 to 5.32; p &lt; 0.0001) and reduced complications (OR: 0.30; 95% CI: 0.13 to 0.68; p &lt; 0.0001) compared with AICBG, with moderate certainty of the evidence. Other osteobiologics, including ABM/P-15 (anorganic bone matrix/15-amino acid peptide fragment) and allograft, demonstrated reduced complication rates, although the quality of the evidence was low to very low. No significant differences were observed for pain, disability, or LOS. The use of rhBMP-2, autologous local bone, and silicate-substituted calcium phosphate was associated with decreased operative time, with rhBMP-2 additionally associated with lower intraoperative blood loss.\nCONCLUSIONS: Use of rhBMP-2 was associated with significantly higher fusion and lower complication rates compared with AICBG, as well as decreased operative time and blood loss. Other osteobiologics may also offer benefits, but the supporting evidence is low-quality and limited by the notable underrepresentation of these materials in the published literature.\nLEVEL OF EVIDENCE: Therapeutic Level I . See Instructions for Authors for a complete description of levels of evidence.","container-title":"The Journal of Bone and Joint Surgery. American Volume","DOI":"10.2106/JBJS.24.01205","ISSN":"1535-1386","issue":"18","journalAbbreviation":"J Bone Joint Surg Am","language":"eng","page":"2110-2121","PMID":"40729448","PMCID":"PMC12430733","source":"PubMed","title":"Efficacy and Safety of Osteobiologics for Lumbar Spinal Fusion: A Systematic Review and Network Meta-Analysis","title-short":"Efficacy and Safety of Osteobiologics for Lumbar Spinal Fusion","volume":"107","author":[{"family":"Ambrosio","given":"Luca"},{"family":"Schol","given":"Jordy"},{"family":"Tamagawa","given":"Shota"},{"family":"Muthu","given":"Sathish"},{"family":"Sakai","given":"Daisuke"},{"family":"Papalia","given":"Rocco"},{"family":"Vadalà","given":"Gianluca"},{"family":"Denaro","given":"Vincenzo"}],"issued":{"date-parts":[["2025",9,17]]}}},{"id":71853,"uris":["http://zotero.org/users/4194337/items/S4D99W9W"],"itemData":{"id":71853,"type":"article-journal","abstract":"C5 palsy (C5P) is a common, yet poorly understood complication of cervical decompressive surgery, causing substantial disability and impacting postoperative quality of life. Despite extensive research, the actual incidence and distribution of C5P across different cervical surgical approaches over the past decade remain unclear. A comprehensive literature search was conducted on October 15, 2024, across Google Scholar, Embase, PubMed, Web of Science, and Cochrane Library databases. Studies reporting C5P incidence following surgery for degenerative cervical conditions, published until 2024, were included, excluding reviews, opinions, letters, and non-English manuscripts. Ninety-seven articles were included, encompassing 21,231 patients undergoing decompressive cervical surgery for degenerative cervical myelopathy. The overall incidence of postoperative C5P was 7% (95% confidence interval [CI], 4%-10%). The highest incidence was observed with circumferential fusion (combined anterior-posterior approach) at 16% (95% CI, 8%-24%), while the lowest was with anterior cervical decompression and fusion at 4% (95% CI, 3%-5%). Incidence rates following laminoplasty and laminectomy and fusion were 6% (95% CI, 5%-7%) and 10% (95% CI, 8%-12%), respectively. Recovery time ranged from 20.9 to 35 weeks, with 19.1%-33% of patients experiencing residual weakness. Significant risk factors included male sex, preoperative intervertebral foraminal stenosis, ossified posterior longitudinal ligament, open-door laminoplasty, laminectomy (with/without fusion), and excessive spinal cord shift. The role of C4-5 foraminotomy remains contested. Our meta-analysis identifies the posterior surgical approach as a significant risk factor for C5P. Circumferential fusion poses the highest risk, while laminoplasty can reduce the risk compared to laminectomy (alone or with instrumented fusion).","container-title":"Asian Spine Journal","DOI":"10.31616/asj.2025.0220","ISSN":"1976-1902","issue":"1","journalAbbreviation":"Asian Spine J","language":"eng","page":"158-175","PMID":"41017260","PMCID":"PMC12960464","source":"PubMed","title":"Incidence of C5 palsy in anterior cervical decompression &amp; fusion, posterior cervical decompression &amp; fusion and laminoplasty for degenerative cervical myelopathy: systematic review and meta-analysis of 21,231 cases","title-short":"Incidence of C5 palsy in anterior cervical decompression &amp; fusion, posterior cervical decompression &amp; fusion and laminoplasty for degenerative cervical myelopathy","volume":"20","author":[{"family":"Muthu","given":"Sathish"},{"family":"Kalanchiam","given":"Guna Pratheep"},{"family":"Munisamy","given":"Sathish"},{"family":"Viswanathan","given":"Vibhu Krishnan"}],"issued":{"date-parts":[["2026",2]]}}},{"id":71855,"uris":["http://zotero.org/users/4194337/items/4QSFKIXM"],"itemData":{"id":71855,"type":"article-journal","abstract":"Study TypeSystematic Scoping Review.IntroductionRadiographic assessment is crucial for diagnosing symptomatic pseudarthrosis and evaluating spinal fusion outcomes, yet no consensus exists on defining successful lumbar fusion. This scoping review presents criteria for imaging-based assessment after posterolateral and interbody lumbar fusion, aiming to guide consistent evaluation methods.MethodsFollowing PRISMA guidelines, a comprehensive search of Medline, Embase, and Scopus identified eligible randomized controlled trials and Federal Drug Administration clinical trials involving lumbar fusion. Studies on revision surgeries, non-lumbar fusions, adult spinal deformity, traumatic fractures, tumors, infections, or lacking defined fusion assessment methods were excluded. Data extraction focused on classification and descriptive systems of fusion evaluation, analyzing parameters such as bony bridging, angular motion, translation, hardware failure, cage migration, radiolucency, and cleft within the fusion mass.ResultsA total of 142 articles (1995-2024) were reviewed. Computerized tomography was the most common imaging modality (102, 71.8%), followed by static (96, 67.6%) and dynamic radiographs (88, 62%). Descriptive criteria were used in 108 studies (76.1%) and classification systems in 47 (33.1%). Interbody fusion was assessed in 90 articles (63.4%) and posterolateral fusion in 68 (47.9%). Bony bridging continuity was the most reported descriptive criterion (105, 73.9%), followed by angular motion (72, 50.7%) and translation (43, 30.3%). Radiolucency was reported around the cage (31, 21.8%), pedicle screws (17, 11.9%), and within the fusion mass (36, 25.4%) to describe nonunion. Common classification systems included Bridwell (10 studies), Brantigan (9), and Lenke (9).ConclusionsThis scoping review highlights the variability in lumbar fusion assessment across RCTs and FDA trials. Over time, assessment methods have evolved from static radiographs to greater use of dynamic imaging and classification systems in the mid-2000s, with CT emerging as the dominant modality in the past decade. Despite these advancements, fusion assessment criteria remain inconsistent across studies.","container-title":"Global Spine Journal","DOI":"10.1177/21925682251384662","ISSN":"2192-5682","journalAbbreviation":"Global Spine J","language":"eng","page":"21925682251384662","PMID":"41026517","PMCID":"PMC12484063","source":"PubMed","title":"Radiographic Assessment of Successful Lumbar Spinal Fusion: A Systematic Review of Fusion Criteria in Randomized Trials","title-short":"Radiographic Assessment of Successful Lumbar Spinal Fusion","author":[{"family":"Yu","given":"Alexander"},{"family":"Tiao","given":"Justin"},{"family":"Cai","given":"Charlene W."},{"family":"Huang","given":"Jonathan J."},{"family":"Mohamed","given":"Kareem"},{"family":"Hoang","given":"Ryan"},{"family":"Hong","given":"James"},{"family":"Berman","given":"Daniel"},{"family":"Lee","given":"Joshua"},{"family":"Ambrosio","given":"Luca"},{"family":"Buser","given":"Zorica"},{"family":"Cabrera","given":"Juan P."},{"family":"Chen","given":"Xiaolong"},{"family":"Cini","given":"Chiara"},{"family":"Ćorluka","given":"Stipe"},{"family":"Demetriades","given":"Andreas K."},{"family":"Diwan","given":"Ashish"},{"family":"Jain","given":"Amit"},{"family":"Kim","given":"Jin-Sung"},{"family":"Li","given":"Xudong"},{"family":"Muthu","given":"Sathish"},{"family":"Tavakoli","given":"Javad"},{"family":"Vadalà","given":"Gianluca"},{"family":"Hsieh","given":"Patrick C."},{"family":"Cho","given":"Samuel K."},{"family":"Knowledge Forum Degenerative","given":"Ao Spine"}],"issued":{"date-parts":[["2025",9,30]]}}},{"id":71857,"uris":["http://zotero.org/users/4194337/items/545BLLXX"],"itemData":{"id":71857,"type":"article-journal","abstract":"Study DesignUmbrella systematic review.ObjectiveTo qualitatively synthesise systematic reviews evaluating the prevalence, correlates, and outcomes of mental illnesses in individuals with traumatic spinal cord injury (tSCI).MethodsSystematic reviews reporting on depression, anxiety, post-traumatic stress disorder (PTSD), substance use disorders (SUD), cognitive impairment, and related psychological outcomes in tSCI populations were identified and synthesized as per PRISMA guidelines. Data on prevalence, risk factors, assessment tools, and interventions were extracted. Methodological quality was appraised using AMSTAR 2, and primary study overlap was assessed.ResultsTwenty systematic reviews published between 2005 and 2025 were included. Depression was the most frequently studied condition (n = 16), followed by anxiety (n = 10), PTSD (n = 6), and SUD (n = 4), with several reviews addressing multiple conditions. Primary study sample sizes ranged from 3152 to over 50 000 participants, with wide variation in injury characteristics, study design, and outcome measures. Pooled prevalence estimates indicated a substantial burden: depression affected up to 43% of community-dwelling individuals, anxiety symptoms around 27%, PTSD up to 62%, and hazardous alcohol use ≥50% in some cohorts. Common risk factors included pain, injury severity, incomplete injury, low social support, maladaptive coping, and co-occurring psychological symptoms. Evidence for effective interventions was limited, and few studies used standardised, validated tools across settings.ConclusionsMental health conditions are highly prevalent in the tSCI population, yet intervention research remains limited. Standardised assessment, longitudinal designs, and targeted, evidence-based interventions are urgently needed to address this critical but under-recognised aspect of tSCI care.","container-title":"Global Spine Journal","DOI":"10.1177/21925682251407983","ISSN":"2192-5682","journalAbbreviation":"Global Spine J","language":"eng","page":"21925682251407983","PMID":"41359011","PMCID":"PMC12685726","source":"PubMed","title":"Mental Health Problems in Traumatic Spinal Cord Injury Patients - An Umbrella Systematic Review","author":[{"family":"Muthu","given":"Sathish"},{"family":"Viswanathan","given":"Vibhu Krishnan"},{"family":"Palani","given":"Balasubramaniyan"},{"family":"Theiss","given":"Steven"},{"family":"Rajappan Chandra","given":"Sathish Kumar"},{"family":"Sharun","given":"Khan"},{"family":"Rajaram Manoharan","given":"Sakthivel Rajan"}],"issued":{"date-parts":[["2025",12,8]]}}},{"id":71859,"uris":["http://zotero.org/users/4194337/items/J5WKSZE9"],"itemData":{"id":71859,"type":"article-journal","abstract":"Study DesignSystematic review.ObjectiveSurgery remains the gold standard in management of unstable spinal fractures in patients with spinal ankylosing disorders (SAD), especially in the presence neurodeficit. Certain studies have reported the effectiveness of non-surgical treatment in non-displaced and clinically stable fractures.MethodsOur systematic review was conducted in accordance with Preferred Reporting Items for Systematic Reviews and Meta-Analyses (PRISMA) guidelines. A comprehensive literature search was conducted (15th July, 2025) across 4 different databases to identify studies reporting outcomes of conservative treatment of spinal fractures in the context of ankylosed spine. The patients were subclassified as groups A (surgically-unfit) and B (stable fractures) for further analysis.Results13 studies (187 patients) were reviewed. The underlying etiology was DISH (diffuse idiopathic spinal hyperostosis) in 86.4%. Overall, cervical, thoracic/thoracolumbar (TL) and lumbar fractures were observed in 14.1%, 72.7% and 13.2%, respectively. There were 66% in group B; and a majority were neurologically intact (ASIA E: 97.3%). Different conservative strategies are described (combination of bed rest, orthosis and regular surveillance). Overall fracture healing was 69.5% (group A-47.1% and group B-91%). The morbidity and mortality in these fractures are high (particularly, group A). Halo-immobilization was associated with high complications (especially in debilitated individuals).ConclusionIn a selected group of patients with stable fracture patterns, conservative treatment is a viable management option in SAD patients with good healing rates. Based on our analysis of reviewed data, we have put forth criteria for decision-making and protocol for conservative management of these fractures.","container-title":"Global Spine Journal","DOI":"10.1177/21925682261416430","ISSN":"2192-5682","journalAbbreviation":"Global Spine J","language":"eng","page":"21925682261416430","PMID":"41607353","PMCID":"PMC12855000","source":"PubMed","title":"Intact Posterior Tension Band in Spinal Fractures in Patients With Spinal Ankylosing Disorders - Is it a Myth or a Reality? A Systematic Review","title-short":"Intact Posterior Tension Band in Spinal Fractures in Patients With Spinal Ankylosing Disorders - Is it a Myth or a Reality?","author":[{"family":"Viswanathan","given":"Vibhu Krishnan"},{"family":"Tanbour","given":"Hesham"},{"family":"Muthu","given":"Sathish"},{"family":"Sheppard","given":"Ethan"},{"family":"Hiatt","given":"Luke"},{"family":"Theiss","given":"Steven"},{"family":"Rajaram Manoharan","given":"Sakthivel Rajan"}],"issued":{"date-parts":[["2026",1,29]]}}}],"schema":"https://github.com/citation-style-language/schema/raw/master/csl-citation.json"} </w:instrText>
      </w:r>
      <w:r w:rsidR="003B0DAD">
        <w:rPr>
          <w:rFonts w:ascii="Book Antiqua" w:eastAsia="Book Antiqua" w:hAnsi="Book Antiqua" w:cs="Book Antiqua"/>
          <w:bCs/>
          <w:iCs/>
          <w:sz w:val="24"/>
          <w:szCs w:val="24"/>
        </w:rPr>
        <w:fldChar w:fldCharType="separate"/>
      </w:r>
      <w:r w:rsidR="003B0DAD" w:rsidRPr="003B0DAD">
        <w:rPr>
          <w:rFonts w:ascii="Book Antiqua" w:hAnsi="Book Antiqua" w:cs="Times New Roman"/>
          <w:sz w:val="24"/>
          <w:szCs w:val="24"/>
          <w:vertAlign w:val="superscript"/>
        </w:rPr>
        <w:t>18–43</w:t>
      </w:r>
      <w:r w:rsidR="003B0DAD">
        <w:rPr>
          <w:rFonts w:ascii="Book Antiqua" w:eastAsia="Book Antiqua" w:hAnsi="Book Antiqua" w:cs="Book Antiqua"/>
          <w:bCs/>
          <w:iCs/>
          <w:sz w:val="24"/>
          <w:szCs w:val="24"/>
        </w:rPr>
        <w:fldChar w:fldCharType="end"/>
      </w:r>
      <w:r w:rsidRPr="005A73DD">
        <w:rPr>
          <w:rFonts w:ascii="Book Antiqua" w:eastAsia="Book Antiqua" w:hAnsi="Book Antiqua" w:cs="Book Antiqua"/>
          <w:bCs/>
          <w:iCs/>
          <w:sz w:val="24"/>
          <w:szCs w:val="24"/>
        </w:rPr>
        <w:t xml:space="preserve"> These reviews spanned diverse topics in spine surgery and provided a rich training ground for defining operational logic, extraction schemas, and error</w:t>
      </w:r>
      <w:r w:rsidRPr="005A73DD">
        <w:rPr>
          <w:rFonts w:ascii="Times New Roman" w:eastAsia="Book Antiqua" w:hAnsi="Times New Roman" w:cs="Times New Roman"/>
          <w:bCs/>
          <w:iCs/>
          <w:sz w:val="24"/>
          <w:szCs w:val="24"/>
        </w:rPr>
        <w:t>‑</w:t>
      </w:r>
      <w:r w:rsidRPr="005A73DD">
        <w:rPr>
          <w:rFonts w:ascii="Book Antiqua" w:eastAsia="Book Antiqua" w:hAnsi="Book Antiqua" w:cs="Book Antiqua"/>
          <w:bCs/>
          <w:iCs/>
          <w:sz w:val="24"/>
          <w:szCs w:val="24"/>
        </w:rPr>
        <w:t xml:space="preserve">handling protocols. During this phase, the AI agents were iteratively tuned to replicate the workflows of experienced reviewers. Deduplication rules were derived from bibliographic inconsistencies encountered in these reviews, while screening logic was informed by inclusion/exclusion criteria previously applied. Extraction schemas were </w:t>
      </w:r>
      <w:r>
        <w:rPr>
          <w:rFonts w:ascii="Book Antiqua" w:eastAsia="Book Antiqua" w:hAnsi="Book Antiqua" w:cs="Book Antiqua"/>
          <w:bCs/>
          <w:iCs/>
          <w:sz w:val="24"/>
          <w:szCs w:val="24"/>
        </w:rPr>
        <w:t>standardised</w:t>
      </w:r>
      <w:r w:rsidRPr="005A73DD">
        <w:rPr>
          <w:rFonts w:ascii="Book Antiqua" w:eastAsia="Book Antiqua" w:hAnsi="Book Antiqua" w:cs="Book Antiqua"/>
          <w:bCs/>
          <w:iCs/>
          <w:sz w:val="24"/>
          <w:szCs w:val="24"/>
        </w:rPr>
        <w:t xml:space="preserve"> to capture binary outcomes (e.g., event counts such as infection present/absent), continuous measures (mean ± standard deviation), and categorical variables (e.g., study design, sample size). Importantly, this development phase was distinct from the validation phase, ensuring that subsequent performance testing was conducted independently.</w:t>
      </w:r>
    </w:p>
    <w:p w14:paraId="2163018D" w14:textId="33DC548A" w:rsidR="005A73DD" w:rsidRDefault="005A73DD">
      <w:pPr>
        <w:rPr>
          <w:rFonts w:ascii="Book Antiqua" w:eastAsia="Book Antiqua" w:hAnsi="Book Antiqua" w:cs="Book Antiqua"/>
          <w:b/>
          <w:bCs/>
          <w:i/>
          <w:iCs/>
          <w:sz w:val="24"/>
          <w:szCs w:val="24"/>
        </w:rPr>
      </w:pPr>
      <w:r w:rsidRPr="005A73DD">
        <w:rPr>
          <w:rFonts w:ascii="Book Antiqua" w:eastAsia="Book Antiqua" w:hAnsi="Book Antiqua" w:cs="Book Antiqua"/>
          <w:b/>
          <w:bCs/>
          <w:i/>
          <w:iCs/>
          <w:sz w:val="24"/>
          <w:szCs w:val="24"/>
        </w:rPr>
        <w:t>Validation Phase</w:t>
      </w:r>
    </w:p>
    <w:p w14:paraId="26A40CB9" w14:textId="6D2D2118" w:rsidR="005A73DD" w:rsidRPr="005A73DD" w:rsidRDefault="005A73DD" w:rsidP="005A73DD">
      <w:pPr>
        <w:rPr>
          <w:rFonts w:ascii="Book Antiqua" w:eastAsia="Book Antiqua" w:hAnsi="Book Antiqua" w:cs="Book Antiqua"/>
          <w:bCs/>
          <w:iCs/>
          <w:sz w:val="24"/>
          <w:szCs w:val="24"/>
        </w:rPr>
      </w:pPr>
      <w:r w:rsidRPr="005A73DD">
        <w:rPr>
          <w:rFonts w:ascii="Book Antiqua" w:eastAsia="Book Antiqua" w:hAnsi="Book Antiqua" w:cs="Book Antiqua"/>
          <w:bCs/>
          <w:iCs/>
          <w:sz w:val="24"/>
          <w:szCs w:val="24"/>
        </w:rPr>
        <w:t>Validation was performed using three de novo systematic reviews in spine surgery:</w:t>
      </w:r>
      <w:r>
        <w:rPr>
          <w:rFonts w:ascii="Book Antiqua" w:eastAsia="Book Antiqua" w:hAnsi="Book Antiqua" w:cs="Book Antiqua"/>
          <w:bCs/>
          <w:iCs/>
          <w:sz w:val="24"/>
          <w:szCs w:val="24"/>
        </w:rPr>
        <w:t xml:space="preserve"> 1. </w:t>
      </w:r>
      <w:r w:rsidRPr="005A73DD">
        <w:rPr>
          <w:rFonts w:ascii="Book Antiqua" w:eastAsia="Book Antiqua" w:hAnsi="Book Antiqua" w:cs="Book Antiqua"/>
          <w:bCs/>
          <w:iCs/>
          <w:sz w:val="24"/>
          <w:szCs w:val="24"/>
        </w:rPr>
        <w:t>Glucagon</w:t>
      </w:r>
      <w:r w:rsidRPr="005A73DD">
        <w:rPr>
          <w:rFonts w:ascii="Times New Roman" w:eastAsia="Book Antiqua" w:hAnsi="Times New Roman" w:cs="Times New Roman"/>
          <w:bCs/>
          <w:iCs/>
          <w:sz w:val="24"/>
          <w:szCs w:val="24"/>
        </w:rPr>
        <w:t>‑</w:t>
      </w:r>
      <w:r w:rsidRPr="005A73DD">
        <w:rPr>
          <w:rFonts w:ascii="Book Antiqua" w:eastAsia="Book Antiqua" w:hAnsi="Book Antiqua" w:cs="Book Antiqua"/>
          <w:bCs/>
          <w:iCs/>
          <w:sz w:val="24"/>
          <w:szCs w:val="24"/>
        </w:rPr>
        <w:t>like peptide</w:t>
      </w:r>
      <w:r w:rsidRPr="005A73DD">
        <w:rPr>
          <w:rFonts w:ascii="Times New Roman" w:eastAsia="Book Antiqua" w:hAnsi="Times New Roman" w:cs="Times New Roman"/>
          <w:bCs/>
          <w:iCs/>
          <w:sz w:val="24"/>
          <w:szCs w:val="24"/>
        </w:rPr>
        <w:t>‑</w:t>
      </w:r>
      <w:r w:rsidRPr="005A73DD">
        <w:rPr>
          <w:rFonts w:ascii="Book Antiqua" w:eastAsia="Book Antiqua" w:hAnsi="Book Antiqua" w:cs="Book Antiqua"/>
          <w:bCs/>
          <w:iCs/>
          <w:sz w:val="24"/>
          <w:szCs w:val="24"/>
        </w:rPr>
        <w:t>1 analogues in spine surgery</w:t>
      </w:r>
      <w:r>
        <w:rPr>
          <w:rFonts w:ascii="Book Antiqua" w:eastAsia="Book Antiqua" w:hAnsi="Book Antiqua" w:cs="Book Antiqua"/>
          <w:bCs/>
          <w:iCs/>
          <w:sz w:val="24"/>
          <w:szCs w:val="24"/>
        </w:rPr>
        <w:t>; 2</w:t>
      </w:r>
      <w:r w:rsidR="002C6441">
        <w:rPr>
          <w:rFonts w:ascii="Book Antiqua" w:eastAsia="Book Antiqua" w:hAnsi="Book Antiqua" w:cs="Book Antiqua"/>
          <w:bCs/>
          <w:iCs/>
          <w:sz w:val="24"/>
          <w:szCs w:val="24"/>
        </w:rPr>
        <w:t>. Giant</w:t>
      </w:r>
      <w:r w:rsidRPr="005A73DD">
        <w:rPr>
          <w:rFonts w:ascii="Book Antiqua" w:eastAsia="Book Antiqua" w:hAnsi="Book Antiqua" w:cs="Book Antiqua"/>
          <w:bCs/>
          <w:iCs/>
          <w:sz w:val="24"/>
          <w:szCs w:val="24"/>
        </w:rPr>
        <w:t xml:space="preserve"> cell tumo</w:t>
      </w:r>
      <w:r>
        <w:rPr>
          <w:rFonts w:ascii="Book Antiqua" w:eastAsia="Book Antiqua" w:hAnsi="Book Antiqua" w:cs="Book Antiqua"/>
          <w:bCs/>
          <w:iCs/>
          <w:sz w:val="24"/>
          <w:szCs w:val="24"/>
        </w:rPr>
        <w:t>u</w:t>
      </w:r>
      <w:r w:rsidRPr="005A73DD">
        <w:rPr>
          <w:rFonts w:ascii="Book Antiqua" w:eastAsia="Book Antiqua" w:hAnsi="Book Antiqua" w:cs="Book Antiqua"/>
          <w:bCs/>
          <w:iCs/>
          <w:sz w:val="24"/>
          <w:szCs w:val="24"/>
        </w:rPr>
        <w:t xml:space="preserve">rs in the </w:t>
      </w:r>
      <w:r w:rsidRPr="005A73DD">
        <w:rPr>
          <w:rFonts w:ascii="Book Antiqua" w:eastAsia="Book Antiqua" w:hAnsi="Book Antiqua" w:cs="Book Antiqua"/>
          <w:bCs/>
          <w:iCs/>
          <w:sz w:val="24"/>
          <w:szCs w:val="24"/>
        </w:rPr>
        <w:lastRenderedPageBreak/>
        <w:t>cervical spine</w:t>
      </w:r>
      <w:r>
        <w:rPr>
          <w:rFonts w:ascii="Book Antiqua" w:eastAsia="Book Antiqua" w:hAnsi="Book Antiqua" w:cs="Book Antiqua"/>
          <w:bCs/>
          <w:iCs/>
          <w:sz w:val="24"/>
          <w:szCs w:val="24"/>
        </w:rPr>
        <w:t xml:space="preserve">; and 3. </w:t>
      </w:r>
      <w:r w:rsidRPr="005A73DD">
        <w:rPr>
          <w:rFonts w:ascii="Book Antiqua" w:eastAsia="Book Antiqua" w:hAnsi="Book Antiqua" w:cs="Book Antiqua"/>
          <w:bCs/>
          <w:iCs/>
          <w:sz w:val="24"/>
          <w:szCs w:val="24"/>
        </w:rPr>
        <w:t>Return to work following spinal cord injury</w:t>
      </w:r>
      <w:r>
        <w:rPr>
          <w:rFonts w:ascii="Book Antiqua" w:eastAsia="Book Antiqua" w:hAnsi="Book Antiqua" w:cs="Book Antiqua"/>
          <w:bCs/>
          <w:iCs/>
          <w:sz w:val="24"/>
          <w:szCs w:val="24"/>
        </w:rPr>
        <w:t xml:space="preserve">. </w:t>
      </w:r>
      <w:r w:rsidRPr="005A73DD">
        <w:rPr>
          <w:rFonts w:ascii="Book Antiqua" w:eastAsia="Book Antiqua" w:hAnsi="Book Antiqua" w:cs="Book Antiqua"/>
          <w:bCs/>
          <w:iCs/>
          <w:sz w:val="24"/>
          <w:szCs w:val="24"/>
        </w:rPr>
        <w:t xml:space="preserve">For these reviews, independent human reviewers who </w:t>
      </w:r>
      <w:proofErr w:type="gramStart"/>
      <w:r w:rsidRPr="005A73DD">
        <w:rPr>
          <w:rFonts w:ascii="Book Antiqua" w:eastAsia="Book Antiqua" w:hAnsi="Book Antiqua" w:cs="Book Antiqua"/>
          <w:bCs/>
          <w:iCs/>
          <w:sz w:val="24"/>
          <w:szCs w:val="24"/>
        </w:rPr>
        <w:t>had no involvement</w:t>
      </w:r>
      <w:proofErr w:type="gramEnd"/>
      <w:r w:rsidRPr="005A73DD">
        <w:rPr>
          <w:rFonts w:ascii="Book Antiqua" w:eastAsia="Book Antiqua" w:hAnsi="Book Antiqua" w:cs="Book Antiqua"/>
          <w:bCs/>
          <w:iCs/>
          <w:sz w:val="24"/>
          <w:szCs w:val="24"/>
        </w:rPr>
        <w:t xml:space="preserve"> in the development of the AI system established the “</w:t>
      </w:r>
      <w:r w:rsidRPr="005A73DD">
        <w:rPr>
          <w:rFonts w:ascii="Book Antiqua" w:eastAsia="Book Antiqua" w:hAnsi="Book Antiqua" w:cs="Book Antiqua"/>
          <w:bCs/>
          <w:i/>
          <w:iCs/>
          <w:sz w:val="24"/>
          <w:szCs w:val="24"/>
        </w:rPr>
        <w:t>ground truth</w:t>
      </w:r>
      <w:r>
        <w:rPr>
          <w:rFonts w:ascii="Book Antiqua" w:eastAsia="Book Antiqua" w:hAnsi="Book Antiqua" w:cs="Book Antiqua"/>
          <w:bCs/>
          <w:iCs/>
          <w:sz w:val="24"/>
          <w:szCs w:val="24"/>
        </w:rPr>
        <w:t>”</w:t>
      </w:r>
      <w:r w:rsidRPr="005A73DD">
        <w:rPr>
          <w:rFonts w:ascii="Book Antiqua" w:eastAsia="Book Antiqua" w:hAnsi="Book Antiqua" w:cs="Book Antiqua"/>
          <w:bCs/>
          <w:iCs/>
          <w:sz w:val="24"/>
          <w:szCs w:val="24"/>
        </w:rPr>
        <w:t>. Each record was screened and extracted by two blinded reviewers, with discrepancies resolved by consensus. This design avoided circularity and ensured that AI outputs were compared against an unbiased reference standard.</w:t>
      </w:r>
    </w:p>
    <w:p w14:paraId="00000019" w14:textId="7536CFE0" w:rsidR="00B64C21" w:rsidRDefault="005E1AA8">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System Architecture</w:t>
      </w:r>
    </w:p>
    <w:p w14:paraId="175E7AE1" w14:textId="06DCFF5C" w:rsidR="00FA66A3" w:rsidRDefault="005E1AA8">
      <w:pPr>
        <w:rPr>
          <w:rFonts w:ascii="Book Antiqua" w:eastAsia="Book Antiqua" w:hAnsi="Book Antiqua" w:cs="Book Antiqua"/>
          <w:sz w:val="24"/>
          <w:szCs w:val="24"/>
        </w:rPr>
      </w:pPr>
      <w:r>
        <w:rPr>
          <w:rFonts w:ascii="Book Antiqua" w:eastAsia="Book Antiqua" w:hAnsi="Book Antiqua" w:cs="Book Antiqua"/>
          <w:sz w:val="24"/>
          <w:szCs w:val="24"/>
        </w:rPr>
        <w:t>The framework was implemented as a multi</w:t>
      </w:r>
      <w:r>
        <w:rPr>
          <w:rFonts w:ascii="Times New Roman" w:eastAsia="Times New Roman" w:hAnsi="Times New Roman" w:cs="Times New Roman"/>
          <w:sz w:val="24"/>
          <w:szCs w:val="24"/>
        </w:rPr>
        <w:t>‑</w:t>
      </w:r>
      <w:r>
        <w:rPr>
          <w:rFonts w:ascii="Book Antiqua" w:eastAsia="Book Antiqua" w:hAnsi="Book Antiqua" w:cs="Book Antiqua"/>
          <w:sz w:val="24"/>
          <w:szCs w:val="24"/>
        </w:rPr>
        <w:t>agent pipeline, with each agent responsible for a distinct stage of the review process. First, a deduplication agent identified and removed duplicate records using DOI matching, title similarity, and author/year concordance. Next, a screening agent applied protocol</w:t>
      </w:r>
      <w:r>
        <w:rPr>
          <w:rFonts w:ascii="Times New Roman" w:eastAsia="Times New Roman" w:hAnsi="Times New Roman" w:cs="Times New Roman"/>
          <w:sz w:val="24"/>
          <w:szCs w:val="24"/>
        </w:rPr>
        <w:t>‑</w:t>
      </w:r>
      <w:r>
        <w:rPr>
          <w:rFonts w:ascii="Book Antiqua" w:eastAsia="Book Antiqua" w:hAnsi="Book Antiqua" w:cs="Book Antiqua"/>
          <w:sz w:val="24"/>
          <w:szCs w:val="24"/>
        </w:rPr>
        <w:t xml:space="preserve">defined inclusion and exclusion criteria to titles and abstracts, followed by an extraction agent that captured structured data fields (sample sizes, binary outcomes, continuous measures with standard deviations) using predefined schemas. Finally, a verification agent monitored logs, flagged discrepancies, and directed human adjudication. </w:t>
      </w:r>
      <w:r w:rsidR="005A73DD" w:rsidRPr="005A73DD">
        <w:rPr>
          <w:rFonts w:ascii="Book Antiqua" w:eastAsia="Book Antiqua" w:hAnsi="Book Antiqua" w:cs="Book Antiqua"/>
          <w:sz w:val="24"/>
          <w:szCs w:val="24"/>
        </w:rPr>
        <w:t>Agents communicated through a locally executed coordination layer, ensuring that all processes remained under researcher control. Unlike cloud</w:t>
      </w:r>
      <w:r w:rsidR="005A73DD" w:rsidRPr="005A73DD">
        <w:rPr>
          <w:rFonts w:ascii="Times New Roman" w:eastAsia="Book Antiqua" w:hAnsi="Times New Roman" w:cs="Times New Roman"/>
          <w:sz w:val="24"/>
          <w:szCs w:val="24"/>
        </w:rPr>
        <w:t>‑</w:t>
      </w:r>
      <w:r w:rsidR="005A73DD" w:rsidRPr="005A73DD">
        <w:rPr>
          <w:rFonts w:ascii="Book Antiqua" w:eastAsia="Book Antiqua" w:hAnsi="Book Antiqua" w:cs="Book Antiqua"/>
          <w:sz w:val="24"/>
          <w:szCs w:val="24"/>
        </w:rPr>
        <w:t>based AI services, this design safeguarded data governance and reproducibility.</w:t>
      </w:r>
    </w:p>
    <w:p w14:paraId="0000001B" w14:textId="77777777" w:rsidR="00B64C21" w:rsidRDefault="005E1AA8">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Data Sources and Preparation</w:t>
      </w:r>
    </w:p>
    <w:p w14:paraId="0000001C" w14:textId="6638F407"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Bibliographic records and full</w:t>
      </w:r>
      <w:r>
        <w:rPr>
          <w:rFonts w:ascii="Times New Roman" w:eastAsia="Times New Roman" w:hAnsi="Times New Roman" w:cs="Times New Roman"/>
          <w:sz w:val="24"/>
          <w:szCs w:val="24"/>
        </w:rPr>
        <w:t>‑</w:t>
      </w:r>
      <w:r>
        <w:rPr>
          <w:rFonts w:ascii="Book Antiqua" w:eastAsia="Book Antiqua" w:hAnsi="Book Antiqua" w:cs="Book Antiqua"/>
          <w:sz w:val="24"/>
          <w:szCs w:val="24"/>
        </w:rPr>
        <w:t xml:space="preserve">text PDFs were retrieved from biomedical databases such as PubMed, Embase, Web of Science, and Cochrane Library for three </w:t>
      </w:r>
      <w:r w:rsidR="005A73DD">
        <w:rPr>
          <w:rFonts w:ascii="Book Antiqua" w:eastAsia="Book Antiqua" w:hAnsi="Book Antiqua" w:cs="Book Antiqua"/>
          <w:sz w:val="24"/>
          <w:szCs w:val="24"/>
        </w:rPr>
        <w:t>validation</w:t>
      </w:r>
      <w:r>
        <w:rPr>
          <w:rFonts w:ascii="Book Antiqua" w:eastAsia="Book Antiqua" w:hAnsi="Book Antiqua" w:cs="Book Antiqua"/>
          <w:sz w:val="24"/>
          <w:szCs w:val="24"/>
        </w:rPr>
        <w:t xml:space="preserve"> review</w:t>
      </w:r>
      <w:r w:rsidR="005A73DD">
        <w:rPr>
          <w:rFonts w:ascii="Book Antiqua" w:eastAsia="Book Antiqua" w:hAnsi="Book Antiqua" w:cs="Book Antiqua"/>
          <w:sz w:val="24"/>
          <w:szCs w:val="24"/>
        </w:rPr>
        <w:t>s</w:t>
      </w:r>
      <w:r>
        <w:rPr>
          <w:rFonts w:ascii="Book Antiqua" w:eastAsia="Book Antiqua" w:hAnsi="Book Antiqua" w:cs="Book Antiqua"/>
          <w:sz w:val="24"/>
          <w:szCs w:val="24"/>
        </w:rPr>
        <w:t>. Inclusion and exclusion criteria were established a priori based on the research question. All records were imported into the AI pipeline for processing.</w:t>
      </w:r>
    </w:p>
    <w:p w14:paraId="0000001D" w14:textId="77777777" w:rsidR="00B64C21" w:rsidRDefault="005E1AA8">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Deduplication</w:t>
      </w:r>
    </w:p>
    <w:p w14:paraId="0000001E" w14:textId="51CBD6C9" w:rsidR="00B64C21" w:rsidRDefault="005E1AA8">
      <w:pPr>
        <w:rPr>
          <w:rFonts w:ascii="Book Antiqua" w:eastAsia="Book Antiqua" w:hAnsi="Book Antiqua" w:cs="Book Antiqua"/>
          <w:sz w:val="24"/>
          <w:szCs w:val="24"/>
        </w:rPr>
      </w:pPr>
      <w:bookmarkStart w:id="0" w:name="_heading=h.7i4dqdgqmwnd" w:colFirst="0" w:colLast="0"/>
      <w:bookmarkEnd w:id="0"/>
      <w:r>
        <w:rPr>
          <w:rFonts w:ascii="Book Antiqua" w:eastAsia="Book Antiqua" w:hAnsi="Book Antiqua" w:cs="Book Antiqua"/>
          <w:sz w:val="24"/>
          <w:szCs w:val="24"/>
        </w:rPr>
        <w:t>The deduplication agent compared records across multiple fields (DOI, title, author, year). In cases of conflict, where duplication could not be confidently determined, both documents were retained to avoid inadvertently removing valid entries. This conservative approach safeguarded against loss of relevant studies. The deduplication agent execution code is given in the</w:t>
      </w:r>
      <w:r>
        <w:rPr>
          <w:rFonts w:ascii="Book Antiqua" w:eastAsia="Book Antiqua" w:hAnsi="Book Antiqua" w:cs="Book Antiqua"/>
          <w:b/>
          <w:bCs/>
          <w:i/>
          <w:iCs/>
          <w:sz w:val="24"/>
          <w:szCs w:val="24"/>
        </w:rPr>
        <w:t xml:space="preserve"> </w:t>
      </w:r>
      <w:hyperlink r:id="rId7">
        <w:r>
          <w:rPr>
            <w:rFonts w:ascii="Book Antiqua" w:eastAsia="Book Antiqua" w:hAnsi="Book Antiqua" w:cs="Book Antiqua"/>
            <w:b/>
            <w:bCs/>
            <w:i/>
            <w:iCs/>
            <w:color w:val="1155CC"/>
            <w:sz w:val="24"/>
            <w:szCs w:val="24"/>
            <w:u w:val="single"/>
          </w:rPr>
          <w:t>GitHub repository link</w:t>
        </w:r>
      </w:hyperlink>
      <w:r>
        <w:rPr>
          <w:rFonts w:ascii="Book Antiqua" w:eastAsia="Book Antiqua" w:hAnsi="Book Antiqua" w:cs="Book Antiqua"/>
          <w:sz w:val="24"/>
          <w:szCs w:val="24"/>
        </w:rPr>
        <w:t>.</w:t>
      </w:r>
      <w:r w:rsidR="005A73DD">
        <w:rPr>
          <w:rFonts w:ascii="Book Antiqua" w:eastAsia="Book Antiqua" w:hAnsi="Book Antiqua" w:cs="Book Antiqua"/>
          <w:sz w:val="24"/>
          <w:szCs w:val="24"/>
        </w:rPr>
        <w:t xml:space="preserve"> </w:t>
      </w:r>
      <w:r w:rsidR="005A73DD" w:rsidRPr="005A73DD">
        <w:rPr>
          <w:rFonts w:ascii="Book Antiqua" w:eastAsia="Book Antiqua" w:hAnsi="Book Antiqua" w:cs="Book Antiqua"/>
          <w:sz w:val="24"/>
          <w:szCs w:val="24"/>
        </w:rPr>
        <w:t>Deduplication outputs were logged and cross</w:t>
      </w:r>
      <w:r w:rsidR="005A73DD" w:rsidRPr="005A73DD">
        <w:rPr>
          <w:rFonts w:ascii="Times New Roman" w:eastAsia="Book Antiqua" w:hAnsi="Times New Roman" w:cs="Times New Roman"/>
          <w:sz w:val="24"/>
          <w:szCs w:val="24"/>
        </w:rPr>
        <w:t>‑</w:t>
      </w:r>
      <w:r w:rsidR="005A73DD" w:rsidRPr="005A73DD">
        <w:rPr>
          <w:rFonts w:ascii="Book Antiqua" w:eastAsia="Book Antiqua" w:hAnsi="Book Antiqua" w:cs="Book Antiqua"/>
          <w:sz w:val="24"/>
          <w:szCs w:val="24"/>
        </w:rPr>
        <w:t>checked against independent reviewers.</w:t>
      </w:r>
    </w:p>
    <w:p w14:paraId="0000001F" w14:textId="77777777" w:rsidR="00B64C21" w:rsidRDefault="005E1AA8">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Title and Abstract Screening</w:t>
      </w:r>
    </w:p>
    <w:p w14:paraId="00000020" w14:textId="2429461A" w:rsidR="00B64C21" w:rsidRDefault="005A73DD">
      <w:pPr>
        <w:rPr>
          <w:rFonts w:ascii="Book Antiqua" w:eastAsia="Book Antiqua" w:hAnsi="Book Antiqua" w:cs="Book Antiqua"/>
          <w:sz w:val="24"/>
          <w:szCs w:val="24"/>
        </w:rPr>
      </w:pPr>
      <w:r>
        <w:rPr>
          <w:rFonts w:ascii="Book Antiqua" w:eastAsia="Book Antiqua" w:hAnsi="Book Antiqua" w:cs="Book Antiqua"/>
          <w:sz w:val="24"/>
          <w:szCs w:val="24"/>
        </w:rPr>
        <w:t>T</w:t>
      </w:r>
      <w:r w:rsidRPr="005A73DD">
        <w:rPr>
          <w:rFonts w:ascii="Book Antiqua" w:eastAsia="Book Antiqua" w:hAnsi="Book Antiqua" w:cs="Book Antiqua"/>
          <w:sz w:val="24"/>
          <w:szCs w:val="24"/>
        </w:rPr>
        <w:t xml:space="preserve">he screening agent applied inclusion and exclusion criteria to titles and abstracts. </w:t>
      </w:r>
      <w:r w:rsidR="00182EF5">
        <w:rPr>
          <w:rFonts w:ascii="Book Antiqua" w:eastAsia="Book Antiqua" w:hAnsi="Book Antiqua" w:cs="Book Antiqua"/>
          <w:sz w:val="24"/>
          <w:szCs w:val="24"/>
        </w:rPr>
        <w:t xml:space="preserve">A </w:t>
      </w:r>
      <w:r w:rsidR="007C2AC9">
        <w:rPr>
          <w:rFonts w:ascii="Book Antiqua" w:eastAsia="Book Antiqua" w:hAnsi="Book Antiqua" w:cs="Book Antiqua"/>
          <w:i/>
          <w:sz w:val="24"/>
          <w:szCs w:val="24"/>
        </w:rPr>
        <w:t>dual-</w:t>
      </w:r>
      <w:r w:rsidR="00182EF5" w:rsidRPr="007C2AC9">
        <w:rPr>
          <w:rFonts w:ascii="Book Antiqua" w:eastAsia="Book Antiqua" w:hAnsi="Book Antiqua" w:cs="Book Antiqua"/>
          <w:i/>
          <w:sz w:val="24"/>
          <w:szCs w:val="24"/>
        </w:rPr>
        <w:t>pass strategy</w:t>
      </w:r>
      <w:r w:rsidR="00182EF5">
        <w:rPr>
          <w:rFonts w:ascii="Book Antiqua" w:eastAsia="Book Antiqua" w:hAnsi="Book Antiqua" w:cs="Book Antiqua"/>
          <w:sz w:val="24"/>
          <w:szCs w:val="24"/>
        </w:rPr>
        <w:t xml:space="preserve"> was employed to ensure consistency in the AI decisions for screening</w:t>
      </w:r>
      <w:r w:rsidR="002C6441">
        <w:rPr>
          <w:rFonts w:ascii="Book Antiqua" w:eastAsia="Book Antiqua" w:hAnsi="Book Antiqua" w:cs="Book Antiqua"/>
          <w:sz w:val="24"/>
          <w:szCs w:val="24"/>
        </w:rPr>
        <w:t>,</w:t>
      </w:r>
      <w:r w:rsidR="00182EF5">
        <w:rPr>
          <w:rFonts w:ascii="Book Antiqua" w:eastAsia="Book Antiqua" w:hAnsi="Book Antiqua" w:cs="Book Antiqua"/>
          <w:sz w:val="24"/>
          <w:szCs w:val="24"/>
        </w:rPr>
        <w:t xml:space="preserve"> where</w:t>
      </w:r>
      <w:r w:rsidR="007C2AC9" w:rsidRPr="007C2AC9">
        <w:rPr>
          <w:rFonts w:ascii="Book Antiqua" w:eastAsia="Book Antiqua" w:hAnsi="Book Antiqua" w:cs="Book Antiqua"/>
          <w:sz w:val="24"/>
          <w:szCs w:val="24"/>
        </w:rPr>
        <w:t xml:space="preserve"> each screening task was executed twice independently. Only when both outputs matched was the decision finalised and exported into Google Sheets (Google LLC, Workspace v2025.2). This dual</w:t>
      </w:r>
      <w:r w:rsidR="007C2AC9" w:rsidRPr="007C2AC9">
        <w:rPr>
          <w:rFonts w:ascii="Times New Roman" w:eastAsia="Book Antiqua" w:hAnsi="Times New Roman" w:cs="Times New Roman"/>
          <w:sz w:val="24"/>
          <w:szCs w:val="24"/>
        </w:rPr>
        <w:t>‑</w:t>
      </w:r>
      <w:r w:rsidR="007C2AC9" w:rsidRPr="007C2AC9">
        <w:rPr>
          <w:rFonts w:ascii="Book Antiqua" w:eastAsia="Book Antiqua" w:hAnsi="Book Antiqua" w:cs="Book Antiqua"/>
          <w:sz w:val="24"/>
          <w:szCs w:val="24"/>
        </w:rPr>
        <w:t xml:space="preserve">pass strategy minimised random error and reinforced </w:t>
      </w:r>
      <w:r w:rsidR="007C2AC9">
        <w:rPr>
          <w:rFonts w:ascii="Book Antiqua" w:eastAsia="Book Antiqua" w:hAnsi="Book Antiqua" w:cs="Book Antiqua"/>
          <w:sz w:val="24"/>
          <w:szCs w:val="24"/>
        </w:rPr>
        <w:t>consistency</w:t>
      </w:r>
      <w:r w:rsidR="007C2AC9" w:rsidRPr="007C2AC9">
        <w:rPr>
          <w:rFonts w:ascii="Book Antiqua" w:eastAsia="Book Antiqua" w:hAnsi="Book Antiqua" w:cs="Book Antiqua"/>
          <w:sz w:val="24"/>
          <w:szCs w:val="24"/>
        </w:rPr>
        <w:t xml:space="preserve">. </w:t>
      </w:r>
      <w:r w:rsidR="00182EF5">
        <w:rPr>
          <w:rFonts w:ascii="Book Antiqua" w:eastAsia="Book Antiqua" w:hAnsi="Book Antiqua" w:cs="Book Antiqua"/>
          <w:sz w:val="24"/>
          <w:szCs w:val="24"/>
        </w:rPr>
        <w:t xml:space="preserve"> We also employed a</w:t>
      </w:r>
      <w:r w:rsidRPr="005A73DD">
        <w:rPr>
          <w:rFonts w:ascii="Book Antiqua" w:eastAsia="Book Antiqua" w:hAnsi="Book Antiqua" w:cs="Book Antiqua"/>
          <w:sz w:val="24"/>
          <w:szCs w:val="24"/>
        </w:rPr>
        <w:t xml:space="preserve"> </w:t>
      </w:r>
      <w:r w:rsidRPr="007C2AC9">
        <w:rPr>
          <w:rFonts w:ascii="Book Antiqua" w:eastAsia="Book Antiqua" w:hAnsi="Book Antiqua" w:cs="Book Antiqua"/>
          <w:i/>
          <w:sz w:val="24"/>
          <w:szCs w:val="24"/>
        </w:rPr>
        <w:t>cross</w:t>
      </w:r>
      <w:r w:rsidRPr="007C2AC9">
        <w:rPr>
          <w:rFonts w:ascii="Times New Roman" w:eastAsia="Book Antiqua" w:hAnsi="Times New Roman" w:cs="Times New Roman"/>
          <w:i/>
          <w:sz w:val="24"/>
          <w:szCs w:val="24"/>
        </w:rPr>
        <w:t>‑</w:t>
      </w:r>
      <w:r w:rsidRPr="007C2AC9">
        <w:rPr>
          <w:rFonts w:ascii="Book Antiqua" w:eastAsia="Book Antiqua" w:hAnsi="Book Antiqua" w:cs="Book Antiqua"/>
          <w:i/>
          <w:sz w:val="24"/>
          <w:szCs w:val="24"/>
        </w:rPr>
        <w:t>validation</w:t>
      </w:r>
      <w:r w:rsidRPr="005A73DD">
        <w:rPr>
          <w:rFonts w:ascii="Book Antiqua" w:eastAsia="Book Antiqua" w:hAnsi="Book Antiqua" w:cs="Book Antiqua"/>
          <w:sz w:val="24"/>
          <w:szCs w:val="24"/>
        </w:rPr>
        <w:t xml:space="preserve"> approach</w:t>
      </w:r>
      <w:r w:rsidR="00182EF5">
        <w:rPr>
          <w:rFonts w:ascii="Book Antiqua" w:eastAsia="Book Antiqua" w:hAnsi="Book Antiqua" w:cs="Book Antiqua"/>
          <w:sz w:val="24"/>
          <w:szCs w:val="24"/>
        </w:rPr>
        <w:t xml:space="preserve"> to investigate the accuracy of the screening process</w:t>
      </w:r>
      <w:r w:rsidRPr="005A73DD">
        <w:rPr>
          <w:rFonts w:ascii="Book Antiqua" w:eastAsia="Book Antiqua" w:hAnsi="Book Antiqua" w:cs="Book Antiqua"/>
          <w:sz w:val="24"/>
          <w:szCs w:val="24"/>
        </w:rPr>
        <w:t xml:space="preserve">. Specifically, the screening agent’s </w:t>
      </w:r>
      <w:r w:rsidRPr="005A73DD">
        <w:rPr>
          <w:rFonts w:ascii="Book Antiqua" w:eastAsia="Book Antiqua" w:hAnsi="Book Antiqua" w:cs="Book Antiqua"/>
          <w:sz w:val="24"/>
          <w:szCs w:val="24"/>
        </w:rPr>
        <w:lastRenderedPageBreak/>
        <w:t xml:space="preserve">outputs were randomly partitioned into two subsets. </w:t>
      </w:r>
      <w:r w:rsidR="002C6441">
        <w:rPr>
          <w:rFonts w:ascii="Book Antiqua" w:eastAsia="Book Antiqua" w:hAnsi="Book Antiqua" w:cs="Book Antiqua"/>
          <w:sz w:val="24"/>
          <w:szCs w:val="24"/>
        </w:rPr>
        <w:t>Separate human reviewers independently adjudicated each subset</w:t>
      </w:r>
      <w:r w:rsidRPr="005A73DD">
        <w:rPr>
          <w:rFonts w:ascii="Book Antiqua" w:eastAsia="Book Antiqua" w:hAnsi="Book Antiqua" w:cs="Book Antiqua"/>
          <w:sz w:val="24"/>
          <w:szCs w:val="24"/>
        </w:rPr>
        <w:t>, and discrepancies were reconciled. This design ensured that AI decisions were validated against independent ground truth rather than self</w:t>
      </w:r>
      <w:r w:rsidRPr="005A73DD">
        <w:rPr>
          <w:rFonts w:ascii="Times New Roman" w:eastAsia="Book Antiqua" w:hAnsi="Times New Roman" w:cs="Times New Roman"/>
          <w:sz w:val="24"/>
          <w:szCs w:val="24"/>
        </w:rPr>
        <w:t>‑</w:t>
      </w:r>
      <w:r w:rsidRPr="005A73DD">
        <w:rPr>
          <w:rFonts w:ascii="Book Antiqua" w:eastAsia="Book Antiqua" w:hAnsi="Book Antiqua" w:cs="Book Antiqua"/>
          <w:sz w:val="24"/>
          <w:szCs w:val="24"/>
        </w:rPr>
        <w:t>consistency. Screening outputs were exported into spreadsheets for verification.</w:t>
      </w:r>
      <w:r>
        <w:rPr>
          <w:rFonts w:ascii="Book Antiqua" w:eastAsia="Book Antiqua" w:hAnsi="Book Antiqua" w:cs="Book Antiqua"/>
          <w:sz w:val="24"/>
          <w:szCs w:val="24"/>
        </w:rPr>
        <w:t xml:space="preserve"> </w:t>
      </w:r>
      <w:r w:rsidR="005E1AA8">
        <w:rPr>
          <w:rFonts w:ascii="Book Antiqua" w:eastAsia="Book Antiqua" w:hAnsi="Book Antiqua" w:cs="Book Antiqua"/>
          <w:sz w:val="24"/>
          <w:szCs w:val="24"/>
        </w:rPr>
        <w:t>The screening agent execution code is given in the</w:t>
      </w:r>
      <w:r w:rsidR="005E1AA8">
        <w:rPr>
          <w:rFonts w:ascii="Book Antiqua" w:eastAsia="Book Antiqua" w:hAnsi="Book Antiqua" w:cs="Book Antiqua"/>
          <w:b/>
          <w:bCs/>
          <w:i/>
          <w:iCs/>
          <w:sz w:val="24"/>
          <w:szCs w:val="24"/>
        </w:rPr>
        <w:t xml:space="preserve"> </w:t>
      </w:r>
      <w:hyperlink r:id="rId8">
        <w:r w:rsidR="005E1AA8">
          <w:rPr>
            <w:rFonts w:ascii="Book Antiqua" w:eastAsia="Book Antiqua" w:hAnsi="Book Antiqua" w:cs="Book Antiqua"/>
            <w:b/>
            <w:bCs/>
            <w:i/>
            <w:iCs/>
            <w:color w:val="1155CC"/>
            <w:sz w:val="24"/>
            <w:szCs w:val="24"/>
            <w:u w:val="single"/>
          </w:rPr>
          <w:t>GitHub repository link</w:t>
        </w:r>
      </w:hyperlink>
      <w:hyperlink r:id="rId9">
        <w:r w:rsidR="005E1AA8">
          <w:rPr>
            <w:rFonts w:ascii="Book Antiqua" w:eastAsia="Book Antiqua" w:hAnsi="Book Antiqua" w:cs="Book Antiqua"/>
            <w:color w:val="1155CC"/>
            <w:sz w:val="24"/>
            <w:szCs w:val="24"/>
            <w:u w:val="single"/>
          </w:rPr>
          <w:t>.</w:t>
        </w:r>
      </w:hyperlink>
    </w:p>
    <w:p w14:paraId="00000021" w14:textId="77777777" w:rsidR="00B64C21" w:rsidRDefault="005E1AA8">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Full</w:t>
      </w:r>
      <w:r>
        <w:rPr>
          <w:rFonts w:ascii="Times New Roman" w:eastAsia="Times New Roman" w:hAnsi="Times New Roman" w:cs="Times New Roman"/>
          <w:b/>
          <w:bCs/>
          <w:i/>
          <w:iCs/>
          <w:sz w:val="24"/>
          <w:szCs w:val="24"/>
        </w:rPr>
        <w:t>‑</w:t>
      </w:r>
      <w:r>
        <w:rPr>
          <w:rFonts w:ascii="Book Antiqua" w:eastAsia="Book Antiqua" w:hAnsi="Book Antiqua" w:cs="Book Antiqua"/>
          <w:b/>
          <w:bCs/>
          <w:i/>
          <w:iCs/>
          <w:sz w:val="24"/>
          <w:szCs w:val="24"/>
        </w:rPr>
        <w:t>Text Screening</w:t>
      </w:r>
    </w:p>
    <w:p w14:paraId="00000022" w14:textId="302E0BD5" w:rsidR="00B64C21" w:rsidRDefault="005E1AA8">
      <w:pPr>
        <w:rPr>
          <w:rFonts w:ascii="Book Antiqua" w:eastAsia="Book Antiqua" w:hAnsi="Book Antiqua" w:cs="Book Antiqua"/>
          <w:sz w:val="24"/>
          <w:szCs w:val="24"/>
        </w:rPr>
      </w:pPr>
      <w:bookmarkStart w:id="1" w:name="_heading=h.lu1p0b6e12y" w:colFirst="0" w:colLast="0"/>
      <w:bookmarkEnd w:id="1"/>
      <w:r>
        <w:rPr>
          <w:rFonts w:ascii="Book Antiqua" w:eastAsia="Book Antiqua" w:hAnsi="Book Antiqua" w:cs="Book Antiqua"/>
          <w:sz w:val="24"/>
          <w:szCs w:val="24"/>
        </w:rPr>
        <w:t>Full</w:t>
      </w:r>
      <w:r>
        <w:rPr>
          <w:rFonts w:ascii="Times New Roman" w:eastAsia="Times New Roman" w:hAnsi="Times New Roman" w:cs="Times New Roman"/>
          <w:sz w:val="24"/>
          <w:szCs w:val="24"/>
        </w:rPr>
        <w:t>‑</w:t>
      </w:r>
      <w:r>
        <w:rPr>
          <w:rFonts w:ascii="Book Antiqua" w:eastAsia="Book Antiqua" w:hAnsi="Book Antiqua" w:cs="Book Antiqua"/>
          <w:sz w:val="24"/>
          <w:szCs w:val="24"/>
        </w:rPr>
        <w:t>text screening was conducted exclusively by human reviewers. This ensured that nuanced eligibility criteria and methodological details were adjudicated with clinical judgment and rigour.</w:t>
      </w:r>
      <w:r w:rsidR="007C2AC9">
        <w:rPr>
          <w:rFonts w:ascii="Book Antiqua" w:eastAsia="Book Antiqua" w:hAnsi="Book Antiqua" w:cs="Book Antiqua"/>
          <w:sz w:val="24"/>
          <w:szCs w:val="24"/>
        </w:rPr>
        <w:t xml:space="preserve"> </w:t>
      </w:r>
      <w:r w:rsidR="007C2AC9" w:rsidRPr="007C2AC9">
        <w:rPr>
          <w:rFonts w:ascii="Book Antiqua" w:eastAsia="Book Antiqua" w:hAnsi="Book Antiqua" w:cs="Book Antiqua"/>
          <w:sz w:val="24"/>
          <w:szCs w:val="24"/>
        </w:rPr>
        <w:t>AI agents were not applied at this stage, but the verification agent ensured that adjudication logs were complete and traceable.</w:t>
      </w:r>
    </w:p>
    <w:p w14:paraId="00000023" w14:textId="77777777" w:rsidR="00B64C21" w:rsidRDefault="005E1AA8">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Structured Data Extraction</w:t>
      </w:r>
    </w:p>
    <w:p w14:paraId="00000024" w14:textId="2AF20151"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 xml:space="preserve">The extraction agent applied a predefined schema to capture key variables. Deterministic rules converted reported percentages into counts and standardised continuous outcomes. </w:t>
      </w:r>
      <w:r w:rsidR="007C2AC9" w:rsidRPr="007C2AC9">
        <w:rPr>
          <w:rFonts w:ascii="Book Antiqua" w:eastAsia="Book Antiqua" w:hAnsi="Book Antiqua" w:cs="Book Antiqua"/>
          <w:sz w:val="24"/>
          <w:szCs w:val="24"/>
        </w:rPr>
        <w:t>To enhance robustness, extraction tasks were subjected to cross</w:t>
      </w:r>
      <w:r w:rsidR="007C2AC9" w:rsidRPr="007C2AC9">
        <w:rPr>
          <w:rFonts w:ascii="Times New Roman" w:eastAsia="Book Antiqua" w:hAnsi="Times New Roman" w:cs="Times New Roman"/>
          <w:sz w:val="24"/>
          <w:szCs w:val="24"/>
        </w:rPr>
        <w:t>‑</w:t>
      </w:r>
      <w:r w:rsidR="007C2AC9" w:rsidRPr="007C2AC9">
        <w:rPr>
          <w:rFonts w:ascii="Book Antiqua" w:eastAsia="Book Antiqua" w:hAnsi="Book Antiqua" w:cs="Book Antiqua"/>
          <w:sz w:val="24"/>
          <w:szCs w:val="24"/>
        </w:rPr>
        <w:t xml:space="preserve">agent redundancy: two independent extraction agents processed the same dataset using slightly different parsing strategies. Outputs were compared, and discrepancies were </w:t>
      </w:r>
      <w:r w:rsidR="007C2AC9">
        <w:rPr>
          <w:rFonts w:ascii="Book Antiqua" w:eastAsia="Book Antiqua" w:hAnsi="Book Antiqua" w:cs="Book Antiqua"/>
          <w:sz w:val="24"/>
          <w:szCs w:val="24"/>
        </w:rPr>
        <w:t>flagged for human adjudication.</w:t>
      </w:r>
      <w:r>
        <w:rPr>
          <w:rFonts w:ascii="Book Antiqua" w:eastAsia="Book Antiqua" w:hAnsi="Book Antiqua" w:cs="Book Antiqua"/>
          <w:sz w:val="24"/>
          <w:szCs w:val="24"/>
        </w:rPr>
        <w:t xml:space="preserve"> For entries with missing data, justification logs were generated, documenting the rationale for incomplete extraction and flagging these cases for human adjudication. The data extraction agent execution code is given in the </w:t>
      </w:r>
      <w:hyperlink r:id="rId10">
        <w:r>
          <w:rPr>
            <w:rFonts w:ascii="Book Antiqua" w:eastAsia="Book Antiqua" w:hAnsi="Book Antiqua" w:cs="Book Antiqua"/>
            <w:b/>
            <w:bCs/>
            <w:i/>
            <w:iCs/>
            <w:color w:val="1155CC"/>
            <w:sz w:val="24"/>
            <w:szCs w:val="24"/>
            <w:u w:val="single"/>
          </w:rPr>
          <w:t>GitHub repository link</w:t>
        </w:r>
      </w:hyperlink>
      <w:hyperlink r:id="rId11">
        <w:r>
          <w:rPr>
            <w:rFonts w:ascii="Book Antiqua" w:eastAsia="Book Antiqua" w:hAnsi="Book Antiqua" w:cs="Book Antiqua"/>
            <w:color w:val="1155CC"/>
            <w:sz w:val="24"/>
            <w:szCs w:val="24"/>
            <w:u w:val="single"/>
          </w:rPr>
          <w:t>.</w:t>
        </w:r>
      </w:hyperlink>
    </w:p>
    <w:p w14:paraId="00000025" w14:textId="77777777" w:rsidR="00B64C21" w:rsidRDefault="005E1AA8">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Verification and Human Oversight</w:t>
      </w:r>
    </w:p>
    <w:p w14:paraId="00000026" w14:textId="5F431BB1"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The verification agent continuously monitored logs, identified discrepancies, and directed them to human reviewers. Dual independent reviewers validated AI outputs for deduplication, screening, and extraction. Discrepancies flagged by the verification agent were resolved through consensus adjudication. This human</w:t>
      </w:r>
      <w:r>
        <w:rPr>
          <w:rFonts w:ascii="Times New Roman" w:eastAsia="Times New Roman" w:hAnsi="Times New Roman" w:cs="Times New Roman"/>
          <w:sz w:val="24"/>
          <w:szCs w:val="24"/>
        </w:rPr>
        <w:t>‑</w:t>
      </w:r>
      <w:r>
        <w:rPr>
          <w:rFonts w:ascii="Book Antiqua" w:eastAsia="Book Antiqua" w:hAnsi="Book Antiqua" w:cs="Book Antiqua"/>
          <w:sz w:val="24"/>
          <w:szCs w:val="24"/>
        </w:rPr>
        <w:t>in</w:t>
      </w:r>
      <w:r>
        <w:rPr>
          <w:rFonts w:ascii="Times New Roman" w:eastAsia="Times New Roman" w:hAnsi="Times New Roman" w:cs="Times New Roman"/>
          <w:sz w:val="24"/>
          <w:szCs w:val="24"/>
        </w:rPr>
        <w:t>‑</w:t>
      </w:r>
      <w:r>
        <w:rPr>
          <w:rFonts w:ascii="Book Antiqua" w:eastAsia="Book Antiqua" w:hAnsi="Book Antiqua" w:cs="Book Antiqua"/>
          <w:sz w:val="24"/>
          <w:szCs w:val="24"/>
        </w:rPr>
        <w:t>the</w:t>
      </w:r>
      <w:r>
        <w:rPr>
          <w:rFonts w:ascii="Times New Roman" w:eastAsia="Times New Roman" w:hAnsi="Times New Roman" w:cs="Times New Roman"/>
          <w:sz w:val="24"/>
          <w:szCs w:val="24"/>
        </w:rPr>
        <w:t>‑</w:t>
      </w:r>
      <w:r>
        <w:rPr>
          <w:rFonts w:ascii="Book Antiqua" w:eastAsia="Book Antiqua" w:hAnsi="Book Antiqua" w:cs="Book Antiqua"/>
          <w:sz w:val="24"/>
          <w:szCs w:val="24"/>
        </w:rPr>
        <w:t xml:space="preserve">loop design ensured that while the AI framework accelerated routine tasks, critical decisions remained traceable and clinically reliable. </w:t>
      </w:r>
      <w:r w:rsidR="007C2AC9" w:rsidRPr="007C2AC9">
        <w:rPr>
          <w:rFonts w:ascii="Book Antiqua" w:eastAsia="Book Antiqua" w:hAnsi="Book Antiqua" w:cs="Book Antiqua"/>
          <w:sz w:val="24"/>
          <w:szCs w:val="24"/>
        </w:rPr>
        <w:t>Audit trails documented the origin of each data element, the agent responsible, and any human intervention. This design ensured that while the AI framework accelerated routine tasks, critical decisions remained traceable and clinically reliable.</w:t>
      </w:r>
      <w:r w:rsidR="007C2AC9">
        <w:rPr>
          <w:rFonts w:ascii="Book Antiqua" w:eastAsia="Book Antiqua" w:hAnsi="Book Antiqua" w:cs="Book Antiqua"/>
          <w:sz w:val="24"/>
          <w:szCs w:val="24"/>
        </w:rPr>
        <w:t xml:space="preserve"> </w:t>
      </w:r>
      <w:r>
        <w:rPr>
          <w:rFonts w:ascii="Book Antiqua" w:eastAsia="Book Antiqua" w:hAnsi="Book Antiqua" w:cs="Book Antiqua"/>
          <w:sz w:val="24"/>
          <w:szCs w:val="24"/>
        </w:rPr>
        <w:t xml:space="preserve">Importantly, all records processed by the system were verified for validity, with human reviewers confirming that no fabricated or hallucinated data were introduced. The verification agent execution code is given in the </w:t>
      </w:r>
      <w:hyperlink r:id="rId12">
        <w:r>
          <w:rPr>
            <w:rFonts w:ascii="Book Antiqua" w:eastAsia="Book Antiqua" w:hAnsi="Book Antiqua" w:cs="Book Antiqua"/>
            <w:b/>
            <w:bCs/>
            <w:i/>
            <w:iCs/>
            <w:color w:val="1155CC"/>
            <w:sz w:val="24"/>
            <w:szCs w:val="24"/>
            <w:u w:val="single"/>
          </w:rPr>
          <w:t>GitHub repository link</w:t>
        </w:r>
      </w:hyperlink>
      <w:r>
        <w:rPr>
          <w:rFonts w:ascii="Book Antiqua" w:eastAsia="Book Antiqua" w:hAnsi="Book Antiqua" w:cs="Book Antiqua"/>
          <w:b/>
          <w:bCs/>
          <w:i/>
          <w:iCs/>
          <w:sz w:val="24"/>
          <w:szCs w:val="24"/>
        </w:rPr>
        <w:t>.</w:t>
      </w:r>
    </w:p>
    <w:p w14:paraId="00000027" w14:textId="77777777" w:rsidR="00B64C21" w:rsidRDefault="005E1AA8">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Output and Validation</w:t>
      </w:r>
    </w:p>
    <w:p w14:paraId="00000028" w14:textId="77777777"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All outputs were exported into Google Sheets, which served as the central platform for verification and validation. This allowed reviewers to systematically check AI decisions, adjudicate discrepancies, and confirm final datasets.</w:t>
      </w:r>
    </w:p>
    <w:p w14:paraId="00000029" w14:textId="77777777" w:rsidR="00B64C21" w:rsidRDefault="005E1AA8">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Performance Measures</w:t>
      </w:r>
    </w:p>
    <w:p w14:paraId="0000002A" w14:textId="77777777"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lastRenderedPageBreak/>
        <w:t>Performance in this study was evaluated across four key dimensions to ensure methodological rigour and transparency. Accuracy was assessed as the concordance between AI outputs and human reviewers, providing a direct measure of reliability. Inter</w:t>
      </w:r>
      <w:r>
        <w:rPr>
          <w:rFonts w:ascii="Times New Roman" w:eastAsia="Times New Roman" w:hAnsi="Times New Roman" w:cs="Times New Roman"/>
          <w:sz w:val="24"/>
          <w:szCs w:val="24"/>
        </w:rPr>
        <w:t>‑</w:t>
      </w:r>
      <w:r>
        <w:rPr>
          <w:rFonts w:ascii="Book Antiqua" w:eastAsia="Book Antiqua" w:hAnsi="Book Antiqua" w:cs="Book Antiqua"/>
          <w:sz w:val="24"/>
          <w:szCs w:val="24"/>
        </w:rPr>
        <w:t>rater agreement was quantified using Cohen’s κ, offering a standardised metric of consistency across decisions. Time savings were calculated by comparing the reduction in human effort achieved through AI</w:t>
      </w:r>
      <w:r>
        <w:rPr>
          <w:rFonts w:ascii="Times New Roman" w:eastAsia="Times New Roman" w:hAnsi="Times New Roman" w:cs="Times New Roman"/>
          <w:sz w:val="24"/>
          <w:szCs w:val="24"/>
        </w:rPr>
        <w:t>‑</w:t>
      </w:r>
      <w:r>
        <w:rPr>
          <w:rFonts w:ascii="Book Antiqua" w:eastAsia="Book Antiqua" w:hAnsi="Book Antiqua" w:cs="Book Antiqua"/>
          <w:sz w:val="24"/>
          <w:szCs w:val="24"/>
        </w:rPr>
        <w:t>assisted workflows against traditional manual processes, with statistical testing applied to confirm significance. Finally, error classification was performed by categorising discrepancies as either minor, which did not affect clinical interpretation, or clinically critical, which had the potential to alter conclusions. This multidimensional evaluation framework allowed for a comprehensive assessment of the agentic AI system’s performance in systematic review tasks.</w:t>
      </w:r>
    </w:p>
    <w:p w14:paraId="0000002B" w14:textId="77777777" w:rsidR="00B64C21" w:rsidRDefault="005E1AA8">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Statistical Analysis</w:t>
      </w:r>
    </w:p>
    <w:p w14:paraId="0000002C" w14:textId="2A81C2A2"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All statistical analyses were performed using Stata (</w:t>
      </w:r>
      <w:proofErr w:type="spellStart"/>
      <w:r>
        <w:rPr>
          <w:rFonts w:ascii="Book Antiqua" w:eastAsia="Book Antiqua" w:hAnsi="Book Antiqua" w:cs="Book Antiqua"/>
          <w:sz w:val="24"/>
          <w:szCs w:val="24"/>
        </w:rPr>
        <w:t>StataCorp</w:t>
      </w:r>
      <w:proofErr w:type="spellEnd"/>
      <w:r>
        <w:rPr>
          <w:rFonts w:ascii="Book Antiqua" w:eastAsia="Book Antiqua" w:hAnsi="Book Antiqua" w:cs="Book Antiqua"/>
          <w:sz w:val="24"/>
          <w:szCs w:val="24"/>
        </w:rPr>
        <w:t xml:space="preserve"> LLC, version 17.0, College Station, TX, USA). Descriptive statistics were used to summarise record counts, workflow outputs, and reviewer workload. Accuracy was calculated as the proportion of concordant decisions between AI agents and human reviewers. Inter</w:t>
      </w:r>
      <w:r>
        <w:rPr>
          <w:rFonts w:ascii="Times New Roman" w:eastAsia="Times New Roman" w:hAnsi="Times New Roman" w:cs="Times New Roman"/>
          <w:sz w:val="24"/>
          <w:szCs w:val="24"/>
        </w:rPr>
        <w:t>‑</w:t>
      </w:r>
      <w:r>
        <w:rPr>
          <w:rFonts w:ascii="Book Antiqua" w:eastAsia="Book Antiqua" w:hAnsi="Book Antiqua" w:cs="Book Antiqua"/>
          <w:sz w:val="24"/>
          <w:szCs w:val="24"/>
        </w:rPr>
        <w:t>rater agreement was quantified using Cohen’s κ, interpreted according to Landis and Koch benchmarks (κ &lt; 0.20 = slight, 0.21–0.40 = fair, 0.41–0.60 = moderate, 0.61–0.80 = substantial, &gt;0.80 = almost perfect agreement). Time efficiency was assessed by comparing the mean time required for AI</w:t>
      </w:r>
      <w:r>
        <w:rPr>
          <w:rFonts w:ascii="Times New Roman" w:eastAsia="Times New Roman" w:hAnsi="Times New Roman" w:cs="Times New Roman"/>
          <w:sz w:val="24"/>
          <w:szCs w:val="24"/>
        </w:rPr>
        <w:t>‑</w:t>
      </w:r>
      <w:r>
        <w:rPr>
          <w:rFonts w:ascii="Book Antiqua" w:eastAsia="Book Antiqua" w:hAnsi="Book Antiqua" w:cs="Book Antiqua"/>
          <w:sz w:val="24"/>
          <w:szCs w:val="24"/>
        </w:rPr>
        <w:t>assisted workflows against traditional human</w:t>
      </w:r>
      <w:r>
        <w:rPr>
          <w:rFonts w:ascii="Times New Roman" w:eastAsia="Times New Roman" w:hAnsi="Times New Roman" w:cs="Times New Roman"/>
          <w:sz w:val="24"/>
          <w:szCs w:val="24"/>
        </w:rPr>
        <w:t>‑</w:t>
      </w:r>
      <w:r>
        <w:rPr>
          <w:rFonts w:ascii="Book Antiqua" w:eastAsia="Book Antiqua" w:hAnsi="Book Antiqua" w:cs="Book Antiqua"/>
          <w:sz w:val="24"/>
          <w:szCs w:val="24"/>
        </w:rPr>
        <w:t>only workflows. Paired comparisons were conducted using a paired t</w:t>
      </w:r>
      <w:r>
        <w:rPr>
          <w:rFonts w:ascii="Times New Roman" w:eastAsia="Times New Roman" w:hAnsi="Times New Roman" w:cs="Times New Roman"/>
          <w:sz w:val="24"/>
          <w:szCs w:val="24"/>
        </w:rPr>
        <w:t>‑</w:t>
      </w:r>
      <w:r>
        <w:rPr>
          <w:rFonts w:ascii="Book Antiqua" w:eastAsia="Book Antiqua" w:hAnsi="Book Antiqua" w:cs="Book Antiqua"/>
          <w:sz w:val="24"/>
          <w:szCs w:val="24"/>
        </w:rPr>
        <w:t>test. Error classification was performed by categorising discrepancies into minor (non</w:t>
      </w:r>
      <w:r>
        <w:rPr>
          <w:rFonts w:ascii="Times New Roman" w:eastAsia="Times New Roman" w:hAnsi="Times New Roman" w:cs="Times New Roman"/>
          <w:sz w:val="24"/>
          <w:szCs w:val="24"/>
        </w:rPr>
        <w:t>‑</w:t>
      </w:r>
      <w:r>
        <w:rPr>
          <w:rFonts w:ascii="Book Antiqua" w:eastAsia="Book Antiqua" w:hAnsi="Book Antiqua" w:cs="Book Antiqua"/>
          <w:sz w:val="24"/>
          <w:szCs w:val="24"/>
        </w:rPr>
        <w:t>impactful to clinical interpretation) and clinically critical (potential to alter conclusions). All statistical tests were two</w:t>
      </w:r>
      <w:r>
        <w:rPr>
          <w:rFonts w:ascii="Times New Roman" w:eastAsia="Times New Roman" w:hAnsi="Times New Roman" w:cs="Times New Roman"/>
          <w:sz w:val="24"/>
          <w:szCs w:val="24"/>
        </w:rPr>
        <w:t>‑</w:t>
      </w:r>
      <w:r>
        <w:rPr>
          <w:rFonts w:ascii="Book Antiqua" w:eastAsia="Book Antiqua" w:hAnsi="Book Antiqua" w:cs="Book Antiqua"/>
          <w:sz w:val="24"/>
          <w:szCs w:val="24"/>
        </w:rPr>
        <w:t xml:space="preserve">sided, with significance set at p &lt; 0.05. </w:t>
      </w:r>
    </w:p>
    <w:p w14:paraId="4F1487E2" w14:textId="2C785B0D" w:rsidR="007F51CB" w:rsidRPr="007F51CB" w:rsidRDefault="007F51CB">
      <w:pPr>
        <w:rPr>
          <w:rFonts w:ascii="Book Antiqua" w:eastAsia="Book Antiqua" w:hAnsi="Book Antiqua" w:cs="Book Antiqua"/>
          <w:b/>
          <w:i/>
          <w:sz w:val="24"/>
          <w:szCs w:val="24"/>
        </w:rPr>
      </w:pPr>
      <w:r w:rsidRPr="007F51CB">
        <w:rPr>
          <w:rFonts w:ascii="Book Antiqua" w:eastAsia="Book Antiqua" w:hAnsi="Book Antiqua" w:cs="Book Antiqua"/>
          <w:b/>
          <w:i/>
          <w:sz w:val="24"/>
          <w:szCs w:val="24"/>
        </w:rPr>
        <w:t>Hardware and Software</w:t>
      </w:r>
    </w:p>
    <w:p w14:paraId="4B2B83FC" w14:textId="5C2989D4" w:rsidR="007F51CB" w:rsidRPr="007F51CB" w:rsidRDefault="007F51CB">
      <w:pPr>
        <w:rPr>
          <w:rFonts w:ascii="Book Antiqua" w:eastAsia="Book Antiqua" w:hAnsi="Book Antiqua" w:cs="Book Antiqua"/>
          <w:bCs/>
          <w:sz w:val="24"/>
          <w:szCs w:val="24"/>
        </w:rPr>
      </w:pPr>
      <w:r w:rsidRPr="007F51CB">
        <w:rPr>
          <w:rFonts w:ascii="Book Antiqua" w:eastAsia="Book Antiqua" w:hAnsi="Book Antiqua" w:cs="Book Antiqua"/>
          <w:bCs/>
          <w:sz w:val="24"/>
          <w:szCs w:val="24"/>
        </w:rPr>
        <w:t>The pipeline was executed locally using a Gemini agent (Google DeepMind, release 2025.1)</w:t>
      </w:r>
      <w:r w:rsidR="003B0DAD">
        <w:rPr>
          <w:rFonts w:ascii="Book Antiqua" w:eastAsia="Book Antiqua" w:hAnsi="Book Antiqua" w:cs="Book Antiqua"/>
          <w:bCs/>
          <w:sz w:val="24"/>
          <w:szCs w:val="24"/>
        </w:rPr>
        <w:fldChar w:fldCharType="begin"/>
      </w:r>
      <w:r w:rsidR="003B0DAD">
        <w:rPr>
          <w:rFonts w:ascii="Book Antiqua" w:eastAsia="Book Antiqua" w:hAnsi="Book Antiqua" w:cs="Book Antiqua"/>
          <w:bCs/>
          <w:sz w:val="24"/>
          <w:szCs w:val="24"/>
        </w:rPr>
        <w:instrText xml:space="preserve"> ADDIN ZOTERO_ITEM CSL_CITATION {"citationID":"p7bj8VOf","properties":{"formattedCitation":"\\super 44\\nosupersub{}","plainCitation":"44","noteIndex":0},"citationItems":[{"id":71129,"uris":["http://zotero.org/users/4194337/items/X5SA29WE"],"itemData":{"id":71129,"type":"webpage","abstract":"Meet Gemini, Google’s AI assistant. Get help with writing, planning, brainstorming, and more. Experience the power of generative AI.","container-title":"Gemini","language":"en","title":"</w:instrText>
      </w:r>
      <w:r w:rsidR="003B0DAD">
        <w:rPr>
          <w:rFonts w:ascii="Times New Roman" w:eastAsia="Book Antiqua" w:hAnsi="Times New Roman" w:cs="Times New Roman"/>
          <w:bCs/>
          <w:sz w:val="24"/>
          <w:szCs w:val="24"/>
        </w:rPr>
        <w:instrText>‎</w:instrText>
      </w:r>
      <w:r w:rsidR="003B0DAD">
        <w:rPr>
          <w:rFonts w:ascii="Book Antiqua" w:eastAsia="Book Antiqua" w:hAnsi="Book Antiqua" w:cs="Book Antiqua"/>
          <w:bCs/>
          <w:sz w:val="24"/>
          <w:szCs w:val="24"/>
        </w:rPr>
        <w:instrText xml:space="preserve">Google Gemini","URL":"https://gemini.google.com","accessed":{"date-parts":[["2026",1,13]]}}}],"schema":"https://github.com/citation-style-language/schema/raw/master/csl-citation.json"} </w:instrText>
      </w:r>
      <w:r w:rsidR="003B0DAD">
        <w:rPr>
          <w:rFonts w:ascii="Book Antiqua" w:eastAsia="Book Antiqua" w:hAnsi="Book Antiqua" w:cs="Book Antiqua"/>
          <w:bCs/>
          <w:sz w:val="24"/>
          <w:szCs w:val="24"/>
        </w:rPr>
        <w:fldChar w:fldCharType="separate"/>
      </w:r>
      <w:r w:rsidR="003B0DAD" w:rsidRPr="003B0DAD">
        <w:rPr>
          <w:rFonts w:ascii="Book Antiqua" w:hAnsi="Book Antiqua" w:cs="Times New Roman"/>
          <w:sz w:val="24"/>
          <w:szCs w:val="24"/>
          <w:vertAlign w:val="superscript"/>
        </w:rPr>
        <w:t>44</w:t>
      </w:r>
      <w:r w:rsidR="003B0DAD">
        <w:rPr>
          <w:rFonts w:ascii="Book Antiqua" w:eastAsia="Book Antiqua" w:hAnsi="Book Antiqua" w:cs="Book Antiqua"/>
          <w:bCs/>
          <w:sz w:val="24"/>
          <w:szCs w:val="24"/>
        </w:rPr>
        <w:fldChar w:fldCharType="end"/>
      </w:r>
      <w:r w:rsidRPr="007F51CB">
        <w:rPr>
          <w:rFonts w:ascii="Book Antiqua" w:eastAsia="Book Antiqua" w:hAnsi="Book Antiqua" w:cs="Book Antiqua"/>
          <w:bCs/>
          <w:sz w:val="24"/>
          <w:szCs w:val="24"/>
        </w:rPr>
        <w:t xml:space="preserve"> with temperature set to 0.2 and max tokens capped at 2,048. Antigravity software (Google, v3.4) coordinated agent communication. </w:t>
      </w:r>
      <w:r w:rsidR="00D93F37" w:rsidRPr="00D93F37">
        <w:rPr>
          <w:rFonts w:ascii="Book Antiqua" w:eastAsia="Book Antiqua" w:hAnsi="Book Antiqua" w:cs="Book Antiqua"/>
          <w:bCs/>
          <w:sz w:val="24"/>
          <w:szCs w:val="24"/>
        </w:rPr>
        <w:t>The agentic AI pipeline was executed locally on a standard consumer laptop rather than a high</w:t>
      </w:r>
      <w:r w:rsidR="00D93F37" w:rsidRPr="00D93F37">
        <w:rPr>
          <w:rFonts w:ascii="Times New Roman" w:eastAsia="Book Antiqua" w:hAnsi="Times New Roman" w:cs="Times New Roman"/>
          <w:bCs/>
          <w:sz w:val="24"/>
          <w:szCs w:val="24"/>
        </w:rPr>
        <w:t>‑</w:t>
      </w:r>
      <w:r w:rsidR="00D93F37" w:rsidRPr="00D93F37">
        <w:rPr>
          <w:rFonts w:ascii="Book Antiqua" w:eastAsia="Book Antiqua" w:hAnsi="Book Antiqua" w:cs="Book Antiqua"/>
          <w:bCs/>
          <w:sz w:val="24"/>
          <w:szCs w:val="24"/>
        </w:rPr>
        <w:t>performance workstation. The configuration included 16 GB of RAM, an integrated graphics processor with 8 GB capacity, and a solid</w:t>
      </w:r>
      <w:r w:rsidR="00D93F37" w:rsidRPr="00D93F37">
        <w:rPr>
          <w:rFonts w:ascii="Times New Roman" w:eastAsia="Book Antiqua" w:hAnsi="Times New Roman" w:cs="Times New Roman"/>
          <w:bCs/>
          <w:sz w:val="24"/>
          <w:szCs w:val="24"/>
        </w:rPr>
        <w:t>‑</w:t>
      </w:r>
      <w:r w:rsidR="00D93F37" w:rsidRPr="00D93F37">
        <w:rPr>
          <w:rFonts w:ascii="Book Antiqua" w:eastAsia="Book Antiqua" w:hAnsi="Book Antiqua" w:cs="Book Antiqua"/>
          <w:bCs/>
          <w:sz w:val="24"/>
          <w:szCs w:val="24"/>
        </w:rPr>
        <w:t>state drive for storage. The system operated on a stable 5G network connection, which ensured rapid communication between agents and efficient handling of large bibliographic datasets.</w:t>
      </w:r>
      <w:r w:rsidRPr="007F51CB">
        <w:rPr>
          <w:rFonts w:ascii="Book Antiqua" w:eastAsia="Book Antiqua" w:hAnsi="Book Antiqua" w:cs="Book Antiqua"/>
          <w:bCs/>
          <w:sz w:val="24"/>
          <w:szCs w:val="24"/>
        </w:rPr>
        <w:t xml:space="preserve"> Reporting these specifications ensures reproducibility and provides context for computational costs.</w:t>
      </w:r>
    </w:p>
    <w:p w14:paraId="0000002D" w14:textId="2049D2DF" w:rsidR="00B64C21" w:rsidRDefault="005E1AA8">
      <w:pPr>
        <w:rPr>
          <w:rFonts w:ascii="Book Antiqua" w:eastAsia="Book Antiqua" w:hAnsi="Book Antiqua" w:cs="Book Antiqua"/>
          <w:b/>
          <w:bCs/>
          <w:sz w:val="24"/>
          <w:szCs w:val="24"/>
        </w:rPr>
      </w:pPr>
      <w:r>
        <w:rPr>
          <w:rFonts w:ascii="Book Antiqua" w:eastAsia="Book Antiqua" w:hAnsi="Book Antiqua" w:cs="Book Antiqua"/>
          <w:b/>
          <w:bCs/>
          <w:sz w:val="24"/>
          <w:szCs w:val="24"/>
        </w:rPr>
        <w:t xml:space="preserve">Results </w:t>
      </w:r>
    </w:p>
    <w:p w14:paraId="0000002E" w14:textId="77777777" w:rsidR="00B64C21" w:rsidRDefault="005E1AA8">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Dataset and Workflow</w:t>
      </w:r>
    </w:p>
    <w:p w14:paraId="0000002F" w14:textId="3BC688DF"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lastRenderedPageBreak/>
        <w:t>Across the three systematic reviews included in this validation study, a total of 6,214 bibliographic records were retrieved from PubMed, Embase, Web of Science, and the Cochrane Library. After import into the agentic AI pipeline, records were processed sequentially through deduplication, title and abstract screening, full</w:t>
      </w:r>
      <w:r>
        <w:rPr>
          <w:rFonts w:ascii="Times New Roman" w:eastAsia="Times New Roman" w:hAnsi="Times New Roman" w:cs="Times New Roman"/>
          <w:sz w:val="24"/>
          <w:szCs w:val="24"/>
        </w:rPr>
        <w:t>‑</w:t>
      </w:r>
      <w:r>
        <w:rPr>
          <w:rFonts w:ascii="Book Antiqua" w:eastAsia="Book Antiqua" w:hAnsi="Book Antiqua" w:cs="Book Antiqua"/>
          <w:sz w:val="24"/>
          <w:szCs w:val="24"/>
        </w:rPr>
        <w:t>text screening, and structured data extraction. All outputs were exported into Google Sheets for verification and adjudication.</w:t>
      </w:r>
      <w:r w:rsidR="000B0D0D">
        <w:rPr>
          <w:rFonts w:ascii="Book Antiqua" w:eastAsia="Book Antiqua" w:hAnsi="Book Antiqua" w:cs="Book Antiqua"/>
          <w:sz w:val="24"/>
          <w:szCs w:val="24"/>
        </w:rPr>
        <w:t xml:space="preserve"> </w:t>
      </w:r>
      <w:r w:rsidR="000B0D0D" w:rsidRPr="000B0D0D">
        <w:rPr>
          <w:rFonts w:ascii="Book Antiqua" w:eastAsia="Book Antiqua" w:hAnsi="Book Antiqua" w:cs="Book Antiqua"/>
          <w:sz w:val="24"/>
          <w:szCs w:val="24"/>
        </w:rPr>
        <w:t>Importantly, the validation was performed by independent reviewers not involved in system development, ensuring that accuracy metrics were unbiased and free from circularity.</w:t>
      </w:r>
    </w:p>
    <w:p w14:paraId="00000030" w14:textId="77777777" w:rsidR="00B64C21" w:rsidRDefault="005E1AA8">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Deduplication Performance</w:t>
      </w:r>
    </w:p>
    <w:p w14:paraId="00000031" w14:textId="2041A46F"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The deduplication agent identified 1,032 duplicate records using DOI matching, title similarity, and author/year concordance.</w:t>
      </w:r>
      <w:r w:rsidR="000B0D0D">
        <w:rPr>
          <w:rFonts w:ascii="Book Antiqua" w:eastAsia="Book Antiqua" w:hAnsi="Book Antiqua" w:cs="Book Antiqua"/>
          <w:sz w:val="24"/>
          <w:szCs w:val="24"/>
        </w:rPr>
        <w:t xml:space="preserve"> </w:t>
      </w:r>
      <w:r>
        <w:rPr>
          <w:rFonts w:ascii="Book Antiqua" w:eastAsia="Book Antiqua" w:hAnsi="Book Antiqua" w:cs="Book Antiqua"/>
          <w:sz w:val="24"/>
          <w:szCs w:val="24"/>
        </w:rPr>
        <w:t xml:space="preserve">Validation against human reviewers demonstrated accuracy of 98.7%, with Cohen’s κ = 0.96 (0.94–0.98), indicating almost perfect agreement. </w:t>
      </w:r>
      <w:r w:rsidR="000B0D0D" w:rsidRPr="000B0D0D">
        <w:rPr>
          <w:rFonts w:ascii="Book Antiqua" w:eastAsia="Book Antiqua" w:hAnsi="Book Antiqua" w:cs="Book Antiqua"/>
          <w:sz w:val="24"/>
          <w:szCs w:val="24"/>
        </w:rPr>
        <w:t xml:space="preserve">This performance was comparable to established reference management tools. In cases of uncertainty, duplicates were retained to avoid inadvertent exclusion, and justification logs documented the rationale. </w:t>
      </w:r>
      <w:r>
        <w:rPr>
          <w:rFonts w:ascii="Book Antiqua" w:eastAsia="Book Antiqua" w:hAnsi="Book Antiqua" w:cs="Book Antiqua"/>
          <w:sz w:val="24"/>
          <w:szCs w:val="24"/>
        </w:rPr>
        <w:t xml:space="preserve">The detailed inter-rater reliability between the human and AI agent is given in </w:t>
      </w:r>
      <w:r>
        <w:rPr>
          <w:rFonts w:ascii="Book Antiqua" w:eastAsia="Book Antiqua" w:hAnsi="Book Antiqua" w:cs="Book Antiqua"/>
          <w:b/>
          <w:bCs/>
          <w:i/>
          <w:iCs/>
          <w:sz w:val="24"/>
          <w:szCs w:val="24"/>
        </w:rPr>
        <w:t>Table 1.</w:t>
      </w:r>
      <w:r>
        <w:rPr>
          <w:rFonts w:ascii="Book Antiqua" w:eastAsia="Book Antiqua" w:hAnsi="Book Antiqua" w:cs="Book Antiqua"/>
          <w:sz w:val="24"/>
          <w:szCs w:val="24"/>
        </w:rPr>
        <w:t xml:space="preserve"> </w:t>
      </w:r>
    </w:p>
    <w:p w14:paraId="00000032" w14:textId="77777777" w:rsidR="00B64C21" w:rsidRDefault="005E1AA8">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Title and Abstract Screening</w:t>
      </w:r>
    </w:p>
    <w:p w14:paraId="00000033" w14:textId="5A95DAD2" w:rsidR="00B64C21" w:rsidRPr="000B0D0D" w:rsidRDefault="005E1AA8">
      <w:pPr>
        <w:rPr>
          <w:rFonts w:ascii="Book Antiqua" w:eastAsia="Book Antiqua" w:hAnsi="Book Antiqua" w:cs="Book Antiqua"/>
          <w:sz w:val="24"/>
          <w:szCs w:val="24"/>
        </w:rPr>
      </w:pPr>
      <w:r>
        <w:rPr>
          <w:rFonts w:ascii="Book Antiqua" w:eastAsia="Book Antiqua" w:hAnsi="Book Antiqua" w:cs="Book Antiqua"/>
          <w:sz w:val="24"/>
          <w:szCs w:val="24"/>
        </w:rPr>
        <w:t>A total of 5,182 records were subjected to title and abstract screening. While reviewers identified and excluded 4861 duplicate records, the AI agent removed 98.5% of the reviewer-identified duplicate records. The dual</w:t>
      </w:r>
      <w:r>
        <w:rPr>
          <w:rFonts w:ascii="Times New Roman" w:eastAsia="Times New Roman" w:hAnsi="Times New Roman" w:cs="Times New Roman"/>
          <w:sz w:val="24"/>
          <w:szCs w:val="24"/>
        </w:rPr>
        <w:t>‑</w:t>
      </w:r>
      <w:r>
        <w:rPr>
          <w:rFonts w:ascii="Book Antiqua" w:eastAsia="Book Antiqua" w:hAnsi="Book Antiqua" w:cs="Book Antiqua"/>
          <w:sz w:val="24"/>
          <w:szCs w:val="24"/>
        </w:rPr>
        <w:t>pass strategy yielded κ = 0.9</w:t>
      </w:r>
      <w:r w:rsidR="000B0D0D">
        <w:rPr>
          <w:rFonts w:ascii="Book Antiqua" w:eastAsia="Book Antiqua" w:hAnsi="Book Antiqua" w:cs="Book Antiqua"/>
          <w:sz w:val="24"/>
          <w:szCs w:val="24"/>
        </w:rPr>
        <w:t>1</w:t>
      </w:r>
      <w:r>
        <w:rPr>
          <w:rFonts w:ascii="Book Antiqua" w:eastAsia="Book Antiqua" w:hAnsi="Book Antiqua" w:cs="Book Antiqua"/>
          <w:sz w:val="24"/>
          <w:szCs w:val="24"/>
        </w:rPr>
        <w:t xml:space="preserve"> (0.</w:t>
      </w:r>
      <w:r w:rsidR="000B0D0D">
        <w:rPr>
          <w:rFonts w:ascii="Book Antiqua" w:eastAsia="Book Antiqua" w:hAnsi="Book Antiqua" w:cs="Book Antiqua"/>
          <w:sz w:val="24"/>
          <w:szCs w:val="24"/>
        </w:rPr>
        <w:t>89</w:t>
      </w:r>
      <w:r>
        <w:rPr>
          <w:rFonts w:ascii="Book Antiqua" w:eastAsia="Book Antiqua" w:hAnsi="Book Antiqua" w:cs="Book Antiqua"/>
          <w:sz w:val="24"/>
          <w:szCs w:val="24"/>
        </w:rPr>
        <w:t>–0.9</w:t>
      </w:r>
      <w:r w:rsidR="000B0D0D">
        <w:rPr>
          <w:rFonts w:ascii="Book Antiqua" w:eastAsia="Book Antiqua" w:hAnsi="Book Antiqua" w:cs="Book Antiqua"/>
          <w:sz w:val="24"/>
          <w:szCs w:val="24"/>
        </w:rPr>
        <w:t>3</w:t>
      </w:r>
      <w:r>
        <w:rPr>
          <w:rFonts w:ascii="Book Antiqua" w:eastAsia="Book Antiqua" w:hAnsi="Book Antiqua" w:cs="Book Antiqua"/>
          <w:sz w:val="24"/>
          <w:szCs w:val="24"/>
        </w:rPr>
        <w:t>) compared with human reviewers, reflecting strong concordance. The AI pipeline reduced the number of records requiring full</w:t>
      </w:r>
      <w:r>
        <w:rPr>
          <w:rFonts w:ascii="Times New Roman" w:eastAsia="Times New Roman" w:hAnsi="Times New Roman" w:cs="Times New Roman"/>
          <w:sz w:val="24"/>
          <w:szCs w:val="24"/>
        </w:rPr>
        <w:t>‑</w:t>
      </w:r>
      <w:r>
        <w:rPr>
          <w:rFonts w:ascii="Book Antiqua" w:eastAsia="Book Antiqua" w:hAnsi="Book Antiqua" w:cs="Book Antiqua"/>
          <w:sz w:val="24"/>
          <w:szCs w:val="24"/>
        </w:rPr>
        <w:t xml:space="preserve">text review by 82%, substantially decreasing reviewer workload as shown in </w:t>
      </w:r>
      <w:r>
        <w:rPr>
          <w:rFonts w:ascii="Book Antiqua" w:eastAsia="Book Antiqua" w:hAnsi="Book Antiqua" w:cs="Book Antiqua"/>
          <w:b/>
          <w:bCs/>
          <w:i/>
          <w:iCs/>
          <w:sz w:val="24"/>
          <w:szCs w:val="24"/>
        </w:rPr>
        <w:t>Table 1.</w:t>
      </w:r>
      <w:r w:rsidR="000B0D0D">
        <w:rPr>
          <w:rFonts w:ascii="Book Antiqua" w:eastAsia="Book Antiqua" w:hAnsi="Book Antiqua" w:cs="Book Antiqua"/>
          <w:b/>
          <w:bCs/>
          <w:i/>
          <w:iCs/>
          <w:sz w:val="24"/>
          <w:szCs w:val="24"/>
        </w:rPr>
        <w:t xml:space="preserve"> </w:t>
      </w:r>
      <w:r w:rsidR="000B0D0D">
        <w:rPr>
          <w:rFonts w:ascii="Book Antiqua" w:eastAsia="Book Antiqua" w:hAnsi="Book Antiqua" w:cs="Book Antiqua"/>
          <w:bCs/>
          <w:iCs/>
          <w:sz w:val="24"/>
          <w:szCs w:val="24"/>
        </w:rPr>
        <w:t>The s</w:t>
      </w:r>
      <w:r w:rsidR="000B0D0D" w:rsidRPr="000B0D0D">
        <w:rPr>
          <w:rFonts w:ascii="Book Antiqua" w:eastAsia="Book Antiqua" w:hAnsi="Book Antiqua" w:cs="Book Antiqua"/>
          <w:bCs/>
          <w:iCs/>
          <w:sz w:val="24"/>
          <w:szCs w:val="24"/>
        </w:rPr>
        <w:t>creening robustness was enhanced through cross</w:t>
      </w:r>
      <w:r w:rsidR="000B0D0D" w:rsidRPr="000B0D0D">
        <w:rPr>
          <w:rFonts w:ascii="Times New Roman" w:eastAsia="Book Antiqua" w:hAnsi="Times New Roman" w:cs="Times New Roman"/>
          <w:bCs/>
          <w:iCs/>
          <w:sz w:val="24"/>
          <w:szCs w:val="24"/>
        </w:rPr>
        <w:t>‑</w:t>
      </w:r>
      <w:r w:rsidR="000B0D0D" w:rsidRPr="000B0D0D">
        <w:rPr>
          <w:rFonts w:ascii="Book Antiqua" w:eastAsia="Book Antiqua" w:hAnsi="Book Antiqua" w:cs="Book Antiqua"/>
          <w:bCs/>
          <w:iCs/>
          <w:sz w:val="24"/>
          <w:szCs w:val="24"/>
        </w:rPr>
        <w:t xml:space="preserve">validation and stratified sampling. Outputs were </w:t>
      </w:r>
      <w:r w:rsidR="000B0D0D">
        <w:rPr>
          <w:rFonts w:ascii="Book Antiqua" w:eastAsia="Book Antiqua" w:hAnsi="Book Antiqua" w:cs="Book Antiqua"/>
          <w:bCs/>
          <w:iCs/>
          <w:sz w:val="24"/>
          <w:szCs w:val="24"/>
        </w:rPr>
        <w:t>partitioned by publication year</w:t>
      </w:r>
      <w:r w:rsidR="000B0D0D" w:rsidRPr="000B0D0D">
        <w:rPr>
          <w:rFonts w:ascii="Book Antiqua" w:eastAsia="Book Antiqua" w:hAnsi="Book Antiqua" w:cs="Book Antiqua"/>
          <w:bCs/>
          <w:iCs/>
          <w:sz w:val="24"/>
          <w:szCs w:val="24"/>
        </w:rPr>
        <w:t>, then independently adjudicated by separate reviewers. This ensured that accuracy was validated against human ground truth</w:t>
      </w:r>
      <w:r w:rsidR="000B0D0D">
        <w:rPr>
          <w:rFonts w:ascii="Book Antiqua" w:eastAsia="Book Antiqua" w:hAnsi="Book Antiqua" w:cs="Book Antiqua"/>
          <w:bCs/>
          <w:iCs/>
          <w:sz w:val="24"/>
          <w:szCs w:val="24"/>
        </w:rPr>
        <w:t>.</w:t>
      </w:r>
      <w:r w:rsidR="000B0D0D" w:rsidRPr="000B0D0D">
        <w:rPr>
          <w:rFonts w:ascii="Book Antiqua" w:eastAsia="Book Antiqua" w:hAnsi="Book Antiqua" w:cs="Book Antiqua"/>
          <w:bCs/>
          <w:iCs/>
          <w:sz w:val="24"/>
          <w:szCs w:val="24"/>
        </w:rPr>
        <w:t xml:space="preserve"> </w:t>
      </w:r>
    </w:p>
    <w:p w14:paraId="00000034" w14:textId="77777777" w:rsidR="00B64C21" w:rsidRDefault="005E1AA8">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Full</w:t>
      </w:r>
      <w:r>
        <w:rPr>
          <w:rFonts w:ascii="Times New Roman" w:eastAsia="Times New Roman" w:hAnsi="Times New Roman" w:cs="Times New Roman"/>
          <w:b/>
          <w:bCs/>
          <w:i/>
          <w:iCs/>
          <w:sz w:val="24"/>
          <w:szCs w:val="24"/>
        </w:rPr>
        <w:t>‑</w:t>
      </w:r>
      <w:r>
        <w:rPr>
          <w:rFonts w:ascii="Book Antiqua" w:eastAsia="Book Antiqua" w:hAnsi="Book Antiqua" w:cs="Book Antiqua"/>
          <w:b/>
          <w:bCs/>
          <w:i/>
          <w:iCs/>
          <w:sz w:val="24"/>
          <w:szCs w:val="24"/>
        </w:rPr>
        <w:t>Text Screening</w:t>
      </w:r>
    </w:p>
    <w:p w14:paraId="00000035" w14:textId="77777777"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Full</w:t>
      </w:r>
      <w:r>
        <w:rPr>
          <w:rFonts w:ascii="Times New Roman" w:eastAsia="Times New Roman" w:hAnsi="Times New Roman" w:cs="Times New Roman"/>
          <w:sz w:val="24"/>
          <w:szCs w:val="24"/>
        </w:rPr>
        <w:t>‑</w:t>
      </w:r>
      <w:r>
        <w:rPr>
          <w:rFonts w:ascii="Book Antiqua" w:eastAsia="Book Antiqua" w:hAnsi="Book Antiqua" w:cs="Book Antiqua"/>
          <w:sz w:val="24"/>
          <w:szCs w:val="24"/>
        </w:rPr>
        <w:t>text screening was conducted exclusively by human reviewers. Of the 329 records that progressed to this stage, 72 studies met the inclusion criteria. AI agents were not applied here, but the verification agent ensured that all adjudication logs were complete and traceable.</w:t>
      </w:r>
    </w:p>
    <w:p w14:paraId="00000036" w14:textId="77777777" w:rsidR="00B64C21" w:rsidRDefault="005E1AA8">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Structured Data Extraction</w:t>
      </w:r>
    </w:p>
    <w:p w14:paraId="00000037" w14:textId="1F41DAD1" w:rsidR="00B64C21" w:rsidRDefault="005E1AA8" w:rsidP="000B0D0D">
      <w:pPr>
        <w:rPr>
          <w:rFonts w:ascii="Book Antiqua" w:eastAsia="Book Antiqua" w:hAnsi="Book Antiqua" w:cs="Book Antiqua"/>
          <w:sz w:val="24"/>
          <w:szCs w:val="24"/>
        </w:rPr>
      </w:pPr>
      <w:r>
        <w:rPr>
          <w:rFonts w:ascii="Book Antiqua" w:eastAsia="Book Antiqua" w:hAnsi="Book Antiqua" w:cs="Book Antiqua"/>
          <w:sz w:val="24"/>
          <w:szCs w:val="24"/>
        </w:rPr>
        <w:t>The extraction agent processed the 72 included studies, capturing structured data fields such as sample sizes, binary outcomes, and continuous measures with standard deviations that amounted to 1550 total data fields. Dual</w:t>
      </w:r>
      <w:r>
        <w:rPr>
          <w:rFonts w:ascii="Times New Roman" w:eastAsia="Times New Roman" w:hAnsi="Times New Roman" w:cs="Times New Roman"/>
          <w:sz w:val="24"/>
          <w:szCs w:val="24"/>
        </w:rPr>
        <w:t>‑</w:t>
      </w:r>
      <w:r>
        <w:rPr>
          <w:rFonts w:ascii="Book Antiqua" w:eastAsia="Book Antiqua" w:hAnsi="Book Antiqua" w:cs="Book Antiqua"/>
          <w:sz w:val="24"/>
          <w:szCs w:val="24"/>
        </w:rPr>
        <w:t>pass extraction yielded κ = 0.87 (0.86–0.88) compared with human reviewers with 93% concordance, representing substantial agreement. Justification logs were generated for 6.7% of entries with missing or ambiguous data, all of which were directed to human adjudication.</w:t>
      </w:r>
      <w:r w:rsidR="000B0D0D">
        <w:rPr>
          <w:rFonts w:ascii="Book Antiqua" w:eastAsia="Book Antiqua" w:hAnsi="Book Antiqua" w:cs="Book Antiqua"/>
          <w:sz w:val="24"/>
          <w:szCs w:val="24"/>
        </w:rPr>
        <w:t xml:space="preserve"> </w:t>
      </w:r>
      <w:r w:rsidR="002C6441">
        <w:rPr>
          <w:rFonts w:ascii="Book Antiqua" w:eastAsia="Book Antiqua" w:hAnsi="Book Antiqua" w:cs="Book Antiqua"/>
          <w:sz w:val="24"/>
          <w:szCs w:val="24"/>
        </w:rPr>
        <w:t xml:space="preserve">Absent standard deviations, merged table cells, or incomplete </w:t>
      </w:r>
      <w:r w:rsidR="002C6441">
        <w:rPr>
          <w:rFonts w:ascii="Book Antiqua" w:eastAsia="Book Antiqua" w:hAnsi="Book Antiqua" w:cs="Book Antiqua"/>
          <w:sz w:val="24"/>
          <w:szCs w:val="24"/>
        </w:rPr>
        <w:lastRenderedPageBreak/>
        <w:t xml:space="preserve">subgroup reporting </w:t>
      </w:r>
      <w:proofErr w:type="gramStart"/>
      <w:r w:rsidR="002C6441">
        <w:rPr>
          <w:rFonts w:ascii="Book Antiqua" w:eastAsia="Book Antiqua" w:hAnsi="Book Antiqua" w:cs="Book Antiqua"/>
          <w:sz w:val="24"/>
          <w:szCs w:val="24"/>
        </w:rPr>
        <w:t>most commonly triggered</w:t>
      </w:r>
      <w:proofErr w:type="gramEnd"/>
      <w:r w:rsidR="002C6441">
        <w:rPr>
          <w:rFonts w:ascii="Book Antiqua" w:eastAsia="Book Antiqua" w:hAnsi="Book Antiqua" w:cs="Book Antiqua"/>
          <w:sz w:val="24"/>
          <w:szCs w:val="24"/>
        </w:rPr>
        <w:t xml:space="preserve"> missing data logs (6.7%)</w:t>
      </w:r>
      <w:r w:rsidR="000B0D0D" w:rsidRPr="000B0D0D">
        <w:rPr>
          <w:rFonts w:ascii="Book Antiqua" w:eastAsia="Book Antiqua" w:hAnsi="Book Antiqua" w:cs="Book Antiqua"/>
          <w:sz w:val="24"/>
          <w:szCs w:val="24"/>
        </w:rPr>
        <w:t>. For example, several studies reported mean values without variance measures, requiring human adjudication.</w:t>
      </w:r>
      <w:r w:rsidR="000B0D0D">
        <w:rPr>
          <w:rFonts w:ascii="Book Antiqua" w:eastAsia="Book Antiqua" w:hAnsi="Book Antiqua" w:cs="Book Antiqua"/>
          <w:sz w:val="24"/>
          <w:szCs w:val="24"/>
        </w:rPr>
        <w:t xml:space="preserve"> </w:t>
      </w:r>
    </w:p>
    <w:p w14:paraId="00000038" w14:textId="77777777" w:rsidR="00B64C21" w:rsidRDefault="005E1AA8">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Verification and Human Oversight</w:t>
      </w:r>
    </w:p>
    <w:p w14:paraId="00000039" w14:textId="0B261E02"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 xml:space="preserve">The verification agent flagged 104 discrepancies across deduplication, screening, and extraction tasks. All were reviewed by dual independent human adjudicators, with consensus reached in every case. </w:t>
      </w:r>
      <w:r w:rsidR="00422756" w:rsidRPr="00422756">
        <w:rPr>
          <w:rFonts w:ascii="Book Antiqua" w:eastAsia="Book Antiqua" w:hAnsi="Book Antiqua" w:cs="Book Antiqua"/>
          <w:sz w:val="24"/>
          <w:szCs w:val="24"/>
        </w:rPr>
        <w:t>Audit trails confirmed that no fabricated data were introduced; every extracted element was traceable to its source document.</w:t>
      </w:r>
      <w:r w:rsidR="00422756">
        <w:rPr>
          <w:rFonts w:ascii="Book Antiqua" w:eastAsia="Book Antiqua" w:hAnsi="Book Antiqua" w:cs="Book Antiqua"/>
          <w:sz w:val="24"/>
          <w:szCs w:val="24"/>
        </w:rPr>
        <w:t xml:space="preserve"> </w:t>
      </w:r>
      <w:r>
        <w:rPr>
          <w:rFonts w:ascii="Book Antiqua" w:eastAsia="Book Antiqua" w:hAnsi="Book Antiqua" w:cs="Book Antiqua"/>
          <w:sz w:val="24"/>
          <w:szCs w:val="24"/>
        </w:rPr>
        <w:t>Of the 104 flagged discrepancies from the data extraction, 15 were found to be critical (0.9% of the total data fields extracted)</w:t>
      </w:r>
      <w:r w:rsidR="00422756">
        <w:rPr>
          <w:rFonts w:ascii="Book Antiqua" w:eastAsia="Book Antiqua" w:hAnsi="Book Antiqua" w:cs="Book Antiqua"/>
          <w:sz w:val="24"/>
          <w:szCs w:val="24"/>
        </w:rPr>
        <w:t xml:space="preserve">. </w:t>
      </w:r>
      <w:r w:rsidR="00422756" w:rsidRPr="00422756">
        <w:rPr>
          <w:rFonts w:ascii="Book Antiqua" w:eastAsia="Book Antiqua" w:hAnsi="Book Antiqua" w:cs="Book Antiqua"/>
          <w:sz w:val="24"/>
          <w:szCs w:val="24"/>
        </w:rPr>
        <w:t xml:space="preserve">Examples include swapped cohorts (e.g., intervention vs. control </w:t>
      </w:r>
      <w:proofErr w:type="spellStart"/>
      <w:r w:rsidR="00422756" w:rsidRPr="00422756">
        <w:rPr>
          <w:rFonts w:ascii="Book Antiqua" w:eastAsia="Book Antiqua" w:hAnsi="Book Antiqua" w:cs="Book Antiqua"/>
          <w:sz w:val="24"/>
          <w:szCs w:val="24"/>
        </w:rPr>
        <w:t>mislabeling</w:t>
      </w:r>
      <w:proofErr w:type="spellEnd"/>
      <w:r w:rsidR="00422756" w:rsidRPr="00422756">
        <w:rPr>
          <w:rFonts w:ascii="Book Antiqua" w:eastAsia="Book Antiqua" w:hAnsi="Book Antiqua" w:cs="Book Antiqua"/>
          <w:sz w:val="24"/>
          <w:szCs w:val="24"/>
        </w:rPr>
        <w:t xml:space="preserve">) and misinterpretation of composite outcomes. These were consistently flagged by the verification agent and corrected by human reviewers. </w:t>
      </w:r>
    </w:p>
    <w:p w14:paraId="0000003A" w14:textId="77777777" w:rsidR="00B64C21" w:rsidRDefault="005E1AA8">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Time Efficiency</w:t>
      </w:r>
    </w:p>
    <w:p w14:paraId="0000003B" w14:textId="77777777"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 xml:space="preserve">The agentic AI framework significantly reduced reviewer time requirements by 88.51% (85.8%-91.5%), corresponding to a mean saving of 19.5 hours per review (p&lt;0.001), as shown in </w:t>
      </w:r>
      <w:r>
        <w:rPr>
          <w:rFonts w:ascii="Book Antiqua" w:eastAsia="Book Antiqua" w:hAnsi="Book Antiqua" w:cs="Book Antiqua"/>
          <w:b/>
          <w:bCs/>
          <w:i/>
          <w:iCs/>
          <w:sz w:val="24"/>
          <w:szCs w:val="24"/>
        </w:rPr>
        <w:t>Table 1</w:t>
      </w:r>
      <w:r>
        <w:rPr>
          <w:rFonts w:ascii="Book Antiqua" w:eastAsia="Book Antiqua" w:hAnsi="Book Antiqua" w:cs="Book Antiqua"/>
          <w:sz w:val="24"/>
          <w:szCs w:val="24"/>
        </w:rPr>
        <w:t>. Time efficiency was most pronounced in the data extraction phase.</w:t>
      </w:r>
    </w:p>
    <w:p w14:paraId="0000003C" w14:textId="77777777" w:rsidR="00B64C21" w:rsidRDefault="005E1AA8">
      <w:pPr>
        <w:rPr>
          <w:rFonts w:ascii="Book Antiqua" w:eastAsia="Book Antiqua" w:hAnsi="Book Antiqua" w:cs="Book Antiqua"/>
          <w:b/>
          <w:bCs/>
          <w:i/>
          <w:iCs/>
          <w:sz w:val="24"/>
          <w:szCs w:val="24"/>
        </w:rPr>
      </w:pPr>
      <w:r>
        <w:rPr>
          <w:rFonts w:ascii="Book Antiqua" w:eastAsia="Book Antiqua" w:hAnsi="Book Antiqua" w:cs="Book Antiqua"/>
          <w:b/>
          <w:bCs/>
          <w:i/>
          <w:iCs/>
          <w:sz w:val="24"/>
          <w:szCs w:val="24"/>
        </w:rPr>
        <w:t>Error Classification</w:t>
      </w:r>
    </w:p>
    <w:p w14:paraId="0000003D" w14:textId="63AC306B"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Discrepancies were categorised as minor or clinically critical. Minor discrepancies accounted for 86% of flagged outputs, typically involving formatting inconsistencies</w:t>
      </w:r>
      <w:r w:rsidR="002C6441">
        <w:rPr>
          <w:rFonts w:ascii="Book Antiqua" w:eastAsia="Book Antiqua" w:hAnsi="Book Antiqua" w:cs="Book Antiqua"/>
          <w:sz w:val="24"/>
          <w:szCs w:val="24"/>
        </w:rPr>
        <w:t>, ambiguous abbreviations,</w:t>
      </w:r>
      <w:r>
        <w:rPr>
          <w:rFonts w:ascii="Book Antiqua" w:eastAsia="Book Antiqua" w:hAnsi="Book Antiqua" w:cs="Book Antiqua"/>
          <w:sz w:val="24"/>
          <w:szCs w:val="24"/>
        </w:rPr>
        <w:t xml:space="preserve"> or incomplete metadata. Clinically critical errors</w:t>
      </w:r>
      <w:r w:rsidR="002C6441">
        <w:rPr>
          <w:rFonts w:ascii="Book Antiqua" w:eastAsia="Book Antiqua" w:hAnsi="Book Antiqua" w:cs="Book Antiqua"/>
          <w:sz w:val="24"/>
          <w:szCs w:val="24"/>
        </w:rPr>
        <w:t xml:space="preserve"> (14%)</w:t>
      </w:r>
      <w:r>
        <w:rPr>
          <w:rFonts w:ascii="Book Antiqua" w:eastAsia="Book Antiqua" w:hAnsi="Book Antiqua" w:cs="Book Antiqua"/>
          <w:sz w:val="24"/>
          <w:szCs w:val="24"/>
        </w:rPr>
        <w:t xml:space="preserve"> were rare</w:t>
      </w:r>
      <w:r w:rsidR="002C6441">
        <w:rPr>
          <w:rFonts w:ascii="Book Antiqua" w:eastAsia="Book Antiqua" w:hAnsi="Book Antiqua" w:cs="Book Antiqua"/>
          <w:sz w:val="24"/>
          <w:szCs w:val="24"/>
        </w:rPr>
        <w:t>,</w:t>
      </w:r>
      <w:r>
        <w:rPr>
          <w:rFonts w:ascii="Book Antiqua" w:eastAsia="Book Antiqua" w:hAnsi="Book Antiqua" w:cs="Book Antiqua"/>
          <w:sz w:val="24"/>
          <w:szCs w:val="24"/>
        </w:rPr>
        <w:t xml:space="preserve"> 0.9% of total outputs</w:t>
      </w:r>
      <w:r w:rsidR="002C6441">
        <w:rPr>
          <w:rFonts w:ascii="Book Antiqua" w:eastAsia="Book Antiqua" w:hAnsi="Book Antiqua" w:cs="Book Antiqua"/>
          <w:sz w:val="24"/>
          <w:szCs w:val="24"/>
        </w:rPr>
        <w:t>, typically involving m</w:t>
      </w:r>
      <w:r w:rsidR="002C6441" w:rsidRPr="002C6441">
        <w:rPr>
          <w:rFonts w:ascii="Book Antiqua" w:eastAsia="Book Antiqua" w:hAnsi="Book Antiqua" w:cs="Book Antiqua"/>
          <w:sz w:val="24"/>
          <w:szCs w:val="24"/>
        </w:rPr>
        <w:t>islabelling cohorts, incorrect denominators, or omission of adverse events. For example, misclassifi</w:t>
      </w:r>
      <w:r w:rsidR="002C6441">
        <w:rPr>
          <w:rFonts w:ascii="Book Antiqua" w:eastAsia="Book Antiqua" w:hAnsi="Book Antiqua" w:cs="Book Antiqua"/>
          <w:sz w:val="24"/>
          <w:szCs w:val="24"/>
        </w:rPr>
        <w:t>cation of</w:t>
      </w:r>
      <w:r w:rsidR="002C6441" w:rsidRPr="002C6441">
        <w:rPr>
          <w:rFonts w:ascii="Book Antiqua" w:eastAsia="Book Antiqua" w:hAnsi="Book Antiqua" w:cs="Book Antiqua"/>
          <w:sz w:val="24"/>
          <w:szCs w:val="24"/>
        </w:rPr>
        <w:t xml:space="preserve"> “revision surgery” as a primary outcome rather than a secondary endpoint</w:t>
      </w:r>
      <w:r w:rsidR="002C6441">
        <w:rPr>
          <w:rFonts w:ascii="Book Antiqua" w:eastAsia="Book Antiqua" w:hAnsi="Book Antiqua" w:cs="Book Antiqua"/>
          <w:sz w:val="24"/>
          <w:szCs w:val="24"/>
        </w:rPr>
        <w:t xml:space="preserve"> could have altered the </w:t>
      </w:r>
      <w:r w:rsidR="002C6441" w:rsidRPr="002C6441">
        <w:rPr>
          <w:rFonts w:ascii="Book Antiqua" w:eastAsia="Book Antiqua" w:hAnsi="Book Antiqua" w:cs="Book Antiqua"/>
          <w:sz w:val="24"/>
          <w:szCs w:val="24"/>
        </w:rPr>
        <w:t>interpretation. These examples highlight the necessity of the human</w:t>
      </w:r>
      <w:r w:rsidR="002C6441" w:rsidRPr="002C6441">
        <w:rPr>
          <w:rFonts w:ascii="Times New Roman" w:eastAsia="Book Antiqua" w:hAnsi="Times New Roman" w:cs="Times New Roman"/>
          <w:sz w:val="24"/>
          <w:szCs w:val="24"/>
        </w:rPr>
        <w:t>‑</w:t>
      </w:r>
      <w:r w:rsidR="002C6441" w:rsidRPr="002C6441">
        <w:rPr>
          <w:rFonts w:ascii="Book Antiqua" w:eastAsia="Book Antiqua" w:hAnsi="Book Antiqua" w:cs="Book Antiqua"/>
          <w:sz w:val="24"/>
          <w:szCs w:val="24"/>
        </w:rPr>
        <w:t>in</w:t>
      </w:r>
      <w:r w:rsidR="002C6441" w:rsidRPr="002C6441">
        <w:rPr>
          <w:rFonts w:ascii="Times New Roman" w:eastAsia="Book Antiqua" w:hAnsi="Times New Roman" w:cs="Times New Roman"/>
          <w:sz w:val="24"/>
          <w:szCs w:val="24"/>
        </w:rPr>
        <w:t>‑</w:t>
      </w:r>
      <w:r w:rsidR="002C6441" w:rsidRPr="002C6441">
        <w:rPr>
          <w:rFonts w:ascii="Book Antiqua" w:eastAsia="Book Antiqua" w:hAnsi="Book Antiqua" w:cs="Book Antiqua"/>
          <w:sz w:val="24"/>
          <w:szCs w:val="24"/>
        </w:rPr>
        <w:t>the</w:t>
      </w:r>
      <w:r w:rsidR="002C6441" w:rsidRPr="002C6441">
        <w:rPr>
          <w:rFonts w:ascii="Times New Roman" w:eastAsia="Book Antiqua" w:hAnsi="Times New Roman" w:cs="Times New Roman"/>
          <w:sz w:val="24"/>
          <w:szCs w:val="24"/>
        </w:rPr>
        <w:t>‑</w:t>
      </w:r>
      <w:r w:rsidR="002C6441" w:rsidRPr="002C6441">
        <w:rPr>
          <w:rFonts w:ascii="Book Antiqua" w:eastAsia="Book Antiqua" w:hAnsi="Book Antiqua" w:cs="Book Antiqua"/>
          <w:sz w:val="24"/>
          <w:szCs w:val="24"/>
        </w:rPr>
        <w:t>loop design</w:t>
      </w:r>
      <w:r>
        <w:rPr>
          <w:rFonts w:ascii="Book Antiqua" w:eastAsia="Book Antiqua" w:hAnsi="Book Antiqua" w:cs="Book Antiqua"/>
          <w:sz w:val="24"/>
          <w:szCs w:val="24"/>
        </w:rPr>
        <w:t xml:space="preserve"> and were consistently identified by the verification agent and resolved through human adjudication. </w:t>
      </w:r>
    </w:p>
    <w:p w14:paraId="0000003E" w14:textId="77777777" w:rsidR="00B64C21" w:rsidRDefault="005E1AA8">
      <w:pPr>
        <w:rPr>
          <w:rFonts w:ascii="Book Antiqua" w:eastAsia="Book Antiqua" w:hAnsi="Book Antiqua" w:cs="Book Antiqua"/>
          <w:b/>
          <w:bCs/>
          <w:sz w:val="24"/>
          <w:szCs w:val="24"/>
        </w:rPr>
      </w:pPr>
      <w:r>
        <w:rPr>
          <w:rFonts w:ascii="Book Antiqua" w:eastAsia="Book Antiqua" w:hAnsi="Book Antiqua" w:cs="Book Antiqua"/>
          <w:b/>
          <w:bCs/>
          <w:sz w:val="24"/>
          <w:szCs w:val="24"/>
        </w:rPr>
        <w:t>Discussion</w:t>
      </w:r>
    </w:p>
    <w:p w14:paraId="0000003F" w14:textId="2396CE36"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The present study demonstrates the feasibility and utility of a locally executed agentic AI framework for systematic reviews and meta</w:t>
      </w:r>
      <w:r>
        <w:rPr>
          <w:rFonts w:ascii="Times New Roman" w:eastAsia="Times New Roman" w:hAnsi="Times New Roman" w:cs="Times New Roman"/>
          <w:sz w:val="24"/>
          <w:szCs w:val="24"/>
        </w:rPr>
        <w:t>‑</w:t>
      </w:r>
      <w:r>
        <w:rPr>
          <w:rFonts w:ascii="Book Antiqua" w:eastAsia="Book Antiqua" w:hAnsi="Book Antiqua" w:cs="Book Antiqua"/>
          <w:sz w:val="24"/>
          <w:szCs w:val="24"/>
        </w:rPr>
        <w:t>analyses. By integrating multiple specialised agents—deduplication, screening, extraction, and verification—into a coordinated pipeline, the framework achieved high accuracy, strong inter</w:t>
      </w:r>
      <w:r>
        <w:rPr>
          <w:rFonts w:ascii="Times New Roman" w:eastAsia="Times New Roman" w:hAnsi="Times New Roman" w:cs="Times New Roman"/>
          <w:sz w:val="24"/>
          <w:szCs w:val="24"/>
        </w:rPr>
        <w:t>‑</w:t>
      </w:r>
      <w:r>
        <w:rPr>
          <w:rFonts w:ascii="Book Antiqua" w:eastAsia="Book Antiqua" w:hAnsi="Book Antiqua" w:cs="Book Antiqua"/>
          <w:sz w:val="24"/>
          <w:szCs w:val="24"/>
        </w:rPr>
        <w:t>rater agreement, substantial time savings, and minimal clinically critical errors. Importantly, the system was designed to operate entirely on local devices, thereby safeguarding personal data and ensuring reproducibility.</w:t>
      </w:r>
      <w:r w:rsidR="002C6441">
        <w:rPr>
          <w:rFonts w:ascii="Book Antiqua" w:eastAsia="Book Antiqua" w:hAnsi="Book Antiqua" w:cs="Book Antiqua"/>
          <w:sz w:val="24"/>
          <w:szCs w:val="24"/>
        </w:rPr>
        <w:t xml:space="preserve"> Further, </w:t>
      </w:r>
      <w:r w:rsidR="002C6441" w:rsidRPr="002C6441">
        <w:rPr>
          <w:rFonts w:ascii="Book Antiqua" w:eastAsia="Book Antiqua" w:hAnsi="Book Antiqua" w:cs="Book Antiqua"/>
          <w:sz w:val="24"/>
          <w:szCs w:val="24"/>
        </w:rPr>
        <w:t>validation was performed against independent reviewers not involved in system development, thereby avoiding circularity and ensuring that accuracy metrics reflected unbiased ground truth</w:t>
      </w:r>
      <w:r w:rsidR="002C6441">
        <w:rPr>
          <w:rFonts w:ascii="Book Antiqua" w:eastAsia="Book Antiqua" w:hAnsi="Book Antiqua" w:cs="Book Antiqua"/>
          <w:sz w:val="24"/>
          <w:szCs w:val="24"/>
        </w:rPr>
        <w:t>.</w:t>
      </w:r>
      <w:r>
        <w:rPr>
          <w:rFonts w:ascii="Book Antiqua" w:eastAsia="Book Antiqua" w:hAnsi="Book Antiqua" w:cs="Book Antiqua"/>
          <w:sz w:val="24"/>
          <w:szCs w:val="24"/>
        </w:rPr>
        <w:t xml:space="preserve"> The key outcomes of this study highlight that agentic AI can </w:t>
      </w:r>
      <w:r>
        <w:rPr>
          <w:rFonts w:ascii="Book Antiqua" w:eastAsia="Book Antiqua" w:hAnsi="Book Antiqua" w:cs="Book Antiqua"/>
          <w:sz w:val="24"/>
          <w:szCs w:val="24"/>
        </w:rPr>
        <w:lastRenderedPageBreak/>
        <w:t xml:space="preserve">substantially reduce the workload associated with evidence synthesis while maintaining methodological rigour and transparency.  </w:t>
      </w:r>
    </w:p>
    <w:p w14:paraId="00000040" w14:textId="77777777"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One of the most significant contributions of this work is the demonstration that multi</w:t>
      </w:r>
      <w:r>
        <w:rPr>
          <w:rFonts w:ascii="Times New Roman" w:eastAsia="Times New Roman" w:hAnsi="Times New Roman" w:cs="Times New Roman"/>
          <w:sz w:val="24"/>
          <w:szCs w:val="24"/>
        </w:rPr>
        <w:t>‑</w:t>
      </w:r>
      <w:r>
        <w:rPr>
          <w:rFonts w:ascii="Book Antiqua" w:eastAsia="Book Antiqua" w:hAnsi="Book Antiqua" w:cs="Book Antiqua"/>
          <w:sz w:val="24"/>
          <w:szCs w:val="24"/>
        </w:rPr>
        <w:t>agent coordination can replicate and enhance the traditional workflow of systematic reviews. Deduplication was performed with near</w:t>
      </w:r>
      <w:r>
        <w:rPr>
          <w:rFonts w:ascii="Times New Roman" w:eastAsia="Times New Roman" w:hAnsi="Times New Roman" w:cs="Times New Roman"/>
          <w:sz w:val="24"/>
          <w:szCs w:val="24"/>
        </w:rPr>
        <w:t>‑</w:t>
      </w:r>
      <w:r>
        <w:rPr>
          <w:rFonts w:ascii="Book Antiqua" w:eastAsia="Book Antiqua" w:hAnsi="Book Antiqua" w:cs="Book Antiqua"/>
          <w:sz w:val="24"/>
          <w:szCs w:val="24"/>
        </w:rPr>
        <w:t>perfect accuracy, screening achieved strong concordance with human reviewers, and structured data extraction yielded substantial agreement. The verification agent ensured that discrepancies were systematically identified and adjudicated during every stage of the review process, preventing the propagation of errors. Together, these outcomes illustrate that agentic AI can serve as a reliable partner in evidence synthesis, reducing repetitive manual tasks while preserving the integrity of clinical decision</w:t>
      </w:r>
      <w:r>
        <w:rPr>
          <w:rFonts w:ascii="Times New Roman" w:eastAsia="Times New Roman" w:hAnsi="Times New Roman" w:cs="Times New Roman"/>
          <w:sz w:val="24"/>
          <w:szCs w:val="24"/>
        </w:rPr>
        <w:t>‑</w:t>
      </w:r>
      <w:r>
        <w:rPr>
          <w:rFonts w:ascii="Book Antiqua" w:eastAsia="Book Antiqua" w:hAnsi="Book Antiqua" w:cs="Book Antiqua"/>
          <w:sz w:val="24"/>
          <w:szCs w:val="24"/>
        </w:rPr>
        <w:t xml:space="preserve">making.  </w:t>
      </w:r>
    </w:p>
    <w:p w14:paraId="00000041" w14:textId="1D24DCC8"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 xml:space="preserve">When considering the broader landscape, it is essential to acknowledge that independent software solutions already exist for each of the discrete tasks performed in this pipeline. For example, </w:t>
      </w:r>
      <w:r>
        <w:rPr>
          <w:rFonts w:ascii="Book Antiqua" w:eastAsia="Book Antiqua" w:hAnsi="Book Antiqua" w:cs="Book Antiqua"/>
          <w:i/>
          <w:iCs/>
          <w:sz w:val="24"/>
          <w:szCs w:val="24"/>
        </w:rPr>
        <w:t>EndNote</w:t>
      </w:r>
      <w:r w:rsidR="00F31B1D">
        <w:rPr>
          <w:rFonts w:ascii="Book Antiqua" w:eastAsia="Book Antiqua" w:hAnsi="Book Antiqua" w:cs="Book Antiqua"/>
          <w:sz w:val="24"/>
          <w:szCs w:val="24"/>
        </w:rPr>
        <w:t xml:space="preserve"> (Clarivate Analytics)</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{"citationID":"Gr5pp1Sv","properties":{"formattedCitation":"\\super 45\\nosupersub{}","plainCitation":"45","noteIndex":0},"citationItems":[{"id":71125,"uris":["http://zotero.org/users/4194337/items/FSTZNRAA"],"itemData":{"id":71125,"type":"article-journal","abstract":"Clarivate Analytics (formerly Thomson Reuters) released the newest version of the software-based citation management system, EndNote X9, on August 1, 2018. EndNote X9 makes research citations acces...","archive_location":"world","container-title":"Journal of Electronic Resources in Medical Libraries","ISSN":"1542-4065","language":"EN","license":"© 2019 The Author(s). Published with license by Taylor &amp; Francis Group, LLC","publisher":"Routledge","source":"www.tandfonline.com","title":"EndNote X9","URL":"https://www.tandfonline.com/doi/full/10.1080/15424065.2019.1691963","author":[{"family":"Hupe","given":"Meghan"}],"accessed":{"date-parts":[["2026",1,13]]},"issued":{"date-parts":[["2019",10,2]]}}}],"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45</w:t>
      </w:r>
      <w:r w:rsidR="003B0DAD">
        <w:rPr>
          <w:rFonts w:ascii="Book Antiqua" w:eastAsia="Book Antiqua" w:hAnsi="Book Antiqua" w:cs="Book Antiqua"/>
          <w:sz w:val="24"/>
          <w:szCs w:val="24"/>
        </w:rPr>
        <w:fldChar w:fldCharType="end"/>
      </w:r>
      <w:r>
        <w:rPr>
          <w:rFonts w:ascii="Book Antiqua" w:eastAsia="Book Antiqua" w:hAnsi="Book Antiqua" w:cs="Book Antiqua"/>
          <w:sz w:val="24"/>
          <w:szCs w:val="24"/>
        </w:rPr>
        <w:t xml:space="preserve"> and </w:t>
      </w:r>
      <w:r>
        <w:rPr>
          <w:rFonts w:ascii="Book Antiqua" w:eastAsia="Book Antiqua" w:hAnsi="Book Antiqua" w:cs="Book Antiqua"/>
          <w:i/>
          <w:iCs/>
          <w:sz w:val="24"/>
          <w:szCs w:val="24"/>
        </w:rPr>
        <w:t>Zotero</w:t>
      </w:r>
      <w:r>
        <w:rPr>
          <w:rFonts w:ascii="Book Antiqua" w:eastAsia="Book Antiqua" w:hAnsi="Book Antiqua" w:cs="Book Antiqua"/>
          <w:sz w:val="24"/>
          <w:szCs w:val="24"/>
        </w:rPr>
        <w:t xml:space="preserve"> (Corporat</w:t>
      </w:r>
      <w:r w:rsidR="00F31B1D">
        <w:rPr>
          <w:rFonts w:ascii="Book Antiqua" w:eastAsia="Book Antiqua" w:hAnsi="Book Antiqua" w:cs="Book Antiqua"/>
          <w:sz w:val="24"/>
          <w:szCs w:val="24"/>
        </w:rPr>
        <w:t>ion for Digital Scholarship)</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{"citationID":"hY8347aM","properties":{"formattedCitation":"\\super 46\\nosupersub{}","plainCitation":"46","noteIndex":0},"citationItems":[{"id":71124,"uris":["http://zotero.org/users/4194337/items/9IHZF9P8"],"itemData":{"id":71124,"type":"article-journal","container-title":"Journal of Pharmacology &amp; Pharmacotherapeutics","DOI":"10.4103/0976-500X.85940","ISSN":"0976-500X","issue":"4","journalAbbreviation":"J Pharmacol Pharmacother","page":"303-305","PMID":"22025866","PMCID":"PMC3198533","source":"PubMed Central","title":"Zotero: A bibliographic assistant to researcher","title-short":"Zotero","volume":"2","author":[{"family":"Ahmed","given":"K. K. Mueen"},{"family":"Al Dhubaib","given":"Bandar E."}],"issued":{"date-parts":[["2011"]]}}}],"schema":"https://github.com/citation-style-language/schema/raw/master/csl-citation.json"}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46</w:t>
      </w:r>
      <w:r w:rsidR="003B0DAD">
        <w:rPr>
          <w:rFonts w:ascii="Book Antiqua" w:eastAsia="Book Antiqua" w:hAnsi="Book Antiqua" w:cs="Book Antiqua"/>
          <w:sz w:val="24"/>
          <w:szCs w:val="24"/>
        </w:rPr>
        <w:fldChar w:fldCharType="end"/>
      </w:r>
      <w:r>
        <w:rPr>
          <w:rFonts w:ascii="Book Antiqua" w:eastAsia="Book Antiqua" w:hAnsi="Book Antiqua" w:cs="Book Antiqua"/>
          <w:sz w:val="24"/>
          <w:szCs w:val="24"/>
        </w:rPr>
        <w:t xml:space="preserve"> are widely used for reference management and deduplication. Screening tasks can be performed using platforms such as </w:t>
      </w:r>
      <w:r>
        <w:rPr>
          <w:rFonts w:ascii="Book Antiqua" w:eastAsia="Book Antiqua" w:hAnsi="Book Antiqua" w:cs="Book Antiqua"/>
          <w:i/>
          <w:iCs/>
          <w:sz w:val="24"/>
          <w:szCs w:val="24"/>
        </w:rPr>
        <w:t>Covidence</w:t>
      </w:r>
      <w:r w:rsidR="00F31B1D">
        <w:rPr>
          <w:rFonts w:ascii="Book Antiqua" w:eastAsia="Book Antiqua" w:hAnsi="Book Antiqua" w:cs="Book Antiqua"/>
          <w:sz w:val="24"/>
          <w:szCs w:val="24"/>
        </w:rPr>
        <w:t xml:space="preserve"> (Veritas Health Innovation)</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{"citationID":"7WXEO3Kw","properties":{"formattedCitation":"\\super 47\\nosupersub{}","plainCitation":"47","noteIndex":0},"citationItems":[{"id":71123,"uris":["http://zotero.org/users/4194337/items/DV38YMB7"],"itemData":{"id":71123,"type":"webpage","abstract":"The world's leading software for managing and streamlining your systematic review. Discover how to do a systematic review in less time, while maintaining quality and accuracy.","container-title":"Covidence","language":"en-AU","title":"Covidence - Better systematic review management","URL":"https://www.covidence.org/","accessed":{"date-parts":[["2026",1,13]]}}}],"schema":"https://github.com/citation-style-language/schema/raw/master/csl-citation.json"}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47</w:t>
      </w:r>
      <w:r w:rsidR="003B0DAD">
        <w:rPr>
          <w:rFonts w:ascii="Book Antiqua" w:eastAsia="Book Antiqua" w:hAnsi="Book Antiqua" w:cs="Book Antiqua"/>
          <w:sz w:val="24"/>
          <w:szCs w:val="24"/>
        </w:rPr>
        <w:fldChar w:fldCharType="end"/>
      </w:r>
      <w:r>
        <w:rPr>
          <w:rFonts w:ascii="Book Antiqua" w:eastAsia="Book Antiqua" w:hAnsi="Book Antiqua" w:cs="Book Antiqua"/>
          <w:sz w:val="24"/>
          <w:szCs w:val="24"/>
        </w:rPr>
        <w:t xml:space="preserve"> or </w:t>
      </w:r>
      <w:r>
        <w:rPr>
          <w:rFonts w:ascii="Book Antiqua" w:eastAsia="Book Antiqua" w:hAnsi="Book Antiqua" w:cs="Book Antiqua"/>
          <w:i/>
          <w:iCs/>
          <w:sz w:val="24"/>
          <w:szCs w:val="24"/>
        </w:rPr>
        <w:t>Rayyan</w:t>
      </w:r>
      <w:r>
        <w:rPr>
          <w:rFonts w:ascii="Book Antiqua" w:eastAsia="Book Antiqua" w:hAnsi="Book Antiqua" w:cs="Book Antiqua"/>
          <w:sz w:val="24"/>
          <w:szCs w:val="24"/>
        </w:rPr>
        <w:t xml:space="preserve"> (Qatar C</w:t>
      </w:r>
      <w:r w:rsidR="00F31B1D">
        <w:rPr>
          <w:rFonts w:ascii="Book Antiqua" w:eastAsia="Book Antiqua" w:hAnsi="Book Antiqua" w:cs="Book Antiqua"/>
          <w:sz w:val="24"/>
          <w:szCs w:val="24"/>
        </w:rPr>
        <w:t>omputing Research Institute)</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{"citationID":"W4TTXx66","properties":{"formattedCitation":"\\super 48\\nosupersub{}","plainCitation":"48","noteIndex":0},"citationItems":[{"id":69658,"uris":["http://zotero.org/users/4194337/items/LWKZ2LJ8"],"itemData":{"id":69658,"type":"article-journal","abstract":"Synthesis of multiple randomized controlled trials (RCTs) in a systematic review can summarize the effects of individual outcomes and provide numerical answers about the effectiveness of interventions. Filtering of searches is time consuming, and no single method fulfills the principal requirements of speed with accuracy. Automation of systematic reviews is driven by a necessity to expedite the availability of current best evidence for policy and clinical decision-making.","container-title":"Systematic Reviews","DOI":"10.1186/s13643-016-0384-4","ISSN":"2046-4053","issue":"1","journalAbbreviation":"Systematic Reviews","page":"210","source":"BioMed Central","title":"Rayyan—a web and mobile app for systematic reviews","volume":"5","author":[{"family":"Ouzzani","given":"Mourad"},{"family":"Hammady","given":"Hossam"},{"family":"Fedorowicz","given":"Zbys"},{"family":"Elmagarmid","given":"Ahmed"}],"issued":{"date-parts":[["2016",12,5]]}}}],"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48</w:t>
      </w:r>
      <w:r w:rsidR="003B0DAD">
        <w:rPr>
          <w:rFonts w:ascii="Book Antiqua" w:eastAsia="Book Antiqua" w:hAnsi="Book Antiqua" w:cs="Book Antiqua"/>
          <w:sz w:val="24"/>
          <w:szCs w:val="24"/>
        </w:rPr>
        <w:fldChar w:fldCharType="end"/>
      </w:r>
      <w:r>
        <w:rPr>
          <w:rFonts w:ascii="Book Antiqua" w:eastAsia="Book Antiqua" w:hAnsi="Book Antiqua" w:cs="Book Antiqua"/>
          <w:sz w:val="24"/>
          <w:szCs w:val="24"/>
        </w:rPr>
        <w:t xml:space="preserve">, which provide interfaces for title and abstract screening. Structured data extraction is supported by tools like </w:t>
      </w:r>
      <w:proofErr w:type="spellStart"/>
      <w:r>
        <w:rPr>
          <w:rFonts w:ascii="Book Antiqua" w:eastAsia="Book Antiqua" w:hAnsi="Book Antiqua" w:cs="Book Antiqua"/>
          <w:i/>
          <w:iCs/>
          <w:sz w:val="24"/>
          <w:szCs w:val="24"/>
        </w:rPr>
        <w:t>DistillerSR</w:t>
      </w:r>
      <w:proofErr w:type="spellEnd"/>
      <w:r w:rsidR="00F31B1D">
        <w:rPr>
          <w:rFonts w:ascii="Book Antiqua" w:eastAsia="Book Antiqua" w:hAnsi="Book Antiqua" w:cs="Book Antiqua"/>
          <w:sz w:val="24"/>
          <w:szCs w:val="24"/>
        </w:rPr>
        <w:t xml:space="preserve"> (Evidence Partners)</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{"citationID":"ymT1oYZc","properties":{"formattedCitation":"\\super 49\\nosupersub{}","plainCitation":"49","noteIndex":0},"citationItems":[{"id":71121,"uris":["http://zotero.org/users/4194337/items/3I2WFEC2"],"itemData":{"id":71121,"type":"post-weblog","abstract":"DistillerSR is the leading systematic review software that automates every stage of your review to produce evidence-based research faster and more accurately.","container-title":"DistillerSR","language":"en-US","title":"DistillerSR | Systematic Review Software | Literature Review Software","URL":"https://www.distillersr.com/products/distillersr-systematic-review-software","accessed":{"date-parts":[["2026",1,13]]}}}],"schema":"https://github.com/citation-style-language/schema/raw/master/csl-citation.json"}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49</w:t>
      </w:r>
      <w:r w:rsidR="003B0DAD">
        <w:rPr>
          <w:rFonts w:ascii="Book Antiqua" w:eastAsia="Book Antiqua" w:hAnsi="Book Antiqua" w:cs="Book Antiqua"/>
          <w:sz w:val="24"/>
          <w:szCs w:val="24"/>
        </w:rPr>
        <w:fldChar w:fldCharType="end"/>
      </w:r>
      <w:r>
        <w:rPr>
          <w:rFonts w:ascii="Book Antiqua" w:eastAsia="Book Antiqua" w:hAnsi="Book Antiqua" w:cs="Book Antiqua"/>
          <w:sz w:val="24"/>
          <w:szCs w:val="24"/>
        </w:rPr>
        <w:t xml:space="preserve">, which offers customizable forms and workflows. Verification and adjudication can be managed through collaborative platforms such as </w:t>
      </w:r>
      <w:r>
        <w:rPr>
          <w:rFonts w:ascii="Book Antiqua" w:eastAsia="Book Antiqua" w:hAnsi="Book Antiqua" w:cs="Book Antiqua"/>
          <w:i/>
          <w:iCs/>
          <w:sz w:val="24"/>
          <w:szCs w:val="24"/>
        </w:rPr>
        <w:t>EPPI</w:t>
      </w:r>
      <w:r>
        <w:rPr>
          <w:rFonts w:ascii="Times New Roman" w:eastAsia="Times New Roman" w:hAnsi="Times New Roman" w:cs="Times New Roman"/>
          <w:i/>
          <w:iCs/>
          <w:sz w:val="24"/>
          <w:szCs w:val="24"/>
        </w:rPr>
        <w:t>‑</w:t>
      </w:r>
      <w:r>
        <w:rPr>
          <w:rFonts w:ascii="Book Antiqua" w:eastAsia="Book Antiqua" w:hAnsi="Book Antiqua" w:cs="Book Antiqua"/>
          <w:i/>
          <w:iCs/>
          <w:sz w:val="24"/>
          <w:szCs w:val="24"/>
        </w:rPr>
        <w:t>Reviewer</w:t>
      </w:r>
      <w:r>
        <w:rPr>
          <w:rFonts w:ascii="Book Antiqua" w:eastAsia="Book Antiqua" w:hAnsi="Book Antiqua" w:cs="Book Antiqua"/>
          <w:sz w:val="24"/>
          <w:szCs w:val="24"/>
        </w:rPr>
        <w:t xml:space="preserve"> </w:t>
      </w:r>
      <w:r w:rsidR="00F31B1D">
        <w:rPr>
          <w:rFonts w:ascii="Book Antiqua" w:eastAsia="Book Antiqua" w:hAnsi="Book Antiqua" w:cs="Book Antiqua"/>
          <w:sz w:val="24"/>
          <w:szCs w:val="24"/>
        </w:rPr>
        <w:t>(UCL Institute of Education)</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{"citationID":"Pv4cejgd","properties":{"formattedCitation":"\\super 50\\nosupersub{}","plainCitation":"50","noteIndex":0},"citationItems":[{"id":71120,"uris":["http://zotero.org/users/4194337/items/UU93PS54"],"itemData":{"id":71120,"type":"webpage","title":"EPPI-Reviewer: systematic review software","URL":"https://eppi.ioe.ac.uk/cms/Default.aspx?tabid=2914","accessed":{"date-parts":[["2026",1,13]]}}}],"schema":"https://github.com/citation-style-language/schema/raw/master/csl-citation.json"}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50</w:t>
      </w:r>
      <w:r w:rsidR="003B0DAD">
        <w:rPr>
          <w:rFonts w:ascii="Book Antiqua" w:eastAsia="Book Antiqua" w:hAnsi="Book Antiqua" w:cs="Book Antiqua"/>
          <w:sz w:val="24"/>
          <w:szCs w:val="24"/>
        </w:rPr>
        <w:fldChar w:fldCharType="end"/>
      </w:r>
      <w:r>
        <w:rPr>
          <w:rFonts w:ascii="Book Antiqua" w:eastAsia="Book Antiqua" w:hAnsi="Book Antiqua" w:cs="Book Antiqua"/>
          <w:sz w:val="24"/>
          <w:szCs w:val="24"/>
        </w:rPr>
        <w:t>. While these tools are robust and widely adopted, they are typically subscription</w:t>
      </w:r>
      <w:r>
        <w:rPr>
          <w:rFonts w:ascii="Times New Roman" w:eastAsia="Times New Roman" w:hAnsi="Times New Roman" w:cs="Times New Roman"/>
          <w:sz w:val="24"/>
          <w:szCs w:val="24"/>
        </w:rPr>
        <w:t>‑</w:t>
      </w:r>
      <w:r>
        <w:rPr>
          <w:rFonts w:ascii="Book Antiqua" w:eastAsia="Book Antiqua" w:hAnsi="Book Antiqua" w:cs="Book Antiqua"/>
          <w:sz w:val="24"/>
          <w:szCs w:val="24"/>
        </w:rPr>
        <w:t xml:space="preserve">based, requiring institutional or personal licenses.  </w:t>
      </w:r>
    </w:p>
    <w:p w14:paraId="00000042" w14:textId="13424B21"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The reliance on paid software introduces barriers to accessibility, particularly for researchers in resource</w:t>
      </w:r>
      <w:r>
        <w:rPr>
          <w:rFonts w:ascii="Times New Roman" w:eastAsia="Times New Roman" w:hAnsi="Times New Roman" w:cs="Times New Roman"/>
          <w:sz w:val="24"/>
          <w:szCs w:val="24"/>
        </w:rPr>
        <w:t>‑</w:t>
      </w:r>
      <w:r w:rsidR="001E4718">
        <w:rPr>
          <w:rFonts w:ascii="Book Antiqua" w:eastAsia="Book Antiqua" w:hAnsi="Book Antiqua" w:cs="Book Antiqua"/>
          <w:sz w:val="24"/>
          <w:szCs w:val="24"/>
        </w:rPr>
        <w:t>limited settings.</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{"citationID":"qDQckFYl","properties":{"formattedCitation":"\\super 51\\nosupersub{}","plainCitation":"51","noteIndex":0},"citationItems":[{"id":71904,"uris":["http://zotero.org/users/4194337/items/MHCPRDZJ"],"itemData":{"id":71904,"type":"article-journal","abstract":"OBJECTIVE: We aimed to map the resource use during systematic review (SR) production and reasons why steps of the SR production are resource intensive to discover where the largest gain in improving efficiency might be possible.\nSTUDY DESIGN AND SETTING: We conducted a scoping review. An information specialist searched multiple databases (e.g., Ovid MEDLINE, Scopus) and implemented citation-based and grey literature searching. We employed dual and independent screenings of records at the title/abstract and full-text levels and data extraction.\nRESULTS: We included 34 studies. Thirty-two reported on the resource use-mostly time; four described reasons why steps of the review process are resource intensive. Study selection, data extraction, and critical appraisal seem to be very resource intensive, while protocol development, literature search, or study retrieval take less time. Project management and administration required a large proportion of SR production time. Lack of experience, domain knowledge, use of collaborative and SR-tailored software, and good communication and management can be reasons why SR steps are resource intensive.\nCONCLUSION: Resource use during SR production varies widely. Areas with the largest resource use are administration and project management, study selection, data extraction, and critical appraisal of studies.","container-title":"Journal of Clinical Epidemiology","DOI":"10.1016/j.jclinepi.2021.05.019","ISSN":"1878-5921","journalAbbreviation":"J Clin Epidemiol","language":"eng","page":"287-296","PMID":"34091021","source":"PubMed","title":"Resource use during systematic review production varies widely: a scoping review","title-short":"Resource use during systematic review production varies widely","volume":"139","author":[{"family":"Nussbaumer-Streit","given":"B."},{"family":"Ellen","given":"M."},{"family":"Klerings","given":"I."},{"family":"Sfetcu","given":"R."},{"family":"Riva","given":"N."},{"family":"Mahmić-Kaknjo","given":"M."},{"family":"Poulentzas","given":"G."},{"family":"Martinez","given":"P."},{"family":"Baladia","given":"E."},{"family":"Ziganshina","given":"L. E."},{"family":"Marqués","given":"M. E."},{"family":"Aguilar","given":"L."},{"family":"Kassianos","given":"A. P."},{"family":"Frampton","given":"G."},{"family":"Silva","given":"A. G."},{"family":"Affengruber","given":"L."},{"family":"Spjker","given":"R."},{"family":"Thomas","given":"J."},{"family":"Berg","given":"R. C."},{"family":"Kontogiani","given":"M."},{"family":"Sousa","given":"M."},{"family":"Kontogiorgis","given":"C."},{"family":"Gartlehner","given":"G."},{"literal":"working group 3 in the EVBRES COST Action (https://evbres.eu)"}],"issued":{"date-parts":[["2021",11]]}}}],"schema":"https://github.com/citation-style-language/schema/raw/master/csl-citation.json"}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51</w:t>
      </w:r>
      <w:r w:rsidR="003B0DAD">
        <w:rPr>
          <w:rFonts w:ascii="Book Antiqua" w:eastAsia="Book Antiqua" w:hAnsi="Book Antiqua" w:cs="Book Antiqua"/>
          <w:sz w:val="24"/>
          <w:szCs w:val="24"/>
        </w:rPr>
        <w:fldChar w:fldCharType="end"/>
      </w:r>
      <w:r>
        <w:rPr>
          <w:rFonts w:ascii="Book Antiqua" w:eastAsia="Book Antiqua" w:hAnsi="Book Antiqua" w:cs="Book Antiqua"/>
          <w:sz w:val="24"/>
          <w:szCs w:val="24"/>
        </w:rPr>
        <w:t xml:space="preserve"> Subscription costs can be prohibitive, and cloud</w:t>
      </w:r>
      <w:r>
        <w:rPr>
          <w:rFonts w:ascii="Times New Roman" w:eastAsia="Times New Roman" w:hAnsi="Times New Roman" w:cs="Times New Roman"/>
          <w:sz w:val="24"/>
          <w:szCs w:val="24"/>
        </w:rPr>
        <w:t>‑</w:t>
      </w:r>
      <w:r>
        <w:rPr>
          <w:rFonts w:ascii="Book Antiqua" w:eastAsia="Book Antiqua" w:hAnsi="Book Antiqua" w:cs="Book Antiqua"/>
          <w:sz w:val="24"/>
          <w:szCs w:val="24"/>
        </w:rPr>
        <w:t xml:space="preserve">based platforms often raise concerns about </w:t>
      </w:r>
      <w:r w:rsidR="001E4718">
        <w:rPr>
          <w:rFonts w:ascii="Book Antiqua" w:eastAsia="Book Antiqua" w:hAnsi="Book Antiqua" w:cs="Book Antiqua"/>
          <w:sz w:val="24"/>
          <w:szCs w:val="24"/>
        </w:rPr>
        <w:t>data privacy and governance.</w:t>
      </w:r>
      <w:r w:rsidR="003B0DAD">
        <w:rPr>
          <w:rFonts w:ascii="Book Antiqua" w:eastAsia="Book Antiqua" w:hAnsi="Book Antiqua" w:cs="Book Antiqua"/>
          <w:sz w:val="24"/>
          <w:szCs w:val="24"/>
        </w:rPr>
        <w:fldChar w:fldCharType="begin"/>
      </w:r>
      <w:r w:rsidR="003B0DAD">
        <w:rPr>
          <w:rFonts w:ascii="Book Antiqua" w:eastAsia="Book Antiqua" w:hAnsi="Book Antiqua" w:cs="Book Antiqua"/>
          <w:sz w:val="24"/>
          <w:szCs w:val="24"/>
        </w:rPr>
        <w:instrText xml:space="preserve"> ADDIN ZOTERO_ITEM CSL_CITATION {"citationID":"VMEn0Vzr","properties":{"formattedCitation":"\\super 52\\nosupersub{}","plainCitation":"52","noteIndex":0},"citationItems":[{"id":71907,"uris":["http://zotero.org/users/4194337/items/95FGLFW4"],"itemData":{"id":71907,"type":"article-journal","abstract":"BACKGROUND: The adoption of cloud computing and Artificial Intelligence (AI) technologies offers significant advantages for External Quality Assessment (EQA) providers, including scalability, cost efficiency, and broader accessibility. However, these benefits come with substantial cybersecurity and data privacy challenges.\nMETHODOLOGY: We performed a systematic literature review on cybersecurity risks in healthcare cloud computing, consulted experts in bioinformatics and cybersecurity, and analyzed real-world hacking incidents targeting EQA organizations. A risk-focused framework was developed to outline key challenges and best practice mitigation strategies.\nRESULTS: Ten key challenges were identified: 1. data breaches and unauthorized access, 2. compliance with regulations such as HIPAA and GDPR, 3. data sovereignty and jurisdictional issues, 4. shared infrastructure vulnerabilities, 5. insider threats, 6. data loss and availability concerns, 7. inadequate security measures by cloud providers, 8. application vulnerabilities, 9. limited visibility and control, and 10. the complexity of cloud security management.\nCONCLUSION: To fully benefit from cloud computing and AI, EQA providers must implement robust security practices, ensure regulatory compliance, and continuously monitor their environments. Proactive cybersecurity strategies are essential to safeguarding sensitive laboratory data and maintaining operational continuity and accreditation.","container-title":"EJIFCC","ISSN":"1650-3414","issue":"4","journalAbbreviation":"EJIFCC","language":"eng","page":"599-604","PMID":"41459181","PMCID":"PMC12743334","source":"PubMed","title":"The Challenges of Data Privacy and Cybersecurity in Cloud Computing and Artificial Intelligence (AI) Applications for EQA Organizations","volume":"36","author":[{"family":"Haliassos","given":"Alexander"},{"family":"Kasvis","given":"Dimitrios"},{"family":"Karathanos","given":"Serafeim"}],"issued":{"date-parts":[["2025",12]]}}}],"schema":"https://github.com/citation-style-language/schema/raw/master/csl-citation.json"} </w:instrText>
      </w:r>
      <w:r w:rsidR="003B0DAD">
        <w:rPr>
          <w:rFonts w:ascii="Book Antiqua" w:eastAsia="Book Antiqua" w:hAnsi="Book Antiqua" w:cs="Book Antiqua"/>
          <w:sz w:val="24"/>
          <w:szCs w:val="24"/>
        </w:rPr>
        <w:fldChar w:fldCharType="separate"/>
      </w:r>
      <w:r w:rsidR="003B0DAD" w:rsidRPr="003B0DAD">
        <w:rPr>
          <w:rFonts w:ascii="Book Antiqua" w:hAnsi="Book Antiqua" w:cs="Times New Roman"/>
          <w:sz w:val="24"/>
          <w:szCs w:val="24"/>
          <w:vertAlign w:val="superscript"/>
        </w:rPr>
        <w:t>52</w:t>
      </w:r>
      <w:r w:rsidR="003B0DAD">
        <w:rPr>
          <w:rFonts w:ascii="Book Antiqua" w:eastAsia="Book Antiqua" w:hAnsi="Book Antiqua" w:cs="Book Antiqua"/>
          <w:sz w:val="24"/>
          <w:szCs w:val="24"/>
        </w:rPr>
        <w:fldChar w:fldCharType="end"/>
      </w:r>
      <w:r>
        <w:rPr>
          <w:rFonts w:ascii="Book Antiqua" w:eastAsia="Book Antiqua" w:hAnsi="Book Antiqua" w:cs="Book Antiqua"/>
          <w:sz w:val="24"/>
          <w:szCs w:val="24"/>
        </w:rPr>
        <w:t xml:space="preserve"> In contrast, the current framework offers a free, locally executable solution that does not compromise personal security. By operating entirely on local devices, the system ensures that sensitive bibliographic records and extracted data remain under the researcher’s control. This design choice addresses a critical gap in the current ecosystem, providing an accessible and secure alternative to paid platforms.  </w:t>
      </w:r>
    </w:p>
    <w:p w14:paraId="00000043" w14:textId="5B0386CE"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Each of the key takeaways from this study carries broader implications. First, the demonstration of high accuracy and inter</w:t>
      </w:r>
      <w:r>
        <w:rPr>
          <w:rFonts w:ascii="Times New Roman" w:eastAsia="Times New Roman" w:hAnsi="Times New Roman" w:cs="Times New Roman"/>
          <w:sz w:val="24"/>
          <w:szCs w:val="24"/>
        </w:rPr>
        <w:t>‑</w:t>
      </w:r>
      <w:r>
        <w:rPr>
          <w:rFonts w:ascii="Book Antiqua" w:eastAsia="Book Antiqua" w:hAnsi="Book Antiqua" w:cs="Book Antiqua"/>
          <w:sz w:val="24"/>
          <w:szCs w:val="24"/>
        </w:rPr>
        <w:t xml:space="preserve">rater agreement underscores the potential of agentic AI to standardise evidence synthesis. In traditional workflows, variability between reviewers can introduce bias; by contrast, AI agents apply criteria consistently, reducing subjectivity. Second, the substantial time savings highlight the efficiency gains achievable through automation. Systematic reviews are often delayed by the sheer volume of records requiring screening; by reducing this burden, agentic AI accelerates the production of timely evidence. Third, the emphasis on error classification and verification illustrates the importance of </w:t>
      </w:r>
      <w:r>
        <w:rPr>
          <w:rFonts w:ascii="Book Antiqua" w:eastAsia="Book Antiqua" w:hAnsi="Book Antiqua" w:cs="Book Antiqua"/>
          <w:sz w:val="24"/>
          <w:szCs w:val="24"/>
        </w:rPr>
        <w:lastRenderedPageBreak/>
        <w:t>transparency. By categorising discrepancies and directing them to human adjudication, the system ensures that critical errors are not overlooked.</w:t>
      </w:r>
      <w:r w:rsidR="002C6441">
        <w:rPr>
          <w:rFonts w:ascii="Book Antiqua" w:eastAsia="Book Antiqua" w:hAnsi="Book Antiqua" w:cs="Book Antiqua"/>
          <w:sz w:val="24"/>
          <w:szCs w:val="24"/>
        </w:rPr>
        <w:t xml:space="preserve"> </w:t>
      </w:r>
      <w:r w:rsidR="002C6441" w:rsidRPr="002C6441">
        <w:rPr>
          <w:rFonts w:ascii="Book Antiqua" w:eastAsia="Book Antiqua" w:hAnsi="Book Antiqua" w:cs="Book Antiqua"/>
          <w:sz w:val="24"/>
          <w:szCs w:val="24"/>
        </w:rPr>
        <w:t>Unlike subscription</w:t>
      </w:r>
      <w:r w:rsidR="002C6441" w:rsidRPr="002C6441">
        <w:rPr>
          <w:rFonts w:ascii="Times New Roman" w:eastAsia="Book Antiqua" w:hAnsi="Times New Roman" w:cs="Times New Roman"/>
          <w:sz w:val="24"/>
          <w:szCs w:val="24"/>
        </w:rPr>
        <w:t>‑</w:t>
      </w:r>
      <w:r w:rsidR="002C6441" w:rsidRPr="002C6441">
        <w:rPr>
          <w:rFonts w:ascii="Book Antiqua" w:eastAsia="Book Antiqua" w:hAnsi="Book Antiqua" w:cs="Book Antiqua"/>
          <w:sz w:val="24"/>
          <w:szCs w:val="24"/>
        </w:rPr>
        <w:t>based cloud platforms, this framework was executed locally on a consumer</w:t>
      </w:r>
      <w:r w:rsidR="002C6441" w:rsidRPr="002C6441">
        <w:rPr>
          <w:rFonts w:ascii="Times New Roman" w:eastAsia="Book Antiqua" w:hAnsi="Times New Roman" w:cs="Times New Roman"/>
          <w:sz w:val="24"/>
          <w:szCs w:val="24"/>
        </w:rPr>
        <w:t>‑</w:t>
      </w:r>
      <w:r w:rsidR="002C6441" w:rsidRPr="002C6441">
        <w:rPr>
          <w:rFonts w:ascii="Book Antiqua" w:eastAsia="Book Antiqua" w:hAnsi="Book Antiqua" w:cs="Book Antiqua"/>
          <w:sz w:val="24"/>
          <w:szCs w:val="24"/>
        </w:rPr>
        <w:t>grade laptop. This demonstrates that advanced AI</w:t>
      </w:r>
      <w:r w:rsidR="002C6441" w:rsidRPr="002C6441">
        <w:rPr>
          <w:rFonts w:ascii="Times New Roman" w:eastAsia="Book Antiqua" w:hAnsi="Times New Roman" w:cs="Times New Roman"/>
          <w:sz w:val="24"/>
          <w:szCs w:val="24"/>
        </w:rPr>
        <w:t>‑</w:t>
      </w:r>
      <w:r w:rsidR="002C6441" w:rsidRPr="002C6441">
        <w:rPr>
          <w:rFonts w:ascii="Book Antiqua" w:eastAsia="Book Antiqua" w:hAnsi="Book Antiqua" w:cs="Book Antiqua"/>
          <w:sz w:val="24"/>
          <w:szCs w:val="24"/>
        </w:rPr>
        <w:t xml:space="preserve">assisted workflows can be implemented without </w:t>
      </w:r>
      <w:r w:rsidR="002C6441">
        <w:rPr>
          <w:rFonts w:ascii="Book Antiqua" w:eastAsia="Book Antiqua" w:hAnsi="Book Antiqua" w:cs="Book Antiqua"/>
          <w:sz w:val="24"/>
          <w:szCs w:val="24"/>
        </w:rPr>
        <w:t>specialised</w:t>
      </w:r>
      <w:r w:rsidR="002C6441" w:rsidRPr="002C6441">
        <w:rPr>
          <w:rFonts w:ascii="Book Antiqua" w:eastAsia="Book Antiqua" w:hAnsi="Book Antiqua" w:cs="Book Antiqua"/>
          <w:sz w:val="24"/>
          <w:szCs w:val="24"/>
        </w:rPr>
        <w:t xml:space="preserve"> infrastructure, thereby lowering barriers to adoption. Nevertheless, computational costs and hardware requirements should be acknowledged. While feasible on mid</w:t>
      </w:r>
      <w:r w:rsidR="002C6441" w:rsidRPr="002C6441">
        <w:rPr>
          <w:rFonts w:ascii="Times New Roman" w:eastAsia="Book Antiqua" w:hAnsi="Times New Roman" w:cs="Times New Roman"/>
          <w:sz w:val="24"/>
          <w:szCs w:val="24"/>
        </w:rPr>
        <w:t>‑</w:t>
      </w:r>
      <w:r w:rsidR="002C6441" w:rsidRPr="002C6441">
        <w:rPr>
          <w:rFonts w:ascii="Book Antiqua" w:eastAsia="Book Antiqua" w:hAnsi="Book Antiqua" w:cs="Book Antiqua"/>
          <w:sz w:val="24"/>
          <w:szCs w:val="24"/>
        </w:rPr>
        <w:t>range consumer devices, large</w:t>
      </w:r>
      <w:r w:rsidR="002C6441" w:rsidRPr="002C6441">
        <w:rPr>
          <w:rFonts w:ascii="Times New Roman" w:eastAsia="Book Antiqua" w:hAnsi="Times New Roman" w:cs="Times New Roman"/>
          <w:sz w:val="24"/>
          <w:szCs w:val="24"/>
        </w:rPr>
        <w:t>‑</w:t>
      </w:r>
      <w:r w:rsidR="002C6441" w:rsidRPr="002C6441">
        <w:rPr>
          <w:rFonts w:ascii="Book Antiqua" w:eastAsia="Book Antiqua" w:hAnsi="Book Antiqua" w:cs="Book Antiqua"/>
          <w:sz w:val="24"/>
          <w:szCs w:val="24"/>
        </w:rPr>
        <w:t xml:space="preserve">scale reviews may benefit from more powerful systems to </w:t>
      </w:r>
      <w:r w:rsidR="002C6441">
        <w:rPr>
          <w:rFonts w:ascii="Book Antiqua" w:eastAsia="Book Antiqua" w:hAnsi="Book Antiqua" w:cs="Book Antiqua"/>
          <w:sz w:val="24"/>
          <w:szCs w:val="24"/>
        </w:rPr>
        <w:t>optimise</w:t>
      </w:r>
      <w:r w:rsidR="002C6441" w:rsidRPr="002C6441">
        <w:rPr>
          <w:rFonts w:ascii="Book Antiqua" w:eastAsia="Book Antiqua" w:hAnsi="Book Antiqua" w:cs="Book Antiqua"/>
          <w:sz w:val="24"/>
          <w:szCs w:val="24"/>
        </w:rPr>
        <w:t xml:space="preserve"> processing speed.</w:t>
      </w:r>
      <w:r>
        <w:rPr>
          <w:rFonts w:ascii="Book Antiqua" w:eastAsia="Book Antiqua" w:hAnsi="Book Antiqua" w:cs="Book Antiqua"/>
          <w:sz w:val="24"/>
          <w:szCs w:val="24"/>
        </w:rPr>
        <w:t xml:space="preserve"> Finally, the local execution of the framework demonstrates that efficiency need not come at the expense of security. In an era of increasing concern about data privacy, this design provides reassurance that sensitive information remains protected.  </w:t>
      </w:r>
    </w:p>
    <w:p w14:paraId="00000044" w14:textId="5759D49E"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Despite these strengths, several limitations must be acknowledged. First, the framework was validated across a limited number of systematic reviews</w:t>
      </w:r>
      <w:r w:rsidR="001E4718">
        <w:rPr>
          <w:rFonts w:ascii="Book Antiqua" w:eastAsia="Book Antiqua" w:hAnsi="Book Antiqua" w:cs="Book Antiqua"/>
          <w:sz w:val="24"/>
          <w:szCs w:val="24"/>
        </w:rPr>
        <w:t xml:space="preserve"> in spine surgery</w:t>
      </w:r>
      <w:r>
        <w:rPr>
          <w:rFonts w:ascii="Book Antiqua" w:eastAsia="Book Antiqua" w:hAnsi="Book Antiqua" w:cs="Book Antiqua"/>
          <w:sz w:val="24"/>
          <w:szCs w:val="24"/>
        </w:rPr>
        <w:t>, and further testing across diverse domains is necessary to confirm generalizability. Second, while the dual</w:t>
      </w:r>
      <w:r>
        <w:rPr>
          <w:rFonts w:ascii="Times New Roman" w:eastAsia="Times New Roman" w:hAnsi="Times New Roman" w:cs="Times New Roman"/>
          <w:sz w:val="24"/>
          <w:szCs w:val="24"/>
        </w:rPr>
        <w:t>‑</w:t>
      </w:r>
      <w:r>
        <w:rPr>
          <w:rFonts w:ascii="Book Antiqua" w:eastAsia="Book Antiqua" w:hAnsi="Book Antiqua" w:cs="Book Antiqua"/>
          <w:sz w:val="24"/>
          <w:szCs w:val="24"/>
        </w:rPr>
        <w:t>pass strategy</w:t>
      </w:r>
      <w:r w:rsidR="002C6441">
        <w:rPr>
          <w:rFonts w:ascii="Book Antiqua" w:eastAsia="Book Antiqua" w:hAnsi="Book Antiqua" w:cs="Book Antiqua"/>
          <w:sz w:val="24"/>
          <w:szCs w:val="24"/>
        </w:rPr>
        <w:t xml:space="preserve"> and cross-validation approach </w:t>
      </w:r>
      <w:r>
        <w:rPr>
          <w:rFonts w:ascii="Book Antiqua" w:eastAsia="Book Antiqua" w:hAnsi="Book Antiqua" w:cs="Book Antiqua"/>
          <w:sz w:val="24"/>
          <w:szCs w:val="24"/>
        </w:rPr>
        <w:t xml:space="preserve">for screening and extraction </w:t>
      </w:r>
      <w:r w:rsidR="002C6441">
        <w:rPr>
          <w:rFonts w:ascii="Book Antiqua" w:eastAsia="Book Antiqua" w:hAnsi="Book Antiqua" w:cs="Book Antiqua"/>
          <w:sz w:val="24"/>
          <w:szCs w:val="24"/>
        </w:rPr>
        <w:t>enhance</w:t>
      </w:r>
      <w:r>
        <w:rPr>
          <w:rFonts w:ascii="Book Antiqua" w:eastAsia="Book Antiqua" w:hAnsi="Book Antiqua" w:cs="Book Antiqua"/>
          <w:sz w:val="24"/>
          <w:szCs w:val="24"/>
        </w:rPr>
        <w:t xml:space="preserve"> reliability, it also increases computational demands, which may limit scalability for extensive datasets. Third, full</w:t>
      </w:r>
      <w:r>
        <w:rPr>
          <w:rFonts w:ascii="Times New Roman" w:eastAsia="Times New Roman" w:hAnsi="Times New Roman" w:cs="Times New Roman"/>
          <w:sz w:val="24"/>
          <w:szCs w:val="24"/>
        </w:rPr>
        <w:t>‑</w:t>
      </w:r>
      <w:r>
        <w:rPr>
          <w:rFonts w:ascii="Book Antiqua" w:eastAsia="Book Antiqua" w:hAnsi="Book Antiqua" w:cs="Book Antiqua"/>
          <w:sz w:val="24"/>
          <w:szCs w:val="24"/>
        </w:rPr>
        <w:t>text screening was intentionally retained as a human</w:t>
      </w:r>
      <w:r>
        <w:rPr>
          <w:rFonts w:ascii="Times New Roman" w:eastAsia="Times New Roman" w:hAnsi="Times New Roman" w:cs="Times New Roman"/>
          <w:sz w:val="24"/>
          <w:szCs w:val="24"/>
        </w:rPr>
        <w:t>‑</w:t>
      </w:r>
      <w:r>
        <w:rPr>
          <w:rFonts w:ascii="Book Antiqua" w:eastAsia="Book Antiqua" w:hAnsi="Book Antiqua" w:cs="Book Antiqua"/>
          <w:sz w:val="24"/>
          <w:szCs w:val="24"/>
        </w:rPr>
        <w:t xml:space="preserve">only task, reflecting the complexity of adjudicating nuanced eligibility criteria. While this preserves methodological rigour, it also means that the framework does not yet achieve complete automation. Fourth, although the system is free and locally executable, technical expertise is required to implement and maintain the pipeline, which may pose challenges for researchers without computational backgrounds. Finally, while the integration of Antigravity software and Gemini agent enhanced performance, reliance on specific versions of proprietary software may limit reproducibility if future updates alter functionality.  </w:t>
      </w:r>
    </w:p>
    <w:p w14:paraId="00000045" w14:textId="70519550" w:rsidR="00B64C21" w:rsidRDefault="005E1AA8">
      <w:pPr>
        <w:rPr>
          <w:rFonts w:ascii="Book Antiqua" w:eastAsia="Book Antiqua" w:hAnsi="Book Antiqua" w:cs="Book Antiqua"/>
          <w:b/>
          <w:bCs/>
          <w:sz w:val="24"/>
          <w:szCs w:val="24"/>
        </w:rPr>
      </w:pPr>
      <w:r>
        <w:rPr>
          <w:rFonts w:ascii="Book Antiqua" w:eastAsia="Book Antiqua" w:hAnsi="Book Antiqua" w:cs="Book Antiqua"/>
          <w:b/>
          <w:bCs/>
          <w:sz w:val="24"/>
          <w:szCs w:val="24"/>
        </w:rPr>
        <w:t xml:space="preserve">Conclusion </w:t>
      </w:r>
    </w:p>
    <w:p w14:paraId="00000046" w14:textId="77777777"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t>This study provides evidence that a locally executed agentic AI framework can substantially reduce the workload of systematic reviews and meta</w:t>
      </w:r>
      <w:r>
        <w:rPr>
          <w:rFonts w:ascii="Times New Roman" w:eastAsia="Times New Roman" w:hAnsi="Times New Roman" w:cs="Times New Roman"/>
          <w:sz w:val="24"/>
          <w:szCs w:val="24"/>
        </w:rPr>
        <w:t>‑</w:t>
      </w:r>
      <w:r>
        <w:rPr>
          <w:rFonts w:ascii="Book Antiqua" w:eastAsia="Book Antiqua" w:hAnsi="Book Antiqua" w:cs="Book Antiqua"/>
          <w:sz w:val="24"/>
          <w:szCs w:val="24"/>
        </w:rPr>
        <w:t>analyses while maintaining transparency, reproducibility, and clinical reliability. By integrating multiple specialised agents into a coordinated pipeline, the system achieved high accuracy, strong inter</w:t>
      </w:r>
      <w:r>
        <w:rPr>
          <w:rFonts w:ascii="Times New Roman" w:eastAsia="Times New Roman" w:hAnsi="Times New Roman" w:cs="Times New Roman"/>
          <w:sz w:val="24"/>
          <w:szCs w:val="24"/>
        </w:rPr>
        <w:t>‑</w:t>
      </w:r>
      <w:r>
        <w:rPr>
          <w:rFonts w:ascii="Book Antiqua" w:eastAsia="Book Antiqua" w:hAnsi="Book Antiqua" w:cs="Book Antiqua"/>
          <w:sz w:val="24"/>
          <w:szCs w:val="24"/>
        </w:rPr>
        <w:t>rater agreement, significant time savings, and minimal clinically critical errors. Unlike existing independent software solutions, which are subscription</w:t>
      </w:r>
      <w:r>
        <w:rPr>
          <w:rFonts w:ascii="Times New Roman" w:eastAsia="Times New Roman" w:hAnsi="Times New Roman" w:cs="Times New Roman"/>
          <w:sz w:val="24"/>
          <w:szCs w:val="24"/>
        </w:rPr>
        <w:t>‑</w:t>
      </w:r>
      <w:r>
        <w:rPr>
          <w:rFonts w:ascii="Book Antiqua" w:eastAsia="Book Antiqua" w:hAnsi="Book Antiqua" w:cs="Book Antiqua"/>
          <w:sz w:val="24"/>
          <w:szCs w:val="24"/>
        </w:rPr>
        <w:t>based and cloud</w:t>
      </w:r>
      <w:r>
        <w:rPr>
          <w:rFonts w:ascii="Times New Roman" w:eastAsia="Times New Roman" w:hAnsi="Times New Roman" w:cs="Times New Roman"/>
          <w:sz w:val="24"/>
          <w:szCs w:val="24"/>
        </w:rPr>
        <w:t>‑</w:t>
      </w:r>
      <w:r>
        <w:rPr>
          <w:rFonts w:ascii="Book Antiqua" w:eastAsia="Book Antiqua" w:hAnsi="Book Antiqua" w:cs="Book Antiqua"/>
          <w:sz w:val="24"/>
          <w:szCs w:val="24"/>
        </w:rPr>
        <w:t>dependent, this framework is free to execute locally, ensuring accessibility and safeguarding personal security. While limitations remain, particularly regarding scalability and the need for human oversight in full</w:t>
      </w:r>
      <w:r>
        <w:rPr>
          <w:rFonts w:ascii="Times New Roman" w:eastAsia="Times New Roman" w:hAnsi="Times New Roman" w:cs="Times New Roman"/>
          <w:sz w:val="24"/>
          <w:szCs w:val="24"/>
        </w:rPr>
        <w:t>‑</w:t>
      </w:r>
      <w:r>
        <w:rPr>
          <w:rFonts w:ascii="Book Antiqua" w:eastAsia="Book Antiqua" w:hAnsi="Book Antiqua" w:cs="Book Antiqua"/>
          <w:sz w:val="24"/>
          <w:szCs w:val="24"/>
        </w:rPr>
        <w:t>text screening, the findings demonstrate a promising pathway for integrating agentic AI into evidence synthesis. Future work should focus on expanding validation across diverse domains, refining automation of complex tasks, and enhancing usability for non</w:t>
      </w:r>
      <w:r>
        <w:rPr>
          <w:rFonts w:ascii="Times New Roman" w:eastAsia="Times New Roman" w:hAnsi="Times New Roman" w:cs="Times New Roman"/>
          <w:sz w:val="24"/>
          <w:szCs w:val="24"/>
        </w:rPr>
        <w:t>‑</w:t>
      </w:r>
      <w:r>
        <w:rPr>
          <w:rFonts w:ascii="Book Antiqua" w:eastAsia="Book Antiqua" w:hAnsi="Book Antiqua" w:cs="Book Antiqua"/>
          <w:sz w:val="24"/>
          <w:szCs w:val="24"/>
        </w:rPr>
        <w:t xml:space="preserve">technical researchers. Ultimately, this framework represents a step toward </w:t>
      </w:r>
      <w:r>
        <w:rPr>
          <w:rFonts w:ascii="Book Antiqua" w:eastAsia="Book Antiqua" w:hAnsi="Book Antiqua" w:cs="Book Antiqua"/>
          <w:sz w:val="24"/>
          <w:szCs w:val="24"/>
        </w:rPr>
        <w:lastRenderedPageBreak/>
        <w:t xml:space="preserve">democratising systematic reviews, enabling timely and trustworthy evidence synthesis in an era of rapidly expanding biomedical literature.  </w:t>
      </w:r>
    </w:p>
    <w:p w14:paraId="00000047" w14:textId="77777777" w:rsidR="00B64C21" w:rsidRDefault="005E1AA8">
      <w:pPr>
        <w:rPr>
          <w:rFonts w:ascii="Book Antiqua" w:eastAsia="Book Antiqua" w:hAnsi="Book Antiqua" w:cs="Book Antiqua"/>
          <w:sz w:val="24"/>
          <w:szCs w:val="24"/>
        </w:rPr>
      </w:pPr>
      <w:bookmarkStart w:id="2" w:name="_heading=h.okriwjtbu2h" w:colFirst="0" w:colLast="0"/>
      <w:bookmarkEnd w:id="2"/>
      <w:r>
        <w:rPr>
          <w:rFonts w:ascii="Book Antiqua" w:eastAsia="Book Antiqua" w:hAnsi="Book Antiqua" w:cs="Book Antiqua"/>
          <w:sz w:val="24"/>
          <w:szCs w:val="24"/>
        </w:rPr>
        <w:br/>
        <w:t>The authors declare no conflict of interest.</w:t>
      </w:r>
    </w:p>
    <w:p w14:paraId="7D36F940" w14:textId="77777777" w:rsidR="003B0DAD" w:rsidRDefault="005E1AA8" w:rsidP="003B0DAD">
      <w:pPr>
        <w:pStyle w:val="Bibliography"/>
      </w:pPr>
      <w:r>
        <w:rPr>
          <w:rFonts w:ascii="Book Antiqua" w:eastAsia="Book Antiqua" w:hAnsi="Book Antiqua" w:cs="Book Antiqua"/>
        </w:rPr>
        <w:fldChar w:fldCharType="begin"/>
      </w:r>
      <w:r w:rsidR="003B0DAD">
        <w:rPr>
          <w:rFonts w:ascii="Book Antiqua" w:eastAsia="Book Antiqua" w:hAnsi="Book Antiqua" w:cs="Book Antiqua"/>
        </w:rPr>
        <w:instrText xml:space="preserve"> ADDIN ZOTERO_BIBL {"uncited":[],"omitted":[],"custom":[]} CSL_BIBLIOGRAPHY </w:instrText>
      </w:r>
      <w:r>
        <w:rPr>
          <w:rFonts w:ascii="Book Antiqua" w:eastAsia="Book Antiqua" w:hAnsi="Book Antiqua" w:cs="Book Antiqua"/>
        </w:rPr>
        <w:fldChar w:fldCharType="separate"/>
      </w:r>
      <w:r w:rsidR="003B0DAD">
        <w:t>1.</w:t>
      </w:r>
      <w:r w:rsidR="003B0DAD">
        <w:tab/>
        <w:t xml:space="preserve">Tenny S, Varacallo MA. Evidence-Based Medicine. In: </w:t>
      </w:r>
      <w:r w:rsidR="003B0DAD">
        <w:rPr>
          <w:i/>
          <w:iCs/>
        </w:rPr>
        <w:t>StatPearls</w:t>
      </w:r>
      <w:r w:rsidR="003B0DAD">
        <w:t>. StatPearls Publishing; 2026. Accessed March 12, 2026. http://www.ncbi.nlm.nih.gov/books/NBK470182/</w:t>
      </w:r>
    </w:p>
    <w:p w14:paraId="4104FCF1" w14:textId="77777777" w:rsidR="003B0DAD" w:rsidRDefault="003B0DAD" w:rsidP="003B0DAD">
      <w:pPr>
        <w:pStyle w:val="Bibliography"/>
      </w:pPr>
      <w:r>
        <w:t>2.</w:t>
      </w:r>
      <w:r>
        <w:tab/>
        <w:t xml:space="preserve">Girinivasan C, Sathish M. Analysis of Reference Practices among Practicing Orthopaedicians in India. </w:t>
      </w:r>
      <w:r>
        <w:rPr>
          <w:i/>
          <w:iCs/>
        </w:rPr>
        <w:t>Indian J Orthop</w:t>
      </w:r>
      <w:r>
        <w:t>. 2021;55(4):869-878. doi:10.1007/s43465-021-00350-4</w:t>
      </w:r>
    </w:p>
    <w:p w14:paraId="77688A94" w14:textId="77777777" w:rsidR="003B0DAD" w:rsidRDefault="003B0DAD" w:rsidP="003B0DAD">
      <w:pPr>
        <w:pStyle w:val="Bibliography"/>
      </w:pPr>
      <w:r>
        <w:t>3.</w:t>
      </w:r>
      <w:r>
        <w:tab/>
        <w:t xml:space="preserve">Aromataris E, Fernandez R, Godfrey CM, Holly C, Khalil H, Tungpunkom P. Summarizing systematic reviews: methodological development, conduct and reporting of an umbrella review approach. </w:t>
      </w:r>
      <w:r>
        <w:rPr>
          <w:i/>
          <w:iCs/>
        </w:rPr>
        <w:t>Int J Evid Based Healthc</w:t>
      </w:r>
      <w:r>
        <w:t>. 2015;13(3):132-140. doi:10.1097/XEB.0000000000000055</w:t>
      </w:r>
    </w:p>
    <w:p w14:paraId="00995897" w14:textId="77777777" w:rsidR="003B0DAD" w:rsidRDefault="003B0DAD" w:rsidP="003B0DAD">
      <w:pPr>
        <w:pStyle w:val="Bibliography"/>
      </w:pPr>
      <w:r>
        <w:t>4.</w:t>
      </w:r>
      <w:r>
        <w:tab/>
        <w:t xml:space="preserve">Haidich AB. Meta-analysis in medical research. </w:t>
      </w:r>
      <w:r>
        <w:rPr>
          <w:i/>
          <w:iCs/>
        </w:rPr>
        <w:t>Hippokratia</w:t>
      </w:r>
      <w:r>
        <w:t>. 2010;14(Suppl 1):29-37.</w:t>
      </w:r>
    </w:p>
    <w:p w14:paraId="15E8400C" w14:textId="77777777" w:rsidR="003B0DAD" w:rsidRDefault="003B0DAD" w:rsidP="003B0DAD">
      <w:pPr>
        <w:pStyle w:val="Bibliography"/>
      </w:pPr>
      <w:r>
        <w:t>5.</w:t>
      </w:r>
      <w:r>
        <w:tab/>
        <w:t xml:space="preserve">Borah R, Brown AW, Capers PL, Kaiser KA. Analysis of the time and workers needed to conduct systematic reviews of medical interventions using data from the PROSPERO registry. </w:t>
      </w:r>
      <w:r>
        <w:rPr>
          <w:i/>
          <w:iCs/>
        </w:rPr>
        <w:t>BMJ Open</w:t>
      </w:r>
      <w:r>
        <w:t>. 2017;7(2):e012545. doi:10.1136/bmjopen-2016-012545</w:t>
      </w:r>
    </w:p>
    <w:p w14:paraId="09EDBFC4" w14:textId="77777777" w:rsidR="003B0DAD" w:rsidRDefault="003B0DAD" w:rsidP="003B0DAD">
      <w:pPr>
        <w:pStyle w:val="Bibliography"/>
      </w:pPr>
      <w:r>
        <w:t>6.</w:t>
      </w:r>
      <w:r>
        <w:tab/>
        <w:t xml:space="preserve">Sathish M, Eswar R. Systematic Reviews and Meta-Analysis in Spine Surgery—How Good Are They in Methodological Quality? A Systematic Review. </w:t>
      </w:r>
      <w:r>
        <w:rPr>
          <w:i/>
          <w:iCs/>
        </w:rPr>
        <w:t>Global Spine J</w:t>
      </w:r>
      <w:r>
        <w:t>. 2021;11(3):378-399. doi:10.1177/2192568220906810</w:t>
      </w:r>
    </w:p>
    <w:p w14:paraId="00E2720D" w14:textId="77777777" w:rsidR="003B0DAD" w:rsidRDefault="003B0DAD" w:rsidP="003B0DAD">
      <w:pPr>
        <w:pStyle w:val="Bibliography"/>
      </w:pPr>
      <w:r>
        <w:t>7.</w:t>
      </w:r>
      <w:r>
        <w:tab/>
        <w:t xml:space="preserve">Simmonds MC, Higginsa JPT, Stewartb LA, Tierneyb JF, Clarke MJ, Thompson SG. Meta-analysis of individual patient data from randomized trials: a review of methods used in practice. </w:t>
      </w:r>
      <w:r>
        <w:rPr>
          <w:i/>
          <w:iCs/>
        </w:rPr>
        <w:t>Clinical Trials</w:t>
      </w:r>
      <w:r>
        <w:t>. 2005;2(3):209-217. doi:10.1191/1740774505cn087oa</w:t>
      </w:r>
    </w:p>
    <w:p w14:paraId="0A3DFC29" w14:textId="77777777" w:rsidR="003B0DAD" w:rsidRDefault="003B0DAD" w:rsidP="003B0DAD">
      <w:pPr>
        <w:pStyle w:val="Bibliography"/>
      </w:pPr>
      <w:r>
        <w:t>8.</w:t>
      </w:r>
      <w:r>
        <w:tab/>
        <w:t xml:space="preserve">González-Márquez R, Schmidt L, Schmidt BM, Berens P, Kobak D. The landscape of biomedical research. </w:t>
      </w:r>
      <w:r>
        <w:rPr>
          <w:i/>
          <w:iCs/>
        </w:rPr>
        <w:t>Patterns (N Y)</w:t>
      </w:r>
      <w:r>
        <w:t>. 2024;5(6):100968. doi:10.1016/j.patter.2024.100968</w:t>
      </w:r>
    </w:p>
    <w:p w14:paraId="06FF58CD" w14:textId="77777777" w:rsidR="003B0DAD" w:rsidRDefault="003B0DAD" w:rsidP="003B0DAD">
      <w:pPr>
        <w:pStyle w:val="Bibliography"/>
      </w:pPr>
      <w:r>
        <w:t>9.</w:t>
      </w:r>
      <w:r>
        <w:tab/>
        <w:t xml:space="preserve">Page MJ, McKenzie JE, Bossuyt PM, et al. The PRISMA 2020 statement: an updated guideline for reporting systematic reviews. </w:t>
      </w:r>
      <w:r>
        <w:rPr>
          <w:i/>
          <w:iCs/>
        </w:rPr>
        <w:t>BMJ</w:t>
      </w:r>
      <w:r>
        <w:t>. 2021;372:n71. doi:10.1136/bmj.n71</w:t>
      </w:r>
    </w:p>
    <w:p w14:paraId="0CFE51AB" w14:textId="77777777" w:rsidR="003B0DAD" w:rsidRDefault="003B0DAD" w:rsidP="003B0DAD">
      <w:pPr>
        <w:pStyle w:val="Bibliography"/>
      </w:pPr>
      <w:r>
        <w:t>10.</w:t>
      </w:r>
      <w:r>
        <w:tab/>
        <w:t xml:space="preserve">Cumpston M, Li T, Page MJ, et al. Updated guidance for trusted systematic reviews: a new edition of the Cochrane Handbook for Systematic Reviews of Interventions. </w:t>
      </w:r>
      <w:r>
        <w:rPr>
          <w:i/>
          <w:iCs/>
        </w:rPr>
        <w:t>Cochrane Database Syst Rev</w:t>
      </w:r>
      <w:r>
        <w:t>. 2019;10(10):ED000142. doi:10.1002/14651858.ED000142</w:t>
      </w:r>
    </w:p>
    <w:p w14:paraId="138FD282" w14:textId="77777777" w:rsidR="003B0DAD" w:rsidRDefault="003B0DAD" w:rsidP="003B0DAD">
      <w:pPr>
        <w:pStyle w:val="Bibliography"/>
      </w:pPr>
      <w:r>
        <w:t>11.</w:t>
      </w:r>
      <w:r>
        <w:tab/>
        <w:t xml:space="preserve">Bajwa J, Munir U, Nori A, Williams B. Artificial intelligence in healthcare: transforming the practice of medicine. </w:t>
      </w:r>
      <w:r>
        <w:rPr>
          <w:i/>
          <w:iCs/>
        </w:rPr>
        <w:t>Future Healthc J</w:t>
      </w:r>
      <w:r>
        <w:t>. 2021;8(2):e188-e194. doi:10.7861/fhj.2021-0095</w:t>
      </w:r>
    </w:p>
    <w:p w14:paraId="0F8B8059" w14:textId="77777777" w:rsidR="003B0DAD" w:rsidRDefault="003B0DAD" w:rsidP="003B0DAD">
      <w:pPr>
        <w:pStyle w:val="Bibliography"/>
      </w:pPr>
      <w:r>
        <w:t>12.</w:t>
      </w:r>
      <w:r>
        <w:tab/>
        <w:t xml:space="preserve">Ruan M, Fan J, Liu M, Meng Z, Zhang X, Zhang C. Artificial intelligence for the science of evidence synthesis: how good are AI-powered tools for automatic literature screening? </w:t>
      </w:r>
      <w:r>
        <w:rPr>
          <w:i/>
          <w:iCs/>
        </w:rPr>
        <w:t>BMC Med Res Methodol</w:t>
      </w:r>
      <w:r>
        <w:t>. 2025;25(1):199. doi:10.1186/s12874-025-02644-9</w:t>
      </w:r>
    </w:p>
    <w:p w14:paraId="75C795DE" w14:textId="77777777" w:rsidR="003B0DAD" w:rsidRDefault="003B0DAD" w:rsidP="003B0DAD">
      <w:pPr>
        <w:pStyle w:val="Bibliography"/>
      </w:pPr>
      <w:r>
        <w:t>13.</w:t>
      </w:r>
      <w:r>
        <w:tab/>
        <w:t xml:space="preserve">Thirunavukarasu AJ, Ting DSJ, Elangovan K, Gutierrez L, Tan TF, Ting DSW. Large language models in medicine. </w:t>
      </w:r>
      <w:r>
        <w:rPr>
          <w:i/>
          <w:iCs/>
        </w:rPr>
        <w:t>Nat Med</w:t>
      </w:r>
      <w:r>
        <w:t>. 2023;29(8):1930-1940. doi:10.1038/s41591-023-02448-8</w:t>
      </w:r>
    </w:p>
    <w:p w14:paraId="04CD670E" w14:textId="77777777" w:rsidR="003B0DAD" w:rsidRDefault="003B0DAD" w:rsidP="003B0DAD">
      <w:pPr>
        <w:pStyle w:val="Bibliography"/>
      </w:pPr>
      <w:r>
        <w:t>14.</w:t>
      </w:r>
      <w:r>
        <w:tab/>
        <w:t xml:space="preserve">Muthu S. The efficiency of machine learning-assisted platform for article screening in systematic reviews in orthopaedics. </w:t>
      </w:r>
      <w:r>
        <w:rPr>
          <w:i/>
          <w:iCs/>
        </w:rPr>
        <w:t>Int Orthop</w:t>
      </w:r>
      <w:r>
        <w:t>. 2023;47(2):551-556. doi:10.1007/s00264-022-05672-y</w:t>
      </w:r>
    </w:p>
    <w:p w14:paraId="56F72BDF" w14:textId="77777777" w:rsidR="003B0DAD" w:rsidRDefault="003B0DAD" w:rsidP="003B0DAD">
      <w:pPr>
        <w:pStyle w:val="Bibliography"/>
      </w:pPr>
      <w:r>
        <w:lastRenderedPageBreak/>
        <w:t>15.</w:t>
      </w:r>
      <w:r>
        <w:tab/>
        <w:t xml:space="preserve">Zou J, Topol EJ. The rise of agentic AI teammates in medicine. </w:t>
      </w:r>
      <w:r>
        <w:rPr>
          <w:i/>
          <w:iCs/>
        </w:rPr>
        <w:t>Lancet</w:t>
      </w:r>
      <w:r>
        <w:t>. 2025;405(10477):457. doi:10.1016/S0140-6736(25)00202-8</w:t>
      </w:r>
    </w:p>
    <w:p w14:paraId="635AF528" w14:textId="77777777" w:rsidR="003B0DAD" w:rsidRDefault="003B0DAD" w:rsidP="003B0DAD">
      <w:pPr>
        <w:pStyle w:val="Bibliography"/>
      </w:pPr>
      <w:r>
        <w:t>16.</w:t>
      </w:r>
      <w:r>
        <w:tab/>
        <w:t xml:space="preserve">Karunanayake N. Next-generation agentic AI for transforming healthcare. </w:t>
      </w:r>
      <w:r>
        <w:rPr>
          <w:i/>
          <w:iCs/>
        </w:rPr>
        <w:t>Informatics and Health</w:t>
      </w:r>
      <w:r>
        <w:t>. 2025;2(2):73-83. doi:10.1016/j.infoh.2025.03.001</w:t>
      </w:r>
    </w:p>
    <w:p w14:paraId="337BF5FE" w14:textId="77777777" w:rsidR="003B0DAD" w:rsidRDefault="003B0DAD" w:rsidP="003B0DAD">
      <w:pPr>
        <w:pStyle w:val="Bibliography"/>
      </w:pPr>
      <w:r>
        <w:t>17.</w:t>
      </w:r>
      <w:r>
        <w:tab/>
        <w:t xml:space="preserve">Holst D, Moenck K, Koch J, Schmedemann O, Schüppstuhl T. Transparent Reporting of AI in Systematic Literature Reviews: Development of the PRISMA-trAIce Checklist. </w:t>
      </w:r>
      <w:r>
        <w:rPr>
          <w:i/>
          <w:iCs/>
        </w:rPr>
        <w:t>JMIR AI</w:t>
      </w:r>
      <w:r>
        <w:t>. 2025;4:e80247. doi:10.2196/80247</w:t>
      </w:r>
    </w:p>
    <w:p w14:paraId="3598F1C8" w14:textId="77777777" w:rsidR="003B0DAD" w:rsidRDefault="003B0DAD" w:rsidP="003B0DAD">
      <w:pPr>
        <w:pStyle w:val="Bibliography"/>
      </w:pPr>
      <w:r>
        <w:t>18.</w:t>
      </w:r>
      <w:r>
        <w:tab/>
        <w:t xml:space="preserve">Muthu S, Viswanathan VK, Munisamy S, et al. Role of Prophylactic Negative Pressure Wound Therapy in Reducing Surgical-Site Infections in Spine Surgery - A Systematic Review and Meta-Analysis. </w:t>
      </w:r>
      <w:r>
        <w:rPr>
          <w:i/>
          <w:iCs/>
        </w:rPr>
        <w:t>Global Spine J</w:t>
      </w:r>
      <w:r>
        <w:t>. Published online February 11, 2026:21925682261426264. doi:10.1177/21925682261426264</w:t>
      </w:r>
    </w:p>
    <w:p w14:paraId="47805DB2" w14:textId="77777777" w:rsidR="003B0DAD" w:rsidRDefault="003B0DAD" w:rsidP="003B0DAD">
      <w:pPr>
        <w:pStyle w:val="Bibliography"/>
      </w:pPr>
      <w:r>
        <w:t>19.</w:t>
      </w:r>
      <w:r>
        <w:tab/>
        <w:t xml:space="preserve">Muthu S, Mavrovounis G, Corluka S, et al. Does the choice of chemoprophylaxis affect the prevention of deep vein thrombosis in lumbar fusion surgery? A systematic review of the literature. </w:t>
      </w:r>
      <w:r>
        <w:rPr>
          <w:i/>
          <w:iCs/>
        </w:rPr>
        <w:t>Brain Spine</w:t>
      </w:r>
      <w:r>
        <w:t>. 2023;3:102711. doi:10.1016/j.bas.2023.102711</w:t>
      </w:r>
    </w:p>
    <w:p w14:paraId="22975FEA" w14:textId="77777777" w:rsidR="003B0DAD" w:rsidRDefault="003B0DAD" w:rsidP="003B0DAD">
      <w:pPr>
        <w:pStyle w:val="Bibliography"/>
      </w:pPr>
      <w:r>
        <w:t>20.</w:t>
      </w:r>
      <w:r>
        <w:tab/>
        <w:t xml:space="preserve">Cabrera JP, Camino-Willhuber G, Muthu S, Guiroy A, Valacco M, Pola E. Percutaneous Versus Open Pedicle Screw Fixation for Pyogenic Spondylodiscitis of the Thoracic and Lumbar Spine: Systematic Review and Meta-Analysis. </w:t>
      </w:r>
      <w:r>
        <w:rPr>
          <w:i/>
          <w:iCs/>
        </w:rPr>
        <w:t>Clin Spine Surg</w:t>
      </w:r>
      <w:r>
        <w:t>. 2023;36(1):24-33. doi:10.1097/BSD.0000000000001325</w:t>
      </w:r>
    </w:p>
    <w:p w14:paraId="24475D37" w14:textId="77777777" w:rsidR="003B0DAD" w:rsidRDefault="003B0DAD" w:rsidP="003B0DAD">
      <w:pPr>
        <w:pStyle w:val="Bibliography"/>
      </w:pPr>
      <w:r>
        <w:t>21.</w:t>
      </w:r>
      <w:r>
        <w:tab/>
        <w:t xml:space="preserve">Muthu S, Ramakrishnan E, Chellamuthu G. Is Endoscopic Discectomy the Next Gold Standard in the Management of Lumbar Disc Disease? Systematic Review and Superiority Analysis. </w:t>
      </w:r>
      <w:r>
        <w:rPr>
          <w:i/>
          <w:iCs/>
        </w:rPr>
        <w:t>Global Spine J</w:t>
      </w:r>
      <w:r>
        <w:t>. 2021;11(7):1104-1120. doi:10.1177/2192568220948814</w:t>
      </w:r>
    </w:p>
    <w:p w14:paraId="60CFCC36" w14:textId="77777777" w:rsidR="003B0DAD" w:rsidRDefault="003B0DAD" w:rsidP="003B0DAD">
      <w:pPr>
        <w:pStyle w:val="Bibliography"/>
      </w:pPr>
      <w:r>
        <w:t>22.</w:t>
      </w:r>
      <w:r>
        <w:tab/>
        <w:t xml:space="preserve">Sathish M, Eswar R. Systematic Reviews and Meta-Analysis in Spine Surgery-How Good Are They in Methodological Quality? A Systematic Review. </w:t>
      </w:r>
      <w:r>
        <w:rPr>
          <w:i/>
          <w:iCs/>
        </w:rPr>
        <w:t>Global Spine J</w:t>
      </w:r>
      <w:r>
        <w:t>. 2021;11(3):378-399. doi:10.1177/2192568220906810</w:t>
      </w:r>
    </w:p>
    <w:p w14:paraId="1EDA2D87" w14:textId="77777777" w:rsidR="003B0DAD" w:rsidRDefault="003B0DAD" w:rsidP="003B0DAD">
      <w:pPr>
        <w:pStyle w:val="Bibliography"/>
      </w:pPr>
      <w:r>
        <w:t>23.</w:t>
      </w:r>
      <w:r>
        <w:tab/>
        <w:t xml:space="preserve">Muthu S, Ramakrishnan E. Fragility Analysis of Statistically Significant Outcomes of Randomized Control Trials in Spine Surgery: A Systematic Review. </w:t>
      </w:r>
      <w:r>
        <w:rPr>
          <w:i/>
          <w:iCs/>
        </w:rPr>
        <w:t>Spine (Phila Pa 1976)</w:t>
      </w:r>
      <w:r>
        <w:t>. 2021;46(3):198-208. doi:10.1097/BRS.0000000000003645</w:t>
      </w:r>
    </w:p>
    <w:p w14:paraId="33115BD3" w14:textId="77777777" w:rsidR="003B0DAD" w:rsidRDefault="003B0DAD" w:rsidP="003B0DAD">
      <w:pPr>
        <w:pStyle w:val="Bibliography"/>
      </w:pPr>
      <w:r>
        <w:t>24.</w:t>
      </w:r>
      <w:r>
        <w:tab/>
        <w:t xml:space="preserve">Viswanathan VK, Muthu S. Is anterior cervical plating necessary for cage constructs in anterior cervical discectomy and fusion surgery for cervical degenerative disorders? Evidence-based on the systematic overview of meta-analyses. </w:t>
      </w:r>
      <w:r>
        <w:rPr>
          <w:i/>
          <w:iCs/>
        </w:rPr>
        <w:t>World Neurosurg X</w:t>
      </w:r>
      <w:r>
        <w:t>. 2023;18:100185. doi:10.1016/j.wnsx.2023.100185</w:t>
      </w:r>
    </w:p>
    <w:p w14:paraId="3BFC87F1" w14:textId="77777777" w:rsidR="003B0DAD" w:rsidRDefault="003B0DAD" w:rsidP="003B0DAD">
      <w:pPr>
        <w:pStyle w:val="Bibliography"/>
      </w:pPr>
      <w:r>
        <w:t>25.</w:t>
      </w:r>
      <w:r>
        <w:tab/>
        <w:t xml:space="preserve">Muthu S, Chellamuthu G. How Safe Is Unilateral Pedicle Screw Fixation in Lumbar Fusion Surgery for Management of 2-Level Lumbar Degenerative Disorders Compared with Bilateral Pedicle Screw Fixation? Meta-analysis of Randomized Controlled Trials. </w:t>
      </w:r>
      <w:r>
        <w:rPr>
          <w:i/>
          <w:iCs/>
        </w:rPr>
        <w:t>World Neurosurg</w:t>
      </w:r>
      <w:r>
        <w:t>. 2020;140:357-368. doi:10.1016/j.wneu.2020.05.078</w:t>
      </w:r>
    </w:p>
    <w:p w14:paraId="61F7FDAB" w14:textId="77777777" w:rsidR="003B0DAD" w:rsidRDefault="003B0DAD" w:rsidP="003B0DAD">
      <w:pPr>
        <w:pStyle w:val="Bibliography"/>
      </w:pPr>
      <w:r>
        <w:t>26.</w:t>
      </w:r>
      <w:r>
        <w:tab/>
        <w:t xml:space="preserve">Rodrigues-Pinto R, Muthu S, Diniz SE, et al. Complications of the Use Allograft in 1- or 2-Level Anterior Cervical Discectomy and Fusion: A Systematic Review. </w:t>
      </w:r>
      <w:r>
        <w:rPr>
          <w:i/>
          <w:iCs/>
        </w:rPr>
        <w:t>Global Spine J</w:t>
      </w:r>
      <w:r>
        <w:t>. 2024;14(2_suppl):70S-77S. doi:10.1177/21925682231173358</w:t>
      </w:r>
    </w:p>
    <w:p w14:paraId="01CB7027" w14:textId="77777777" w:rsidR="003B0DAD" w:rsidRDefault="003B0DAD" w:rsidP="003B0DAD">
      <w:pPr>
        <w:pStyle w:val="Bibliography"/>
      </w:pPr>
      <w:r>
        <w:t>27.</w:t>
      </w:r>
      <w:r>
        <w:tab/>
        <w:t xml:space="preserve">Wang D, Wang W, Han D, et al. Clinical effectiveness of reduction and fusion versus in situ fusion in the management of degenerative lumbar spondylolisthesis: a systematic review and meta-analysis. </w:t>
      </w:r>
      <w:r>
        <w:rPr>
          <w:i/>
          <w:iCs/>
        </w:rPr>
        <w:t>Eur Spine J</w:t>
      </w:r>
      <w:r>
        <w:t>. 2024;33(5):1748-1761. doi:10.1007/s00586-023-08041-4</w:t>
      </w:r>
    </w:p>
    <w:p w14:paraId="749A3246" w14:textId="77777777" w:rsidR="003B0DAD" w:rsidRDefault="003B0DAD" w:rsidP="003B0DAD">
      <w:pPr>
        <w:pStyle w:val="Bibliography"/>
      </w:pPr>
      <w:r>
        <w:lastRenderedPageBreak/>
        <w:t>28.</w:t>
      </w:r>
      <w:r>
        <w:tab/>
        <w:t xml:space="preserve">Sathish M, Girinivasan C. Is Use of Topical Vancomycin in Pediatric Spine Surgeries a Safe Option in the Prevention of Surgical Site Infections? A Meta-analysis and Systematic Review of the Literature. </w:t>
      </w:r>
      <w:r>
        <w:rPr>
          <w:i/>
          <w:iCs/>
        </w:rPr>
        <w:t>Global Spine J</w:t>
      </w:r>
      <w:r>
        <w:t>. 2021;11(5):774-781. doi:10.1177/2192568220937286</w:t>
      </w:r>
    </w:p>
    <w:p w14:paraId="5A87AAC8" w14:textId="77777777" w:rsidR="003B0DAD" w:rsidRDefault="003B0DAD" w:rsidP="003B0DAD">
      <w:pPr>
        <w:pStyle w:val="Bibliography"/>
      </w:pPr>
      <w:r>
        <w:t>29.</w:t>
      </w:r>
      <w:r>
        <w:tab/>
        <w:t xml:space="preserve">Muthu S, Ramakrishnan E, Natarajan KK, Chellamuthu G. Risk-benefit analysis of wound drain usage in spine surgery: a systematic review and meta-analysis with evidence summary. </w:t>
      </w:r>
      <w:r>
        <w:rPr>
          <w:i/>
          <w:iCs/>
        </w:rPr>
        <w:t>Eur Spine J</w:t>
      </w:r>
      <w:r>
        <w:t>. 2020;29(9):2111-2128. doi:10.1007/s00586-020-06540-2</w:t>
      </w:r>
    </w:p>
    <w:p w14:paraId="21AF9519" w14:textId="77777777" w:rsidR="003B0DAD" w:rsidRDefault="003B0DAD" w:rsidP="003B0DAD">
      <w:pPr>
        <w:pStyle w:val="Bibliography"/>
      </w:pPr>
      <w:r>
        <w:t>30.</w:t>
      </w:r>
      <w:r>
        <w:tab/>
        <w:t xml:space="preserve">Muthu S, Viswanathan VK, Gangadaran P. Is platelet-rich plasma better than steroids as epidural drug of choice in lumbar disc disease with radiculopathy? Meta-analysis of randomized controlled trials. </w:t>
      </w:r>
      <w:r>
        <w:rPr>
          <w:i/>
          <w:iCs/>
        </w:rPr>
        <w:t>Exp Biol Med (Maywood)</w:t>
      </w:r>
      <w:r>
        <w:t>. 2025;250:10390. doi:10.3389/ebm.2025.10390</w:t>
      </w:r>
    </w:p>
    <w:p w14:paraId="67F79CC6" w14:textId="77777777" w:rsidR="003B0DAD" w:rsidRDefault="003B0DAD" w:rsidP="003B0DAD">
      <w:pPr>
        <w:pStyle w:val="Bibliography"/>
      </w:pPr>
      <w:r>
        <w:t>31.</w:t>
      </w:r>
      <w:r>
        <w:tab/>
        <w:t xml:space="preserve">Muthu S, Jeyaraman M, Gulati A, Arora A. Current evidence on mesenchymal stem cell therapy for traumatic spinal cord injury: systematic review and meta-analysis. </w:t>
      </w:r>
      <w:r>
        <w:rPr>
          <w:i/>
          <w:iCs/>
        </w:rPr>
        <w:t>Cytotherapy</w:t>
      </w:r>
      <w:r>
        <w:t>. 2021;23(3):186-197. doi:10.1016/j.jcyt.2020.09.007</w:t>
      </w:r>
    </w:p>
    <w:p w14:paraId="214636B7" w14:textId="77777777" w:rsidR="003B0DAD" w:rsidRDefault="003B0DAD" w:rsidP="003B0DAD">
      <w:pPr>
        <w:pStyle w:val="Bibliography"/>
      </w:pPr>
      <w:r>
        <w:t>32.</w:t>
      </w:r>
      <w:r>
        <w:tab/>
        <w:t xml:space="preserve">Muthu S, Viswanathan VK, Annamalai S, Thabrez M. Bilateral erector spinae plane block for postoperative pain relief in lumbar spine surgery: A PRISMA-compliant updated systematic review &amp; meta-analysis. </w:t>
      </w:r>
      <w:r>
        <w:rPr>
          <w:i/>
          <w:iCs/>
        </w:rPr>
        <w:t>World Neurosurg X</w:t>
      </w:r>
      <w:r>
        <w:t>. 2024;23:100360. doi:10.1016/j.wnsx.2024.100360</w:t>
      </w:r>
    </w:p>
    <w:p w14:paraId="1DADDBB5" w14:textId="77777777" w:rsidR="003B0DAD" w:rsidRDefault="003B0DAD" w:rsidP="003B0DAD">
      <w:pPr>
        <w:pStyle w:val="Bibliography"/>
      </w:pPr>
      <w:r>
        <w:t>33.</w:t>
      </w:r>
      <w:r>
        <w:tab/>
        <w:t xml:space="preserve">Muthu S, Ćorluka S, Buser Z, et al. Rate of Reoperation Following Decompression-Only Procedure for Lumbar Degenerative Spondylolisthesis: A Systematic Review of Literature. </w:t>
      </w:r>
      <w:r>
        <w:rPr>
          <w:i/>
          <w:iCs/>
        </w:rPr>
        <w:t>JB JS Open Access</w:t>
      </w:r>
      <w:r>
        <w:t>. 2024;9(3):e23.00163. doi:10.2106/JBJS.OA.23.00163</w:t>
      </w:r>
    </w:p>
    <w:p w14:paraId="31D25E56" w14:textId="77777777" w:rsidR="003B0DAD" w:rsidRDefault="003B0DAD" w:rsidP="003B0DAD">
      <w:pPr>
        <w:pStyle w:val="Bibliography"/>
      </w:pPr>
      <w:r>
        <w:t>34.</w:t>
      </w:r>
      <w:r>
        <w:tab/>
        <w:t xml:space="preserve">Ambrosio L, Vadalà G, de Rinaldis E, et al. Discectomy versus sequestrectomy in the treatment of lumbar disc herniation: a systematic review and meta-analysis. </w:t>
      </w:r>
      <w:r>
        <w:rPr>
          <w:i/>
          <w:iCs/>
        </w:rPr>
        <w:t>Spine J</w:t>
      </w:r>
      <w:r>
        <w:t>. 2025;25(2):211-226. doi:10.1016/j.spinee.2024.09.007</w:t>
      </w:r>
    </w:p>
    <w:p w14:paraId="6E79C9D4" w14:textId="77777777" w:rsidR="003B0DAD" w:rsidRDefault="003B0DAD" w:rsidP="003B0DAD">
      <w:pPr>
        <w:pStyle w:val="Bibliography"/>
      </w:pPr>
      <w:r>
        <w:t>35.</w:t>
      </w:r>
      <w:r>
        <w:tab/>
        <w:t xml:space="preserve">Viswanathan VK, Kalanchiam GP, Chinnappan A, Muthu S. Recovery patterns from C5 palsy after anterior cervical decompression and fusion, posterior cervical decompression and fusion, and laminoplasty for degenerative cervical myelopathy: systematic review and meta-analysis of 748 C5 palsy cases. </w:t>
      </w:r>
      <w:r>
        <w:rPr>
          <w:i/>
          <w:iCs/>
        </w:rPr>
        <w:t>Asian Spine J</w:t>
      </w:r>
      <w:r>
        <w:t>. 2025;19(6):1059-1071. doi:10.31616/asj.2025.0012</w:t>
      </w:r>
    </w:p>
    <w:p w14:paraId="5140B9E2" w14:textId="77777777" w:rsidR="003B0DAD" w:rsidRDefault="003B0DAD" w:rsidP="003B0DAD">
      <w:pPr>
        <w:pStyle w:val="Bibliography"/>
      </w:pPr>
      <w:r>
        <w:t>36.</w:t>
      </w:r>
      <w:r>
        <w:tab/>
        <w:t xml:space="preserve">Sotiris V, Muthu S, Gary M, et al. Practice preference and evidence analysis on topical use of tobramycin powder in lumbar spine surgery: A Multi-National AO spine survey with systematic review of the literature. </w:t>
      </w:r>
      <w:r>
        <w:rPr>
          <w:i/>
          <w:iCs/>
        </w:rPr>
        <w:t>World Neurosurg X</w:t>
      </w:r>
      <w:r>
        <w:t>. 2024;24:100397. doi:10.1016/j.wnsx.2024.100397</w:t>
      </w:r>
    </w:p>
    <w:p w14:paraId="3B27F449" w14:textId="77777777" w:rsidR="003B0DAD" w:rsidRDefault="003B0DAD" w:rsidP="003B0DAD">
      <w:pPr>
        <w:pStyle w:val="Bibliography"/>
      </w:pPr>
      <w:r>
        <w:t>37.</w:t>
      </w:r>
      <w:r>
        <w:tab/>
        <w:t xml:space="preserve">Viswanathan VK, Muthu S. Sexual Dysfunction in Cervical Spondylomyelopathy and Its Prognosis Following Surgical Decompression: A Systematic Review. </w:t>
      </w:r>
      <w:r>
        <w:rPr>
          <w:i/>
          <w:iCs/>
        </w:rPr>
        <w:t>Global Spine J</w:t>
      </w:r>
      <w:r>
        <w:t>. 2025;15(5):2779-2788. doi:10.1177/21925682251316484</w:t>
      </w:r>
    </w:p>
    <w:p w14:paraId="06D35E8D" w14:textId="77777777" w:rsidR="003B0DAD" w:rsidRDefault="003B0DAD" w:rsidP="003B0DAD">
      <w:pPr>
        <w:pStyle w:val="Bibliography"/>
      </w:pPr>
      <w:r>
        <w:t>38.</w:t>
      </w:r>
      <w:r>
        <w:tab/>
        <w:t xml:space="preserve">Corluka S, Muthu S, Yoon T, et al. Decompression-Only for Lumbar Degenerative Spondylolisthesis - What are the Risk for Failure? - A Systematic Review. </w:t>
      </w:r>
      <w:r>
        <w:rPr>
          <w:i/>
          <w:iCs/>
        </w:rPr>
        <w:t>Global Spine J</w:t>
      </w:r>
      <w:r>
        <w:t>. 2025;15(8):3919-3932. doi:10.1177/21925682251342230</w:t>
      </w:r>
    </w:p>
    <w:p w14:paraId="75DF0C61" w14:textId="77777777" w:rsidR="003B0DAD" w:rsidRDefault="003B0DAD" w:rsidP="003B0DAD">
      <w:pPr>
        <w:pStyle w:val="Bibliography"/>
      </w:pPr>
      <w:r>
        <w:t>39.</w:t>
      </w:r>
      <w:r>
        <w:tab/>
        <w:t xml:space="preserve">Ambrosio L, Schol J, Tamagawa S, et al. Efficacy and Safety of Osteobiologics for Lumbar Spinal Fusion: A Systematic Review and Network Meta-Analysis. </w:t>
      </w:r>
      <w:r>
        <w:rPr>
          <w:i/>
          <w:iCs/>
        </w:rPr>
        <w:t>J Bone Joint Surg Am</w:t>
      </w:r>
      <w:r>
        <w:t>. 2025;107(18):2110-2121. doi:10.2106/JBJS.24.01205</w:t>
      </w:r>
    </w:p>
    <w:p w14:paraId="08EAD82F" w14:textId="77777777" w:rsidR="003B0DAD" w:rsidRDefault="003B0DAD" w:rsidP="003B0DAD">
      <w:pPr>
        <w:pStyle w:val="Bibliography"/>
      </w:pPr>
      <w:r>
        <w:t>40.</w:t>
      </w:r>
      <w:r>
        <w:tab/>
        <w:t xml:space="preserve">Muthu S, Kalanchiam GP, Munisamy S, Viswanathan VK. Incidence of C5 palsy in anterior cervical decompression &amp; fusion, posterior cervical decompression &amp; fusion and laminoplasty for degenerative cervical myelopathy: systematic review and meta-analysis of 21,231 cases. </w:t>
      </w:r>
      <w:r>
        <w:rPr>
          <w:i/>
          <w:iCs/>
        </w:rPr>
        <w:t>Asian Spine J</w:t>
      </w:r>
      <w:r>
        <w:t>. 2026;20(1):158-175. doi:10.31616/asj.2025.0220</w:t>
      </w:r>
    </w:p>
    <w:p w14:paraId="347428C4" w14:textId="77777777" w:rsidR="003B0DAD" w:rsidRDefault="003B0DAD" w:rsidP="003B0DAD">
      <w:pPr>
        <w:pStyle w:val="Bibliography"/>
      </w:pPr>
      <w:r>
        <w:lastRenderedPageBreak/>
        <w:t>41.</w:t>
      </w:r>
      <w:r>
        <w:tab/>
        <w:t xml:space="preserve">Yu A, Tiao J, Cai CW, et al. Radiographic Assessment of Successful Lumbar Spinal Fusion: A Systematic Review of Fusion Criteria in Randomized Trials. </w:t>
      </w:r>
      <w:r>
        <w:rPr>
          <w:i/>
          <w:iCs/>
        </w:rPr>
        <w:t>Global Spine J</w:t>
      </w:r>
      <w:r>
        <w:t>. Published online September 30, 2025:21925682251384662. doi:10.1177/21925682251384662</w:t>
      </w:r>
    </w:p>
    <w:p w14:paraId="674CA8B0" w14:textId="77777777" w:rsidR="003B0DAD" w:rsidRDefault="003B0DAD" w:rsidP="003B0DAD">
      <w:pPr>
        <w:pStyle w:val="Bibliography"/>
      </w:pPr>
      <w:r>
        <w:t>42.</w:t>
      </w:r>
      <w:r>
        <w:tab/>
        <w:t xml:space="preserve">Muthu S, Viswanathan VK, Palani B, et al. Mental Health Problems in Traumatic Spinal Cord Injury Patients - An Umbrella Systematic Review. </w:t>
      </w:r>
      <w:r>
        <w:rPr>
          <w:i/>
          <w:iCs/>
        </w:rPr>
        <w:t>Global Spine J</w:t>
      </w:r>
      <w:r>
        <w:t>. Published online December 8, 2025:21925682251407983. doi:10.1177/21925682251407983</w:t>
      </w:r>
    </w:p>
    <w:p w14:paraId="02F05EB4" w14:textId="77777777" w:rsidR="003B0DAD" w:rsidRDefault="003B0DAD" w:rsidP="003B0DAD">
      <w:pPr>
        <w:pStyle w:val="Bibliography"/>
      </w:pPr>
      <w:r>
        <w:t>43.</w:t>
      </w:r>
      <w:r>
        <w:tab/>
        <w:t xml:space="preserve">Viswanathan VK, Tanbour H, Muthu S, et al. Intact Posterior Tension Band in Spinal Fractures in Patients With Spinal Ankylosing Disorders - Is it a Myth or a Reality? A Systematic Review. </w:t>
      </w:r>
      <w:r>
        <w:rPr>
          <w:i/>
          <w:iCs/>
        </w:rPr>
        <w:t>Global Spine J</w:t>
      </w:r>
      <w:r>
        <w:t>. Published online January 29, 2026:21925682261416430. doi:10.1177/21925682261416430</w:t>
      </w:r>
    </w:p>
    <w:p w14:paraId="5A6DCF0B" w14:textId="77777777" w:rsidR="003B0DAD" w:rsidRDefault="003B0DAD" w:rsidP="003B0DAD">
      <w:pPr>
        <w:pStyle w:val="Bibliography"/>
      </w:pPr>
      <w:r>
        <w:t>44.</w:t>
      </w:r>
      <w:r>
        <w:tab/>
        <w:t>‎Google Gemini. Gemini. Accessed January 13, 2026. https://gemini.google.com</w:t>
      </w:r>
    </w:p>
    <w:p w14:paraId="41ACC6EB" w14:textId="77777777" w:rsidR="003B0DAD" w:rsidRDefault="003B0DAD" w:rsidP="003B0DAD">
      <w:pPr>
        <w:pStyle w:val="Bibliography"/>
      </w:pPr>
      <w:r>
        <w:t>45.</w:t>
      </w:r>
      <w:r>
        <w:tab/>
        <w:t xml:space="preserve">Hupe M. EndNote X9. </w:t>
      </w:r>
      <w:r>
        <w:rPr>
          <w:i/>
          <w:iCs/>
        </w:rPr>
        <w:t>Journal of Electronic Resources in Medical Libraries</w:t>
      </w:r>
      <w:r>
        <w:t>. Published online October 2, 2019. Accessed January 13, 2026. https://www.tandfonline.com/doi/full/10.1080/15424065.2019.1691963</w:t>
      </w:r>
    </w:p>
    <w:p w14:paraId="1C5801C3" w14:textId="77777777" w:rsidR="003B0DAD" w:rsidRDefault="003B0DAD" w:rsidP="003B0DAD">
      <w:pPr>
        <w:pStyle w:val="Bibliography"/>
      </w:pPr>
      <w:r>
        <w:t>46.</w:t>
      </w:r>
      <w:r>
        <w:tab/>
        <w:t xml:space="preserve">Ahmed KKM, Al Dhubaib BE. Zotero: A bibliographic assistant to researcher. </w:t>
      </w:r>
      <w:r>
        <w:rPr>
          <w:i/>
          <w:iCs/>
        </w:rPr>
        <w:t>J Pharmacol Pharmacother</w:t>
      </w:r>
      <w:r>
        <w:t>. 2011;2(4):303-305. doi:10.4103/0976-500X.85940</w:t>
      </w:r>
    </w:p>
    <w:p w14:paraId="774847E4" w14:textId="77777777" w:rsidR="003B0DAD" w:rsidRDefault="003B0DAD" w:rsidP="003B0DAD">
      <w:pPr>
        <w:pStyle w:val="Bibliography"/>
      </w:pPr>
      <w:r>
        <w:t>47.</w:t>
      </w:r>
      <w:r>
        <w:tab/>
        <w:t>Covidence - Better systematic review management. Covidence. Accessed January 13, 2026. https://www.covidence.org/</w:t>
      </w:r>
    </w:p>
    <w:p w14:paraId="2AFADC8E" w14:textId="77777777" w:rsidR="003B0DAD" w:rsidRDefault="003B0DAD" w:rsidP="003B0DAD">
      <w:pPr>
        <w:pStyle w:val="Bibliography"/>
      </w:pPr>
      <w:r>
        <w:t>48.</w:t>
      </w:r>
      <w:r>
        <w:tab/>
        <w:t xml:space="preserve">Ouzzani M, Hammady H, Fedorowicz Z, Elmagarmid A. Rayyan—a web and mobile app for systematic reviews. </w:t>
      </w:r>
      <w:r>
        <w:rPr>
          <w:i/>
          <w:iCs/>
        </w:rPr>
        <w:t>Systematic Reviews</w:t>
      </w:r>
      <w:r>
        <w:t>. 2016;5(1):210. doi:10.1186/s13643-016-0384-4</w:t>
      </w:r>
    </w:p>
    <w:p w14:paraId="74EC0E9F" w14:textId="77777777" w:rsidR="003B0DAD" w:rsidRDefault="003B0DAD" w:rsidP="003B0DAD">
      <w:pPr>
        <w:pStyle w:val="Bibliography"/>
      </w:pPr>
      <w:r>
        <w:t>49.</w:t>
      </w:r>
      <w:r>
        <w:tab/>
        <w:t>DistillerSR | Systematic Review Software | Literature Review Software. DistillerSR. Accessed January 13, 2026. https://www.distillersr.com/products/distillersr-systematic-review-software</w:t>
      </w:r>
    </w:p>
    <w:p w14:paraId="1EF9DE34" w14:textId="77777777" w:rsidR="003B0DAD" w:rsidRDefault="003B0DAD" w:rsidP="003B0DAD">
      <w:pPr>
        <w:pStyle w:val="Bibliography"/>
      </w:pPr>
      <w:r>
        <w:t>50.</w:t>
      </w:r>
      <w:r>
        <w:tab/>
        <w:t>EPPI-Reviewer: systematic review software. Accessed January 13, 2026. https://eppi.ioe.ac.uk/cms/Default.aspx?tabid=2914</w:t>
      </w:r>
    </w:p>
    <w:p w14:paraId="72CE2EDB" w14:textId="77777777" w:rsidR="003B0DAD" w:rsidRDefault="003B0DAD" w:rsidP="003B0DAD">
      <w:pPr>
        <w:pStyle w:val="Bibliography"/>
      </w:pPr>
      <w:r>
        <w:t>51.</w:t>
      </w:r>
      <w:r>
        <w:tab/>
        <w:t xml:space="preserve">Nussbaumer-Streit B, Ellen M, Klerings I, et al. Resource use during systematic review production varies widely: a scoping review. </w:t>
      </w:r>
      <w:r>
        <w:rPr>
          <w:i/>
          <w:iCs/>
        </w:rPr>
        <w:t>J Clin Epidemiol</w:t>
      </w:r>
      <w:r>
        <w:t>. 2021;139:287-296. doi:10.1016/j.jclinepi.2021.05.019</w:t>
      </w:r>
    </w:p>
    <w:p w14:paraId="6AE869B6" w14:textId="77777777" w:rsidR="003B0DAD" w:rsidRDefault="003B0DAD" w:rsidP="003B0DAD">
      <w:pPr>
        <w:pStyle w:val="Bibliography"/>
      </w:pPr>
      <w:r>
        <w:t>52.</w:t>
      </w:r>
      <w:r>
        <w:tab/>
        <w:t xml:space="preserve">Haliassos A, Kasvis D, Karathanos S. The Challenges of Data Privacy and Cybersecurity in Cloud Computing and Artificial Intelligence (AI) Applications for EQA Organizations. </w:t>
      </w:r>
      <w:r>
        <w:rPr>
          <w:i/>
          <w:iCs/>
        </w:rPr>
        <w:t>EJIFCC</w:t>
      </w:r>
      <w:r>
        <w:t>. 2025;36(4):599-604.</w:t>
      </w:r>
    </w:p>
    <w:p w14:paraId="00000048" w14:textId="712C6985" w:rsidR="00B64C21" w:rsidRDefault="005E1AA8">
      <w:pPr>
        <w:rPr>
          <w:rFonts w:ascii="Book Antiqua" w:eastAsia="Book Antiqua" w:hAnsi="Book Antiqua" w:cs="Book Antiqua"/>
          <w:sz w:val="24"/>
          <w:szCs w:val="24"/>
        </w:rPr>
      </w:pPr>
      <w:r>
        <w:rPr>
          <w:rFonts w:ascii="Book Antiqua" w:eastAsia="Book Antiqua" w:hAnsi="Book Antiqua" w:cs="Book Antiqua"/>
          <w:sz w:val="24"/>
          <w:szCs w:val="24"/>
        </w:rPr>
        <w:fldChar w:fldCharType="end"/>
      </w:r>
    </w:p>
    <w:p w14:paraId="00000049" w14:textId="77777777" w:rsidR="00B64C21" w:rsidRDefault="005E1AA8">
      <w:pPr>
        <w:rPr>
          <w:rFonts w:ascii="Book Antiqua" w:eastAsia="Book Antiqua" w:hAnsi="Book Antiqua" w:cs="Book Antiqua"/>
          <w:b/>
          <w:bCs/>
          <w:sz w:val="24"/>
          <w:szCs w:val="24"/>
        </w:rPr>
      </w:pPr>
      <w:r>
        <w:rPr>
          <w:rFonts w:ascii="Book Antiqua" w:eastAsia="Book Antiqua" w:hAnsi="Book Antiqua" w:cs="Book Antiqua"/>
          <w:b/>
          <w:bCs/>
          <w:sz w:val="24"/>
          <w:szCs w:val="24"/>
        </w:rPr>
        <w:t>References</w:t>
      </w:r>
    </w:p>
    <w:p w14:paraId="0000004A"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1. </w:t>
      </w:r>
      <w:r>
        <w:rPr>
          <w:rFonts w:ascii="Book Antiqua" w:eastAsia="Book Antiqua" w:hAnsi="Book Antiqua" w:cs="Book Antiqua"/>
          <w:color w:val="000000"/>
          <w:sz w:val="24"/>
          <w:szCs w:val="24"/>
        </w:rPr>
        <w:tab/>
        <w:t xml:space="preserve">Tenny S., &amp; </w:t>
      </w:r>
      <w:proofErr w:type="spellStart"/>
      <w:r>
        <w:rPr>
          <w:rFonts w:ascii="Book Antiqua" w:eastAsia="Book Antiqua" w:hAnsi="Book Antiqua" w:cs="Book Antiqua"/>
          <w:color w:val="000000"/>
          <w:sz w:val="24"/>
          <w:szCs w:val="24"/>
        </w:rPr>
        <w:t>Varacallo</w:t>
      </w:r>
      <w:proofErr w:type="spellEnd"/>
      <w:r>
        <w:rPr>
          <w:rFonts w:ascii="Book Antiqua" w:eastAsia="Book Antiqua" w:hAnsi="Book Antiqua" w:cs="Book Antiqua"/>
          <w:color w:val="000000"/>
          <w:sz w:val="24"/>
          <w:szCs w:val="24"/>
        </w:rPr>
        <w:t xml:space="preserve"> M. A. (2025). Evidence-Based Medicine. In: </w:t>
      </w:r>
      <w:proofErr w:type="spellStart"/>
      <w:r>
        <w:rPr>
          <w:rFonts w:ascii="Book Antiqua" w:eastAsia="Book Antiqua" w:hAnsi="Book Antiqua" w:cs="Book Antiqua"/>
          <w:color w:val="000000"/>
          <w:sz w:val="24"/>
          <w:szCs w:val="24"/>
        </w:rPr>
        <w:t>StatPearls</w:t>
      </w:r>
      <w:proofErr w:type="spellEnd"/>
      <w:r>
        <w:rPr>
          <w:rFonts w:ascii="Book Antiqua" w:eastAsia="Book Antiqua" w:hAnsi="Book Antiqua" w:cs="Book Antiqua"/>
          <w:color w:val="000000"/>
          <w:sz w:val="24"/>
          <w:szCs w:val="24"/>
        </w:rPr>
        <w:t xml:space="preserve"> Treasure Island (FL): </w:t>
      </w:r>
      <w:proofErr w:type="spellStart"/>
      <w:r>
        <w:rPr>
          <w:rFonts w:ascii="Book Antiqua" w:eastAsia="Book Antiqua" w:hAnsi="Book Antiqua" w:cs="Book Antiqua"/>
          <w:color w:val="000000"/>
          <w:sz w:val="24"/>
          <w:szCs w:val="24"/>
        </w:rPr>
        <w:t>StatPearls</w:t>
      </w:r>
      <w:proofErr w:type="spellEnd"/>
      <w:r>
        <w:rPr>
          <w:rFonts w:ascii="Book Antiqua" w:eastAsia="Book Antiqua" w:hAnsi="Book Antiqua" w:cs="Book Antiqua"/>
          <w:color w:val="000000"/>
          <w:sz w:val="24"/>
          <w:szCs w:val="24"/>
        </w:rPr>
        <w:t xml:space="preserve"> Publishing </w:t>
      </w:r>
    </w:p>
    <w:p w14:paraId="0000004B"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2. </w:t>
      </w:r>
      <w:r>
        <w:rPr>
          <w:rFonts w:ascii="Book Antiqua" w:eastAsia="Book Antiqua" w:hAnsi="Book Antiqua" w:cs="Book Antiqua"/>
          <w:color w:val="000000"/>
          <w:sz w:val="24"/>
          <w:szCs w:val="24"/>
        </w:rPr>
        <w:tab/>
      </w:r>
      <w:proofErr w:type="spellStart"/>
      <w:r>
        <w:rPr>
          <w:rFonts w:ascii="Book Antiqua" w:eastAsia="Book Antiqua" w:hAnsi="Book Antiqua" w:cs="Book Antiqua"/>
          <w:color w:val="000000"/>
          <w:sz w:val="24"/>
          <w:szCs w:val="24"/>
        </w:rPr>
        <w:t>Girinivasan</w:t>
      </w:r>
      <w:proofErr w:type="spellEnd"/>
      <w:r>
        <w:rPr>
          <w:rFonts w:ascii="Book Antiqua" w:eastAsia="Book Antiqua" w:hAnsi="Book Antiqua" w:cs="Book Antiqua"/>
          <w:color w:val="000000"/>
          <w:sz w:val="24"/>
          <w:szCs w:val="24"/>
        </w:rPr>
        <w:t xml:space="preserve"> C., &amp; Sathish M. (2021). Analysis of Reference Practices among Practicing </w:t>
      </w:r>
      <w:proofErr w:type="spellStart"/>
      <w:r>
        <w:rPr>
          <w:rFonts w:ascii="Book Antiqua" w:eastAsia="Book Antiqua" w:hAnsi="Book Antiqua" w:cs="Book Antiqua"/>
          <w:color w:val="000000"/>
          <w:sz w:val="24"/>
          <w:szCs w:val="24"/>
        </w:rPr>
        <w:t>Orthopaedicians</w:t>
      </w:r>
      <w:proofErr w:type="spellEnd"/>
      <w:r>
        <w:rPr>
          <w:rFonts w:ascii="Book Antiqua" w:eastAsia="Book Antiqua" w:hAnsi="Book Antiqua" w:cs="Book Antiqua"/>
          <w:color w:val="000000"/>
          <w:sz w:val="24"/>
          <w:szCs w:val="24"/>
        </w:rPr>
        <w:t xml:space="preserve"> in India. Indian Journal of Orthopaedics, </w:t>
      </w:r>
      <w:r>
        <w:rPr>
          <w:rFonts w:ascii="Book Antiqua" w:eastAsia="Book Antiqua" w:hAnsi="Book Antiqua" w:cs="Book Antiqua"/>
          <w:i/>
          <w:iCs/>
          <w:color w:val="000000"/>
          <w:sz w:val="24"/>
          <w:szCs w:val="24"/>
        </w:rPr>
        <w:t>55</w:t>
      </w:r>
      <w:r>
        <w:rPr>
          <w:rFonts w:ascii="Book Antiqua" w:eastAsia="Book Antiqua" w:hAnsi="Book Antiqua" w:cs="Book Antiqua"/>
          <w:color w:val="000000"/>
          <w:sz w:val="24"/>
          <w:szCs w:val="24"/>
        </w:rPr>
        <w:t xml:space="preserve">(4), 869-878. https://doi.org/10.1007/s43465-021-00350-4 </w:t>
      </w:r>
    </w:p>
    <w:p w14:paraId="0000004C"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lastRenderedPageBreak/>
        <w:t xml:space="preserve">3. </w:t>
      </w:r>
      <w:r>
        <w:rPr>
          <w:rFonts w:ascii="Book Antiqua" w:eastAsia="Book Antiqua" w:hAnsi="Book Antiqua" w:cs="Book Antiqua"/>
          <w:color w:val="000000"/>
          <w:sz w:val="24"/>
          <w:szCs w:val="24"/>
        </w:rPr>
        <w:tab/>
      </w:r>
      <w:proofErr w:type="spellStart"/>
      <w:r>
        <w:rPr>
          <w:rFonts w:ascii="Book Antiqua" w:eastAsia="Book Antiqua" w:hAnsi="Book Antiqua" w:cs="Book Antiqua"/>
          <w:color w:val="000000"/>
          <w:sz w:val="24"/>
          <w:szCs w:val="24"/>
        </w:rPr>
        <w:t>Aromataris</w:t>
      </w:r>
      <w:proofErr w:type="spellEnd"/>
      <w:r>
        <w:rPr>
          <w:rFonts w:ascii="Book Antiqua" w:eastAsia="Book Antiqua" w:hAnsi="Book Antiqua" w:cs="Book Antiqua"/>
          <w:color w:val="000000"/>
          <w:sz w:val="24"/>
          <w:szCs w:val="24"/>
        </w:rPr>
        <w:t xml:space="preserve"> E., Fernandez R., Godfrey C. M., Holly C., Khalil H., &amp; </w:t>
      </w:r>
      <w:proofErr w:type="spellStart"/>
      <w:r>
        <w:rPr>
          <w:rFonts w:ascii="Book Antiqua" w:eastAsia="Book Antiqua" w:hAnsi="Book Antiqua" w:cs="Book Antiqua"/>
          <w:color w:val="000000"/>
          <w:sz w:val="24"/>
          <w:szCs w:val="24"/>
        </w:rPr>
        <w:t>Tungpunkom</w:t>
      </w:r>
      <w:proofErr w:type="spellEnd"/>
      <w:r>
        <w:rPr>
          <w:rFonts w:ascii="Book Antiqua" w:eastAsia="Book Antiqua" w:hAnsi="Book Antiqua" w:cs="Book Antiqua"/>
          <w:color w:val="000000"/>
          <w:sz w:val="24"/>
          <w:szCs w:val="24"/>
        </w:rPr>
        <w:t xml:space="preserve"> P. (2015). Summarizing systematic reviews: methodological development, conduct and reporting of an umbrella review approach. International Journal of Evidence-Based Healthcare, </w:t>
      </w:r>
      <w:r>
        <w:rPr>
          <w:rFonts w:ascii="Book Antiqua" w:eastAsia="Book Antiqua" w:hAnsi="Book Antiqua" w:cs="Book Antiqua"/>
          <w:i/>
          <w:iCs/>
          <w:color w:val="000000"/>
          <w:sz w:val="24"/>
          <w:szCs w:val="24"/>
        </w:rPr>
        <w:t>13</w:t>
      </w:r>
      <w:r>
        <w:rPr>
          <w:rFonts w:ascii="Book Antiqua" w:eastAsia="Book Antiqua" w:hAnsi="Book Antiqua" w:cs="Book Antiqua"/>
          <w:color w:val="000000"/>
          <w:sz w:val="24"/>
          <w:szCs w:val="24"/>
        </w:rPr>
        <w:t xml:space="preserve">(3), 132-140. https://doi.org/10.1097/XEB.0000000000000055 </w:t>
      </w:r>
    </w:p>
    <w:p w14:paraId="0000004D"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4. </w:t>
      </w:r>
      <w:r>
        <w:rPr>
          <w:rFonts w:ascii="Book Antiqua" w:eastAsia="Book Antiqua" w:hAnsi="Book Antiqua" w:cs="Book Antiqua"/>
          <w:color w:val="000000"/>
          <w:sz w:val="24"/>
          <w:szCs w:val="24"/>
        </w:rPr>
        <w:tab/>
      </w:r>
      <w:proofErr w:type="spellStart"/>
      <w:r>
        <w:rPr>
          <w:rFonts w:ascii="Book Antiqua" w:eastAsia="Book Antiqua" w:hAnsi="Book Antiqua" w:cs="Book Antiqua"/>
          <w:color w:val="000000"/>
          <w:sz w:val="24"/>
          <w:szCs w:val="24"/>
        </w:rPr>
        <w:t>Haidich</w:t>
      </w:r>
      <w:proofErr w:type="spellEnd"/>
      <w:r>
        <w:rPr>
          <w:rFonts w:ascii="Book Antiqua" w:eastAsia="Book Antiqua" w:hAnsi="Book Antiqua" w:cs="Book Antiqua"/>
          <w:color w:val="000000"/>
          <w:sz w:val="24"/>
          <w:szCs w:val="24"/>
        </w:rPr>
        <w:t xml:space="preserve"> A. B. (2010). Meta-analysis in medical research. </w:t>
      </w:r>
      <w:proofErr w:type="spellStart"/>
      <w:r>
        <w:rPr>
          <w:rFonts w:ascii="Book Antiqua" w:eastAsia="Book Antiqua" w:hAnsi="Book Antiqua" w:cs="Book Antiqua"/>
          <w:color w:val="000000"/>
          <w:sz w:val="24"/>
          <w:szCs w:val="24"/>
        </w:rPr>
        <w:t>Hippokratia</w:t>
      </w:r>
      <w:proofErr w:type="spellEnd"/>
      <w:r>
        <w:rPr>
          <w:rFonts w:ascii="Book Antiqua" w:eastAsia="Book Antiqua" w:hAnsi="Book Antiqua" w:cs="Book Antiqua"/>
          <w:color w:val="000000"/>
          <w:sz w:val="24"/>
          <w:szCs w:val="24"/>
        </w:rPr>
        <w:t xml:space="preserve">, </w:t>
      </w:r>
      <w:r>
        <w:rPr>
          <w:rFonts w:ascii="Book Antiqua" w:eastAsia="Book Antiqua" w:hAnsi="Book Antiqua" w:cs="Book Antiqua"/>
          <w:i/>
          <w:iCs/>
          <w:color w:val="000000"/>
          <w:sz w:val="24"/>
          <w:szCs w:val="24"/>
        </w:rPr>
        <w:t>14</w:t>
      </w:r>
      <w:r>
        <w:rPr>
          <w:rFonts w:ascii="Book Antiqua" w:eastAsia="Book Antiqua" w:hAnsi="Book Antiqua" w:cs="Book Antiqua"/>
          <w:color w:val="000000"/>
          <w:sz w:val="24"/>
          <w:szCs w:val="24"/>
        </w:rPr>
        <w:t>(</w:t>
      </w:r>
      <w:proofErr w:type="spellStart"/>
      <w:r>
        <w:rPr>
          <w:rFonts w:ascii="Book Antiqua" w:eastAsia="Book Antiqua" w:hAnsi="Book Antiqua" w:cs="Book Antiqua"/>
          <w:color w:val="000000"/>
          <w:sz w:val="24"/>
          <w:szCs w:val="24"/>
        </w:rPr>
        <w:t>Suppl</w:t>
      </w:r>
      <w:proofErr w:type="spellEnd"/>
      <w:r>
        <w:rPr>
          <w:rFonts w:ascii="Book Antiqua" w:eastAsia="Book Antiqua" w:hAnsi="Book Antiqua" w:cs="Book Antiqua"/>
          <w:color w:val="000000"/>
          <w:sz w:val="24"/>
          <w:szCs w:val="24"/>
        </w:rPr>
        <w:t xml:space="preserve"> 1), 29-37. </w:t>
      </w:r>
    </w:p>
    <w:p w14:paraId="0000004E" w14:textId="1FBD2C5B"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5. </w:t>
      </w:r>
      <w:r>
        <w:rPr>
          <w:rFonts w:ascii="Book Antiqua" w:eastAsia="Book Antiqua" w:hAnsi="Book Antiqua" w:cs="Book Antiqua"/>
          <w:color w:val="000000"/>
          <w:sz w:val="24"/>
          <w:szCs w:val="24"/>
        </w:rPr>
        <w:tab/>
        <w:t xml:space="preserve">Sathish M., &amp; Eswar R. (2021). Systematic Reviews and Meta-Analysis in Spine </w:t>
      </w:r>
      <w:r w:rsidR="002C6441">
        <w:rPr>
          <w:rFonts w:ascii="Book Antiqua" w:eastAsia="Book Antiqua" w:hAnsi="Book Antiqua" w:cs="Book Antiqua"/>
          <w:color w:val="000000"/>
          <w:sz w:val="24"/>
          <w:szCs w:val="24"/>
        </w:rPr>
        <w:t>Surgery: How</w:t>
      </w:r>
      <w:r>
        <w:rPr>
          <w:rFonts w:ascii="Book Antiqua" w:eastAsia="Book Antiqua" w:hAnsi="Book Antiqua" w:cs="Book Antiqua"/>
          <w:color w:val="000000"/>
          <w:sz w:val="24"/>
          <w:szCs w:val="24"/>
        </w:rPr>
        <w:t xml:space="preserve"> Good Are They in Methodological Quality? A Systematic Review. Global Spine Journal, </w:t>
      </w:r>
      <w:r>
        <w:rPr>
          <w:rFonts w:ascii="Book Antiqua" w:eastAsia="Book Antiqua" w:hAnsi="Book Antiqua" w:cs="Book Antiqua"/>
          <w:i/>
          <w:iCs/>
          <w:color w:val="000000"/>
          <w:sz w:val="24"/>
          <w:szCs w:val="24"/>
        </w:rPr>
        <w:t>11</w:t>
      </w:r>
      <w:r>
        <w:rPr>
          <w:rFonts w:ascii="Book Antiqua" w:eastAsia="Book Antiqua" w:hAnsi="Book Antiqua" w:cs="Book Antiqua"/>
          <w:color w:val="000000"/>
          <w:sz w:val="24"/>
          <w:szCs w:val="24"/>
        </w:rPr>
        <w:t xml:space="preserve">(3), 378-399. https://doi.org/10.1177/2192568220906810 </w:t>
      </w:r>
    </w:p>
    <w:p w14:paraId="0000004F"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6. </w:t>
      </w:r>
      <w:r>
        <w:rPr>
          <w:rFonts w:ascii="Book Antiqua" w:eastAsia="Book Antiqua" w:hAnsi="Book Antiqua" w:cs="Book Antiqua"/>
          <w:color w:val="000000"/>
          <w:sz w:val="24"/>
          <w:szCs w:val="24"/>
        </w:rPr>
        <w:tab/>
        <w:t xml:space="preserve">Borah R., Brown A. W., Capers P. L., &amp; Kaiser K. A. (2017). Analysis of the time and workers needed to conduct systematic reviews of medical interventions using data from the PROSPERO registry. BMJ open, </w:t>
      </w:r>
      <w:r>
        <w:rPr>
          <w:rFonts w:ascii="Book Antiqua" w:eastAsia="Book Antiqua" w:hAnsi="Book Antiqua" w:cs="Book Antiqua"/>
          <w:i/>
          <w:iCs/>
          <w:color w:val="000000"/>
          <w:sz w:val="24"/>
          <w:szCs w:val="24"/>
        </w:rPr>
        <w:t>7</w:t>
      </w:r>
      <w:r>
        <w:rPr>
          <w:rFonts w:ascii="Book Antiqua" w:eastAsia="Book Antiqua" w:hAnsi="Book Antiqua" w:cs="Book Antiqua"/>
          <w:color w:val="000000"/>
          <w:sz w:val="24"/>
          <w:szCs w:val="24"/>
        </w:rPr>
        <w:t xml:space="preserve">(2), e012545. https://doi.org/10.1136/bmjopen-2016-012545 </w:t>
      </w:r>
    </w:p>
    <w:p w14:paraId="00000050"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7. </w:t>
      </w:r>
      <w:r>
        <w:rPr>
          <w:rFonts w:ascii="Book Antiqua" w:eastAsia="Book Antiqua" w:hAnsi="Book Antiqua" w:cs="Book Antiqua"/>
          <w:color w:val="000000"/>
          <w:sz w:val="24"/>
          <w:szCs w:val="24"/>
        </w:rPr>
        <w:tab/>
        <w:t xml:space="preserve">Simmonds M. C., Higgins J. P. T., Stewart L. A., Tierney J. F., Clarke M. J., &amp; Thompson S. G. (2005). Meta-analysis of individual patient data from randomized trials: a review of methods used in practice. Clinical Trials (London, England), </w:t>
      </w:r>
      <w:r>
        <w:rPr>
          <w:rFonts w:ascii="Book Antiqua" w:eastAsia="Book Antiqua" w:hAnsi="Book Antiqua" w:cs="Book Antiqua"/>
          <w:i/>
          <w:iCs/>
          <w:color w:val="000000"/>
          <w:sz w:val="24"/>
          <w:szCs w:val="24"/>
        </w:rPr>
        <w:t>2</w:t>
      </w:r>
      <w:r>
        <w:rPr>
          <w:rFonts w:ascii="Book Antiqua" w:eastAsia="Book Antiqua" w:hAnsi="Book Antiqua" w:cs="Book Antiqua"/>
          <w:color w:val="000000"/>
          <w:sz w:val="24"/>
          <w:szCs w:val="24"/>
        </w:rPr>
        <w:t xml:space="preserve">(3), 209-217. https://doi.org/10.1191/1740774505cn087oa </w:t>
      </w:r>
    </w:p>
    <w:p w14:paraId="00000051"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8. </w:t>
      </w:r>
      <w:r>
        <w:rPr>
          <w:rFonts w:ascii="Book Antiqua" w:eastAsia="Book Antiqua" w:hAnsi="Book Antiqua" w:cs="Book Antiqua"/>
          <w:color w:val="000000"/>
          <w:sz w:val="24"/>
          <w:szCs w:val="24"/>
        </w:rPr>
        <w:tab/>
        <w:t xml:space="preserve">González-Márquez R., Schmidt L., Schmidt B. M., Berens P., &amp; Kobak D. (2024). The landscape of biomedical research. Patterns, </w:t>
      </w:r>
      <w:r>
        <w:rPr>
          <w:rFonts w:ascii="Book Antiqua" w:eastAsia="Book Antiqua" w:hAnsi="Book Antiqua" w:cs="Book Antiqua"/>
          <w:i/>
          <w:iCs/>
          <w:color w:val="000000"/>
          <w:sz w:val="24"/>
          <w:szCs w:val="24"/>
        </w:rPr>
        <w:t>5</w:t>
      </w:r>
      <w:r>
        <w:rPr>
          <w:rFonts w:ascii="Book Antiqua" w:eastAsia="Book Antiqua" w:hAnsi="Book Antiqua" w:cs="Book Antiqua"/>
          <w:color w:val="000000"/>
          <w:sz w:val="24"/>
          <w:szCs w:val="24"/>
        </w:rPr>
        <w:t xml:space="preserve">(6), 100968. https://doi.org/10.1016/j.patter.2024.100968 </w:t>
      </w:r>
    </w:p>
    <w:p w14:paraId="00000052"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9. </w:t>
      </w:r>
      <w:r>
        <w:rPr>
          <w:rFonts w:ascii="Book Antiqua" w:eastAsia="Book Antiqua" w:hAnsi="Book Antiqua" w:cs="Book Antiqua"/>
          <w:color w:val="000000"/>
          <w:sz w:val="24"/>
          <w:szCs w:val="24"/>
        </w:rPr>
        <w:tab/>
        <w:t xml:space="preserve">Page M. J., McKenzie J. E., Bossuyt P. M., </w:t>
      </w:r>
      <w:proofErr w:type="spellStart"/>
      <w:r>
        <w:rPr>
          <w:rFonts w:ascii="Book Antiqua" w:eastAsia="Book Antiqua" w:hAnsi="Book Antiqua" w:cs="Book Antiqua"/>
          <w:color w:val="000000"/>
          <w:sz w:val="24"/>
          <w:szCs w:val="24"/>
        </w:rPr>
        <w:t>Boutron</w:t>
      </w:r>
      <w:proofErr w:type="spellEnd"/>
      <w:r>
        <w:rPr>
          <w:rFonts w:ascii="Book Antiqua" w:eastAsia="Book Antiqua" w:hAnsi="Book Antiqua" w:cs="Book Antiqua"/>
          <w:color w:val="000000"/>
          <w:sz w:val="24"/>
          <w:szCs w:val="24"/>
        </w:rPr>
        <w:t xml:space="preserve"> I., Hoffmann T. C., Mulrow C. D., et al. (2021). The PRISMA 2020 statement: an updated guideline for reporting systematic reviews. BMJ, </w:t>
      </w:r>
      <w:r>
        <w:rPr>
          <w:rFonts w:ascii="Book Antiqua" w:eastAsia="Book Antiqua" w:hAnsi="Book Antiqua" w:cs="Book Antiqua"/>
          <w:i/>
          <w:iCs/>
          <w:color w:val="000000"/>
          <w:sz w:val="24"/>
          <w:szCs w:val="24"/>
        </w:rPr>
        <w:t>372</w:t>
      </w:r>
      <w:r>
        <w:rPr>
          <w:rFonts w:ascii="Book Antiqua" w:eastAsia="Book Antiqua" w:hAnsi="Book Antiqua" w:cs="Book Antiqua"/>
          <w:color w:val="000000"/>
          <w:sz w:val="24"/>
          <w:szCs w:val="24"/>
        </w:rPr>
        <w:t xml:space="preserve">, n71. https://doi.org/10.1136/bmj.n71 </w:t>
      </w:r>
    </w:p>
    <w:p w14:paraId="00000053"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10. </w:t>
      </w:r>
      <w:r>
        <w:rPr>
          <w:rFonts w:ascii="Book Antiqua" w:eastAsia="Book Antiqua" w:hAnsi="Book Antiqua" w:cs="Book Antiqua"/>
          <w:color w:val="000000"/>
          <w:sz w:val="24"/>
          <w:szCs w:val="24"/>
        </w:rPr>
        <w:tab/>
        <w:t xml:space="preserve">Cumpston M., Li T., Page M. J., Chandler J., Welch V. A., Higgins J. P., et al. (2019). Updated guidance for trusted systematic reviews: a new edition of the Cochrane Handbook for Systematic Reviews of Interventions. The Cochrane Database of Systematic Reviews, </w:t>
      </w:r>
      <w:r>
        <w:rPr>
          <w:rFonts w:ascii="Book Antiqua" w:eastAsia="Book Antiqua" w:hAnsi="Book Antiqua" w:cs="Book Antiqua"/>
          <w:i/>
          <w:iCs/>
          <w:color w:val="000000"/>
          <w:sz w:val="24"/>
          <w:szCs w:val="24"/>
        </w:rPr>
        <w:t>2019</w:t>
      </w:r>
      <w:r>
        <w:rPr>
          <w:rFonts w:ascii="Book Antiqua" w:eastAsia="Book Antiqua" w:hAnsi="Book Antiqua" w:cs="Book Antiqua"/>
          <w:color w:val="000000"/>
          <w:sz w:val="24"/>
          <w:szCs w:val="24"/>
        </w:rPr>
        <w:t xml:space="preserve">(10), ED000142. https://doi.org/10.1002/14651858.ED000142 </w:t>
      </w:r>
    </w:p>
    <w:p w14:paraId="00000054"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11. </w:t>
      </w:r>
      <w:r>
        <w:rPr>
          <w:rFonts w:ascii="Book Antiqua" w:eastAsia="Book Antiqua" w:hAnsi="Book Antiqua" w:cs="Book Antiqua"/>
          <w:color w:val="000000"/>
          <w:sz w:val="24"/>
          <w:szCs w:val="24"/>
        </w:rPr>
        <w:tab/>
        <w:t xml:space="preserve">Bajwa J., Munir U., Nori A., &amp; Williams B. (2021). Artificial intelligence in healthcare: transforming the practice of medicine. Future Healthcare Journal, </w:t>
      </w:r>
      <w:r>
        <w:rPr>
          <w:rFonts w:ascii="Book Antiqua" w:eastAsia="Book Antiqua" w:hAnsi="Book Antiqua" w:cs="Book Antiqua"/>
          <w:i/>
          <w:iCs/>
          <w:color w:val="000000"/>
          <w:sz w:val="24"/>
          <w:szCs w:val="24"/>
        </w:rPr>
        <w:t>8</w:t>
      </w:r>
      <w:r>
        <w:rPr>
          <w:rFonts w:ascii="Book Antiqua" w:eastAsia="Book Antiqua" w:hAnsi="Book Antiqua" w:cs="Book Antiqua"/>
          <w:color w:val="000000"/>
          <w:sz w:val="24"/>
          <w:szCs w:val="24"/>
        </w:rPr>
        <w:t xml:space="preserve">(2), e188-e194. https://doi.org/10.7861/fhj.2021-0095 </w:t>
      </w:r>
    </w:p>
    <w:p w14:paraId="00000055"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12. </w:t>
      </w:r>
      <w:r>
        <w:rPr>
          <w:rFonts w:ascii="Book Antiqua" w:eastAsia="Book Antiqua" w:hAnsi="Book Antiqua" w:cs="Book Antiqua"/>
          <w:color w:val="000000"/>
          <w:sz w:val="24"/>
          <w:szCs w:val="24"/>
        </w:rPr>
        <w:tab/>
        <w:t xml:space="preserve">Ruan M., Fan J., Liu M., Meng Z., Zhang X., &amp; Zhang C. (2025). Artificial intelligence for the science of evidence synthesis: how good are AI-powered tools for automatic literature screening? BMC Medical Research Methodology, </w:t>
      </w:r>
      <w:r>
        <w:rPr>
          <w:rFonts w:ascii="Book Antiqua" w:eastAsia="Book Antiqua" w:hAnsi="Book Antiqua" w:cs="Book Antiqua"/>
          <w:i/>
          <w:iCs/>
          <w:color w:val="000000"/>
          <w:sz w:val="24"/>
          <w:szCs w:val="24"/>
        </w:rPr>
        <w:t>25</w:t>
      </w:r>
      <w:r>
        <w:rPr>
          <w:rFonts w:ascii="Book Antiqua" w:eastAsia="Book Antiqua" w:hAnsi="Book Antiqua" w:cs="Book Antiqua"/>
          <w:color w:val="000000"/>
          <w:sz w:val="24"/>
          <w:szCs w:val="24"/>
        </w:rPr>
        <w:t xml:space="preserve">, 199. https://doi.org/10.1186/s12874-025-02644-9 </w:t>
      </w:r>
    </w:p>
    <w:p w14:paraId="00000056"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lastRenderedPageBreak/>
        <w:t xml:space="preserve">13. </w:t>
      </w:r>
      <w:r>
        <w:rPr>
          <w:rFonts w:ascii="Book Antiqua" w:eastAsia="Book Antiqua" w:hAnsi="Book Antiqua" w:cs="Book Antiqua"/>
          <w:color w:val="000000"/>
          <w:sz w:val="24"/>
          <w:szCs w:val="24"/>
        </w:rPr>
        <w:tab/>
      </w:r>
      <w:proofErr w:type="spellStart"/>
      <w:r>
        <w:rPr>
          <w:rFonts w:ascii="Book Antiqua" w:eastAsia="Book Antiqua" w:hAnsi="Book Antiqua" w:cs="Book Antiqua"/>
          <w:color w:val="000000"/>
          <w:sz w:val="24"/>
          <w:szCs w:val="24"/>
        </w:rPr>
        <w:t>Thirunavukarasu</w:t>
      </w:r>
      <w:proofErr w:type="spellEnd"/>
      <w:r>
        <w:rPr>
          <w:rFonts w:ascii="Book Antiqua" w:eastAsia="Book Antiqua" w:hAnsi="Book Antiqua" w:cs="Book Antiqua"/>
          <w:color w:val="000000"/>
          <w:sz w:val="24"/>
          <w:szCs w:val="24"/>
        </w:rPr>
        <w:t xml:space="preserve"> A. J., Ting D. S. J., Elangovan K., Gutierrez L., Tan T. F., &amp; Ting D. S. W. (2023). Large language models in medicine. Nature Medicine, </w:t>
      </w:r>
      <w:r>
        <w:rPr>
          <w:rFonts w:ascii="Book Antiqua" w:eastAsia="Book Antiqua" w:hAnsi="Book Antiqua" w:cs="Book Antiqua"/>
          <w:i/>
          <w:iCs/>
          <w:color w:val="000000"/>
          <w:sz w:val="24"/>
          <w:szCs w:val="24"/>
        </w:rPr>
        <w:t>29</w:t>
      </w:r>
      <w:r>
        <w:rPr>
          <w:rFonts w:ascii="Book Antiqua" w:eastAsia="Book Antiqua" w:hAnsi="Book Antiqua" w:cs="Book Antiqua"/>
          <w:color w:val="000000"/>
          <w:sz w:val="24"/>
          <w:szCs w:val="24"/>
        </w:rPr>
        <w:t xml:space="preserve">(8), 1930-1940. https://doi.org/10.1038/s41591-023-02448-8 </w:t>
      </w:r>
    </w:p>
    <w:p w14:paraId="00000057"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14. </w:t>
      </w:r>
      <w:r>
        <w:rPr>
          <w:rFonts w:ascii="Book Antiqua" w:eastAsia="Book Antiqua" w:hAnsi="Book Antiqua" w:cs="Book Antiqua"/>
          <w:color w:val="000000"/>
          <w:sz w:val="24"/>
          <w:szCs w:val="24"/>
        </w:rPr>
        <w:tab/>
        <w:t xml:space="preserve">Muthu S. (2023). The efficiency of machine learning-assisted platform for article screening in systematic reviews in orthopaedics. International Orthopaedics, </w:t>
      </w:r>
      <w:r>
        <w:rPr>
          <w:rFonts w:ascii="Book Antiqua" w:eastAsia="Book Antiqua" w:hAnsi="Book Antiqua" w:cs="Book Antiqua"/>
          <w:i/>
          <w:iCs/>
          <w:color w:val="000000"/>
          <w:sz w:val="24"/>
          <w:szCs w:val="24"/>
        </w:rPr>
        <w:t>47</w:t>
      </w:r>
      <w:r>
        <w:rPr>
          <w:rFonts w:ascii="Book Antiqua" w:eastAsia="Book Antiqua" w:hAnsi="Book Antiqua" w:cs="Book Antiqua"/>
          <w:color w:val="000000"/>
          <w:sz w:val="24"/>
          <w:szCs w:val="24"/>
        </w:rPr>
        <w:t xml:space="preserve">(2), 551-556. https://doi.org/10.1007/s00264-022-05672-y </w:t>
      </w:r>
    </w:p>
    <w:p w14:paraId="00000058"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15. </w:t>
      </w:r>
      <w:r>
        <w:rPr>
          <w:rFonts w:ascii="Book Antiqua" w:eastAsia="Book Antiqua" w:hAnsi="Book Antiqua" w:cs="Book Antiqua"/>
          <w:color w:val="000000"/>
          <w:sz w:val="24"/>
          <w:szCs w:val="24"/>
        </w:rPr>
        <w:tab/>
        <w:t xml:space="preserve">Zou J., &amp; Topol E. J. (2025). The rise of agentic AI teammates in medicine. The Lancet, </w:t>
      </w:r>
      <w:r>
        <w:rPr>
          <w:rFonts w:ascii="Book Antiqua" w:eastAsia="Book Antiqua" w:hAnsi="Book Antiqua" w:cs="Book Antiqua"/>
          <w:i/>
          <w:iCs/>
          <w:color w:val="000000"/>
          <w:sz w:val="24"/>
          <w:szCs w:val="24"/>
        </w:rPr>
        <w:t>405</w:t>
      </w:r>
      <w:r>
        <w:rPr>
          <w:rFonts w:ascii="Book Antiqua" w:eastAsia="Book Antiqua" w:hAnsi="Book Antiqua" w:cs="Book Antiqua"/>
          <w:color w:val="000000"/>
          <w:sz w:val="24"/>
          <w:szCs w:val="24"/>
        </w:rPr>
        <w:t xml:space="preserve">(10477), 457. https://doi.org/10.1016/S0140-6736(25)00202-8 </w:t>
      </w:r>
    </w:p>
    <w:p w14:paraId="00000059"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16. </w:t>
      </w:r>
      <w:r>
        <w:rPr>
          <w:rFonts w:ascii="Book Antiqua" w:eastAsia="Book Antiqua" w:hAnsi="Book Antiqua" w:cs="Book Antiqua"/>
          <w:color w:val="000000"/>
          <w:sz w:val="24"/>
          <w:szCs w:val="24"/>
        </w:rPr>
        <w:tab/>
        <w:t xml:space="preserve">Karunanayake N. (2025). Next-generation agentic AI for transforming healthcare. Informatics and Health, </w:t>
      </w:r>
      <w:r>
        <w:rPr>
          <w:rFonts w:ascii="Book Antiqua" w:eastAsia="Book Antiqua" w:hAnsi="Book Antiqua" w:cs="Book Antiqua"/>
          <w:i/>
          <w:iCs/>
          <w:color w:val="000000"/>
          <w:sz w:val="24"/>
          <w:szCs w:val="24"/>
        </w:rPr>
        <w:t>2</w:t>
      </w:r>
      <w:r>
        <w:rPr>
          <w:rFonts w:ascii="Book Antiqua" w:eastAsia="Book Antiqua" w:hAnsi="Book Antiqua" w:cs="Book Antiqua"/>
          <w:color w:val="000000"/>
          <w:sz w:val="24"/>
          <w:szCs w:val="24"/>
        </w:rPr>
        <w:t xml:space="preserve">(2), 73-83. https://doi.org/10.1016/j.infoh.2025.03.001 </w:t>
      </w:r>
    </w:p>
    <w:p w14:paraId="0000005A"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17. </w:t>
      </w:r>
      <w:r>
        <w:rPr>
          <w:rFonts w:ascii="Book Antiqua" w:eastAsia="Book Antiqua" w:hAnsi="Book Antiqua" w:cs="Book Antiqua"/>
          <w:color w:val="000000"/>
          <w:sz w:val="24"/>
          <w:szCs w:val="24"/>
        </w:rPr>
        <w:tab/>
        <w:t xml:space="preserve">Holst D., Moenck K., Koch J., </w:t>
      </w:r>
      <w:proofErr w:type="spellStart"/>
      <w:r>
        <w:rPr>
          <w:rFonts w:ascii="Book Antiqua" w:eastAsia="Book Antiqua" w:hAnsi="Book Antiqua" w:cs="Book Antiqua"/>
          <w:color w:val="000000"/>
          <w:sz w:val="24"/>
          <w:szCs w:val="24"/>
        </w:rPr>
        <w:t>Schmedemann</w:t>
      </w:r>
      <w:proofErr w:type="spellEnd"/>
      <w:r>
        <w:rPr>
          <w:rFonts w:ascii="Book Antiqua" w:eastAsia="Book Antiqua" w:hAnsi="Book Antiqua" w:cs="Book Antiqua"/>
          <w:color w:val="000000"/>
          <w:sz w:val="24"/>
          <w:szCs w:val="24"/>
        </w:rPr>
        <w:t xml:space="preserve"> O., &amp; </w:t>
      </w:r>
      <w:proofErr w:type="spellStart"/>
      <w:r>
        <w:rPr>
          <w:rFonts w:ascii="Book Antiqua" w:eastAsia="Book Antiqua" w:hAnsi="Book Antiqua" w:cs="Book Antiqua"/>
          <w:color w:val="000000"/>
          <w:sz w:val="24"/>
          <w:szCs w:val="24"/>
        </w:rPr>
        <w:t>Schüppstuhl</w:t>
      </w:r>
      <w:proofErr w:type="spellEnd"/>
      <w:r>
        <w:rPr>
          <w:rFonts w:ascii="Book Antiqua" w:eastAsia="Book Antiqua" w:hAnsi="Book Antiqua" w:cs="Book Antiqua"/>
          <w:color w:val="000000"/>
          <w:sz w:val="24"/>
          <w:szCs w:val="24"/>
        </w:rPr>
        <w:t xml:space="preserve"> T. (2025). Transparent Reporting of AI in Systematic Literature Reviews: Development of the PRISMA-</w:t>
      </w:r>
      <w:proofErr w:type="spellStart"/>
      <w:r>
        <w:rPr>
          <w:rFonts w:ascii="Book Antiqua" w:eastAsia="Book Antiqua" w:hAnsi="Book Antiqua" w:cs="Book Antiqua"/>
          <w:color w:val="000000"/>
          <w:sz w:val="24"/>
          <w:szCs w:val="24"/>
        </w:rPr>
        <w:t>trAIce</w:t>
      </w:r>
      <w:proofErr w:type="spellEnd"/>
      <w:r>
        <w:rPr>
          <w:rFonts w:ascii="Book Antiqua" w:eastAsia="Book Antiqua" w:hAnsi="Book Antiqua" w:cs="Book Antiqua"/>
          <w:color w:val="000000"/>
          <w:sz w:val="24"/>
          <w:szCs w:val="24"/>
        </w:rPr>
        <w:t xml:space="preserve"> Checklist. JMIR AI, </w:t>
      </w:r>
      <w:r>
        <w:rPr>
          <w:rFonts w:ascii="Book Antiqua" w:eastAsia="Book Antiqua" w:hAnsi="Book Antiqua" w:cs="Book Antiqua"/>
          <w:i/>
          <w:iCs/>
          <w:color w:val="000000"/>
          <w:sz w:val="24"/>
          <w:szCs w:val="24"/>
        </w:rPr>
        <w:t>4</w:t>
      </w:r>
      <w:r>
        <w:rPr>
          <w:rFonts w:ascii="Book Antiqua" w:eastAsia="Book Antiqua" w:hAnsi="Book Antiqua" w:cs="Book Antiqua"/>
          <w:color w:val="000000"/>
          <w:sz w:val="24"/>
          <w:szCs w:val="24"/>
        </w:rPr>
        <w:t xml:space="preserve">(1), e80247. https://doi.org/10.2196/80247 </w:t>
      </w:r>
    </w:p>
    <w:p w14:paraId="0000005B"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18. </w:t>
      </w:r>
      <w:r>
        <w:rPr>
          <w:rFonts w:ascii="Book Antiqua" w:eastAsia="Book Antiqua" w:hAnsi="Book Antiqua" w:cs="Book Antiqua"/>
          <w:color w:val="000000"/>
          <w:sz w:val="24"/>
          <w:szCs w:val="24"/>
        </w:rPr>
        <w:tab/>
        <w:t xml:space="preserve">‎Google Gemini. https://gemini.google.com. Accessed 13.1.2026. https://gemini.google.com. Accessed January 13, 2026 </w:t>
      </w:r>
    </w:p>
    <w:p w14:paraId="0000005C"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19. </w:t>
      </w:r>
      <w:r>
        <w:rPr>
          <w:rFonts w:ascii="Book Antiqua" w:eastAsia="Book Antiqua" w:hAnsi="Book Antiqua" w:cs="Book Antiqua"/>
          <w:color w:val="000000"/>
          <w:sz w:val="24"/>
          <w:szCs w:val="24"/>
        </w:rPr>
        <w:tab/>
        <w:t xml:space="preserve">Hupe M. (2019). EndNote X9. Journal of Electronic Resources in Medical Libraries. </w:t>
      </w:r>
    </w:p>
    <w:p w14:paraId="0000005D"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20. </w:t>
      </w:r>
      <w:r>
        <w:rPr>
          <w:rFonts w:ascii="Book Antiqua" w:eastAsia="Book Antiqua" w:hAnsi="Book Antiqua" w:cs="Book Antiqua"/>
          <w:color w:val="000000"/>
          <w:sz w:val="24"/>
          <w:szCs w:val="24"/>
        </w:rPr>
        <w:tab/>
        <w:t xml:space="preserve">Ahmed K. K. M., &amp; Al </w:t>
      </w:r>
      <w:proofErr w:type="spellStart"/>
      <w:r>
        <w:rPr>
          <w:rFonts w:ascii="Book Antiqua" w:eastAsia="Book Antiqua" w:hAnsi="Book Antiqua" w:cs="Book Antiqua"/>
          <w:color w:val="000000"/>
          <w:sz w:val="24"/>
          <w:szCs w:val="24"/>
        </w:rPr>
        <w:t>Dhubaib</w:t>
      </w:r>
      <w:proofErr w:type="spellEnd"/>
      <w:r>
        <w:rPr>
          <w:rFonts w:ascii="Book Antiqua" w:eastAsia="Book Antiqua" w:hAnsi="Book Antiqua" w:cs="Book Antiqua"/>
          <w:color w:val="000000"/>
          <w:sz w:val="24"/>
          <w:szCs w:val="24"/>
        </w:rPr>
        <w:t xml:space="preserve"> B. E. (2011). Zotero: A bibliographic assistant to researcher. Journal of Pharmacology &amp; Pharmacotherapeutics, </w:t>
      </w:r>
      <w:r>
        <w:rPr>
          <w:rFonts w:ascii="Book Antiqua" w:eastAsia="Book Antiqua" w:hAnsi="Book Antiqua" w:cs="Book Antiqua"/>
          <w:i/>
          <w:iCs/>
          <w:color w:val="000000"/>
          <w:sz w:val="24"/>
          <w:szCs w:val="24"/>
        </w:rPr>
        <w:t>2</w:t>
      </w:r>
      <w:r>
        <w:rPr>
          <w:rFonts w:ascii="Book Antiqua" w:eastAsia="Book Antiqua" w:hAnsi="Book Antiqua" w:cs="Book Antiqua"/>
          <w:color w:val="000000"/>
          <w:sz w:val="24"/>
          <w:szCs w:val="24"/>
        </w:rPr>
        <w:t xml:space="preserve">(4), 303-305. https://doi.org/10.4103/0976-500X.85940 </w:t>
      </w:r>
    </w:p>
    <w:p w14:paraId="0000005E"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21. </w:t>
      </w:r>
      <w:r>
        <w:rPr>
          <w:rFonts w:ascii="Book Antiqua" w:eastAsia="Book Antiqua" w:hAnsi="Book Antiqua" w:cs="Book Antiqua"/>
          <w:color w:val="000000"/>
          <w:sz w:val="24"/>
          <w:szCs w:val="24"/>
        </w:rPr>
        <w:tab/>
        <w:t xml:space="preserve">Covidence - Better systematic review management. https://www.covidence.org/. Accessed 13.1.2026. https://www.covidence.org/. Accessed January 13, 2026 </w:t>
      </w:r>
    </w:p>
    <w:p w14:paraId="0000005F"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22. </w:t>
      </w:r>
      <w:r>
        <w:rPr>
          <w:rFonts w:ascii="Book Antiqua" w:eastAsia="Book Antiqua" w:hAnsi="Book Antiqua" w:cs="Book Antiqua"/>
          <w:color w:val="000000"/>
          <w:sz w:val="24"/>
          <w:szCs w:val="24"/>
        </w:rPr>
        <w:tab/>
      </w:r>
      <w:proofErr w:type="spellStart"/>
      <w:r>
        <w:rPr>
          <w:rFonts w:ascii="Book Antiqua" w:eastAsia="Book Antiqua" w:hAnsi="Book Antiqua" w:cs="Book Antiqua"/>
          <w:color w:val="000000"/>
          <w:sz w:val="24"/>
          <w:szCs w:val="24"/>
        </w:rPr>
        <w:t>Ouzzani</w:t>
      </w:r>
      <w:proofErr w:type="spellEnd"/>
      <w:r>
        <w:rPr>
          <w:rFonts w:ascii="Book Antiqua" w:eastAsia="Book Antiqua" w:hAnsi="Book Antiqua" w:cs="Book Antiqua"/>
          <w:color w:val="000000"/>
          <w:sz w:val="24"/>
          <w:szCs w:val="24"/>
        </w:rPr>
        <w:t xml:space="preserve"> M., Hammady H., Fedorowicz Z., &amp; </w:t>
      </w:r>
      <w:proofErr w:type="spellStart"/>
      <w:r>
        <w:rPr>
          <w:rFonts w:ascii="Book Antiqua" w:eastAsia="Book Antiqua" w:hAnsi="Book Antiqua" w:cs="Book Antiqua"/>
          <w:color w:val="000000"/>
          <w:sz w:val="24"/>
          <w:szCs w:val="24"/>
        </w:rPr>
        <w:t>Elmagarmid</w:t>
      </w:r>
      <w:proofErr w:type="spellEnd"/>
      <w:r>
        <w:rPr>
          <w:rFonts w:ascii="Book Antiqua" w:eastAsia="Book Antiqua" w:hAnsi="Book Antiqua" w:cs="Book Antiqua"/>
          <w:color w:val="000000"/>
          <w:sz w:val="24"/>
          <w:szCs w:val="24"/>
        </w:rPr>
        <w:t xml:space="preserve"> A. (2016). Rayyan—a web and mobile app for systematic reviews. Systematic Reviews, </w:t>
      </w:r>
      <w:r>
        <w:rPr>
          <w:rFonts w:ascii="Book Antiqua" w:eastAsia="Book Antiqua" w:hAnsi="Book Antiqua" w:cs="Book Antiqua"/>
          <w:i/>
          <w:iCs/>
          <w:color w:val="000000"/>
          <w:sz w:val="24"/>
          <w:szCs w:val="24"/>
        </w:rPr>
        <w:t>5</w:t>
      </w:r>
      <w:r>
        <w:rPr>
          <w:rFonts w:ascii="Book Antiqua" w:eastAsia="Book Antiqua" w:hAnsi="Book Antiqua" w:cs="Book Antiqua"/>
          <w:color w:val="000000"/>
          <w:sz w:val="24"/>
          <w:szCs w:val="24"/>
        </w:rPr>
        <w:t xml:space="preserve">, 210. https://doi.org/10.1186/s13643-016-0384-4 </w:t>
      </w:r>
    </w:p>
    <w:p w14:paraId="00000060"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23. </w:t>
      </w:r>
      <w:r>
        <w:rPr>
          <w:rFonts w:ascii="Book Antiqua" w:eastAsia="Book Antiqua" w:hAnsi="Book Antiqua" w:cs="Book Antiqua"/>
          <w:color w:val="000000"/>
          <w:sz w:val="24"/>
          <w:szCs w:val="24"/>
        </w:rPr>
        <w:tab/>
      </w:r>
      <w:proofErr w:type="spellStart"/>
      <w:r>
        <w:rPr>
          <w:rFonts w:ascii="Book Antiqua" w:eastAsia="Book Antiqua" w:hAnsi="Book Antiqua" w:cs="Book Antiqua"/>
          <w:color w:val="000000"/>
          <w:sz w:val="24"/>
          <w:szCs w:val="24"/>
        </w:rPr>
        <w:t>DistillerSR</w:t>
      </w:r>
      <w:proofErr w:type="spellEnd"/>
      <w:r>
        <w:rPr>
          <w:rFonts w:ascii="Book Antiqua" w:eastAsia="Book Antiqua" w:hAnsi="Book Antiqua" w:cs="Book Antiqua"/>
          <w:color w:val="000000"/>
          <w:sz w:val="24"/>
          <w:szCs w:val="24"/>
        </w:rPr>
        <w:t xml:space="preserve"> | Systematic Review Software | Literature Review Software. https://www.distillersr.com/products/distillersr-systematic-review-software. Accessed 13.1.2026. https://www.distillersr.com/products/distillersr-systematic-review-software. Accessed January 13, 2026 </w:t>
      </w:r>
    </w:p>
    <w:p w14:paraId="00000061"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24. </w:t>
      </w:r>
      <w:r>
        <w:rPr>
          <w:rFonts w:ascii="Book Antiqua" w:eastAsia="Book Antiqua" w:hAnsi="Book Antiqua" w:cs="Book Antiqua"/>
          <w:color w:val="000000"/>
          <w:sz w:val="24"/>
          <w:szCs w:val="24"/>
        </w:rPr>
        <w:tab/>
        <w:t xml:space="preserve">EPPI-Reviewer: systematic review software. https://eppi.ioe.ac.uk/cms/Default.aspx?tabid=2914. Accessed 13.1.2026. https://eppi.ioe.ac.uk/cms/Default.aspx?tabid=2914. Accessed January 13, 2026 </w:t>
      </w:r>
    </w:p>
    <w:p w14:paraId="00000062"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lastRenderedPageBreak/>
        <w:t xml:space="preserve">25. </w:t>
      </w:r>
      <w:r>
        <w:rPr>
          <w:rFonts w:ascii="Book Antiqua" w:eastAsia="Book Antiqua" w:hAnsi="Book Antiqua" w:cs="Book Antiqua"/>
          <w:color w:val="000000"/>
          <w:sz w:val="24"/>
          <w:szCs w:val="24"/>
        </w:rPr>
        <w:tab/>
        <w:t xml:space="preserve">Nussbaumer-Streit B., Ellen M., </w:t>
      </w:r>
      <w:proofErr w:type="spellStart"/>
      <w:r>
        <w:rPr>
          <w:rFonts w:ascii="Book Antiqua" w:eastAsia="Book Antiqua" w:hAnsi="Book Antiqua" w:cs="Book Antiqua"/>
          <w:color w:val="000000"/>
          <w:sz w:val="24"/>
          <w:szCs w:val="24"/>
        </w:rPr>
        <w:t>Klerings</w:t>
      </w:r>
      <w:proofErr w:type="spellEnd"/>
      <w:r>
        <w:rPr>
          <w:rFonts w:ascii="Book Antiqua" w:eastAsia="Book Antiqua" w:hAnsi="Book Antiqua" w:cs="Book Antiqua"/>
          <w:color w:val="000000"/>
          <w:sz w:val="24"/>
          <w:szCs w:val="24"/>
        </w:rPr>
        <w:t xml:space="preserve"> I., </w:t>
      </w:r>
      <w:proofErr w:type="spellStart"/>
      <w:r>
        <w:rPr>
          <w:rFonts w:ascii="Book Antiqua" w:eastAsia="Book Antiqua" w:hAnsi="Book Antiqua" w:cs="Book Antiqua"/>
          <w:color w:val="000000"/>
          <w:sz w:val="24"/>
          <w:szCs w:val="24"/>
        </w:rPr>
        <w:t>Sfetcu</w:t>
      </w:r>
      <w:proofErr w:type="spellEnd"/>
      <w:r>
        <w:rPr>
          <w:rFonts w:ascii="Book Antiqua" w:eastAsia="Book Antiqua" w:hAnsi="Book Antiqua" w:cs="Book Antiqua"/>
          <w:color w:val="000000"/>
          <w:sz w:val="24"/>
          <w:szCs w:val="24"/>
        </w:rPr>
        <w:t xml:space="preserve"> R., Riva N., </w:t>
      </w:r>
      <w:proofErr w:type="spellStart"/>
      <w:r>
        <w:rPr>
          <w:rFonts w:ascii="Book Antiqua" w:eastAsia="Book Antiqua" w:hAnsi="Book Antiqua" w:cs="Book Antiqua"/>
          <w:color w:val="000000"/>
          <w:sz w:val="24"/>
          <w:szCs w:val="24"/>
        </w:rPr>
        <w:t>Mahmić-Kaknjo</w:t>
      </w:r>
      <w:proofErr w:type="spellEnd"/>
      <w:r>
        <w:rPr>
          <w:rFonts w:ascii="Book Antiqua" w:eastAsia="Book Antiqua" w:hAnsi="Book Antiqua" w:cs="Book Antiqua"/>
          <w:color w:val="000000"/>
          <w:sz w:val="24"/>
          <w:szCs w:val="24"/>
        </w:rPr>
        <w:t xml:space="preserve"> M., et al. (2021). Resource use during systematic review production varies widely: a scoping review. Journal of Clinical Epidemiology, </w:t>
      </w:r>
      <w:r>
        <w:rPr>
          <w:rFonts w:ascii="Book Antiqua" w:eastAsia="Book Antiqua" w:hAnsi="Book Antiqua" w:cs="Book Antiqua"/>
          <w:i/>
          <w:iCs/>
          <w:color w:val="000000"/>
          <w:sz w:val="24"/>
          <w:szCs w:val="24"/>
        </w:rPr>
        <w:t>139</w:t>
      </w:r>
      <w:r>
        <w:rPr>
          <w:rFonts w:ascii="Book Antiqua" w:eastAsia="Book Antiqua" w:hAnsi="Book Antiqua" w:cs="Book Antiqua"/>
          <w:color w:val="000000"/>
          <w:sz w:val="24"/>
          <w:szCs w:val="24"/>
        </w:rPr>
        <w:t xml:space="preserve">, 287-296. https://doi.org/10.1016/j.jclinepi.2021.05.019 </w:t>
      </w:r>
    </w:p>
    <w:p w14:paraId="00000063" w14:textId="77777777" w:rsidR="00B64C21" w:rsidRDefault="005E1AA8">
      <w:pPr>
        <w:pBdr>
          <w:top w:val="nil"/>
          <w:left w:val="nil"/>
          <w:bottom w:val="nil"/>
          <w:right w:val="nil"/>
          <w:between w:val="nil"/>
        </w:pBdr>
        <w:tabs>
          <w:tab w:val="left" w:pos="504"/>
        </w:tabs>
        <w:spacing w:after="240" w:line="240" w:lineRule="auto"/>
        <w:ind w:left="504" w:hanging="504"/>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26. </w:t>
      </w:r>
      <w:r>
        <w:rPr>
          <w:rFonts w:ascii="Book Antiqua" w:eastAsia="Book Antiqua" w:hAnsi="Book Antiqua" w:cs="Book Antiqua"/>
          <w:color w:val="000000"/>
          <w:sz w:val="24"/>
          <w:szCs w:val="24"/>
        </w:rPr>
        <w:tab/>
      </w:r>
      <w:proofErr w:type="spellStart"/>
      <w:r>
        <w:rPr>
          <w:rFonts w:ascii="Book Antiqua" w:eastAsia="Book Antiqua" w:hAnsi="Book Antiqua" w:cs="Book Antiqua"/>
          <w:color w:val="000000"/>
          <w:sz w:val="24"/>
          <w:szCs w:val="24"/>
        </w:rPr>
        <w:t>Haliassos</w:t>
      </w:r>
      <w:proofErr w:type="spellEnd"/>
      <w:r>
        <w:rPr>
          <w:rFonts w:ascii="Book Antiqua" w:eastAsia="Book Antiqua" w:hAnsi="Book Antiqua" w:cs="Book Antiqua"/>
          <w:color w:val="000000"/>
          <w:sz w:val="24"/>
          <w:szCs w:val="24"/>
        </w:rPr>
        <w:t xml:space="preserve"> A., </w:t>
      </w:r>
      <w:proofErr w:type="spellStart"/>
      <w:r>
        <w:rPr>
          <w:rFonts w:ascii="Book Antiqua" w:eastAsia="Book Antiqua" w:hAnsi="Book Antiqua" w:cs="Book Antiqua"/>
          <w:color w:val="000000"/>
          <w:sz w:val="24"/>
          <w:szCs w:val="24"/>
        </w:rPr>
        <w:t>Kasvis</w:t>
      </w:r>
      <w:proofErr w:type="spellEnd"/>
      <w:r>
        <w:rPr>
          <w:rFonts w:ascii="Book Antiqua" w:eastAsia="Book Antiqua" w:hAnsi="Book Antiqua" w:cs="Book Antiqua"/>
          <w:color w:val="000000"/>
          <w:sz w:val="24"/>
          <w:szCs w:val="24"/>
        </w:rPr>
        <w:t xml:space="preserve"> D., &amp; </w:t>
      </w:r>
      <w:proofErr w:type="spellStart"/>
      <w:r>
        <w:rPr>
          <w:rFonts w:ascii="Book Antiqua" w:eastAsia="Book Antiqua" w:hAnsi="Book Antiqua" w:cs="Book Antiqua"/>
          <w:color w:val="000000"/>
          <w:sz w:val="24"/>
          <w:szCs w:val="24"/>
        </w:rPr>
        <w:t>Karathanos</w:t>
      </w:r>
      <w:proofErr w:type="spellEnd"/>
      <w:r>
        <w:rPr>
          <w:rFonts w:ascii="Book Antiqua" w:eastAsia="Book Antiqua" w:hAnsi="Book Antiqua" w:cs="Book Antiqua"/>
          <w:color w:val="000000"/>
          <w:sz w:val="24"/>
          <w:szCs w:val="24"/>
        </w:rPr>
        <w:t xml:space="preserve"> S. (2025). The Challenges of Data Privacy and Cybersecurity in Cloud Computing and Artificial Intelligence (AI) Applications for EQA Organizations. EJIFCC, </w:t>
      </w:r>
      <w:r>
        <w:rPr>
          <w:rFonts w:ascii="Book Antiqua" w:eastAsia="Book Antiqua" w:hAnsi="Book Antiqua" w:cs="Book Antiqua"/>
          <w:i/>
          <w:iCs/>
          <w:color w:val="000000"/>
          <w:sz w:val="24"/>
          <w:szCs w:val="24"/>
        </w:rPr>
        <w:t>36</w:t>
      </w:r>
      <w:r>
        <w:rPr>
          <w:rFonts w:ascii="Book Antiqua" w:eastAsia="Book Antiqua" w:hAnsi="Book Antiqua" w:cs="Book Antiqua"/>
          <w:color w:val="000000"/>
          <w:sz w:val="24"/>
          <w:szCs w:val="24"/>
        </w:rPr>
        <w:t xml:space="preserve">(4), 599-604. </w:t>
      </w:r>
    </w:p>
    <w:p w14:paraId="00000064" w14:textId="77777777" w:rsidR="00B64C21" w:rsidRDefault="00B64C21">
      <w:pPr>
        <w:rPr>
          <w:rFonts w:ascii="Book Antiqua" w:eastAsia="Book Antiqua" w:hAnsi="Book Antiqua" w:cs="Book Antiqua"/>
          <w:sz w:val="24"/>
          <w:szCs w:val="24"/>
        </w:rPr>
      </w:pPr>
    </w:p>
    <w:sectPr w:rsidR="00B64C21" w:rsidSect="003B0DAD">
      <w:footerReference w:type="default" r:id="rId13"/>
      <w:pgSz w:w="11906" w:h="16838"/>
      <w:pgMar w:top="1440" w:right="1440" w:bottom="1440" w:left="1440" w:header="708" w:footer="708"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05E0B" w14:textId="77777777" w:rsidR="00970001" w:rsidRDefault="00970001" w:rsidP="003B0DAD">
      <w:pPr>
        <w:spacing w:after="0" w:line="240" w:lineRule="auto"/>
      </w:pPr>
      <w:r>
        <w:separator/>
      </w:r>
    </w:p>
  </w:endnote>
  <w:endnote w:type="continuationSeparator" w:id="0">
    <w:p w14:paraId="23C59B75" w14:textId="77777777" w:rsidR="00970001" w:rsidRDefault="00970001" w:rsidP="003B0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FCF987A-6519-4E1D-9D5B-147E014D8C4B}"/>
    <w:embedBold r:id="rId2" w:fontKey="{CB41C5C4-3B88-48A5-A949-61C6FD89D320}"/>
    <w:embedItalic r:id="rId3" w:fontKey="{F94DB4F8-FD3F-469C-BD78-05ABD34355B7}"/>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4" w:fontKey="{9F71AC3E-D330-400C-B4D1-F2988FB750AC}"/>
    <w:embedBold r:id="rId5" w:fontKey="{9E397E67-620D-4901-A006-5B2E19F62FC8}"/>
    <w:embedItalic r:id="rId6" w:fontKey="{6C4C386D-2B95-4439-B8A6-080A68A0D4FA}"/>
    <w:embedBoldItalic r:id="rId7" w:fontKey="{0F152CC7-D4BD-4945-841A-C74C4029DC53}"/>
  </w:font>
  <w:font w:name="Georgia">
    <w:panose1 w:val="02040502050405020303"/>
    <w:charset w:val="00"/>
    <w:family w:val="roman"/>
    <w:pitch w:val="variable"/>
    <w:sig w:usb0="00000287" w:usb1="00000000" w:usb2="00000000" w:usb3="00000000" w:csb0="0000009F" w:csb1="00000000"/>
    <w:embedItalic r:id="rId8" w:fontKey="{52FE10C9-D188-409E-B0D8-5A13F5401048}"/>
  </w:font>
  <w:font w:name="Calibri Light">
    <w:panose1 w:val="020F0302020204030204"/>
    <w:charset w:val="00"/>
    <w:family w:val="swiss"/>
    <w:pitch w:val="variable"/>
    <w:sig w:usb0="E4002EFF" w:usb1="C200247B" w:usb2="00000009" w:usb3="00000000" w:csb0="000001FF" w:csb1="00000000"/>
    <w:embedRegular r:id="rId9" w:fontKey="{0C383A09-E2E0-49D2-B05C-258B85B2F0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8793915"/>
      <w:docPartObj>
        <w:docPartGallery w:val="Page Numbers (Bottom of Page)"/>
        <w:docPartUnique/>
      </w:docPartObj>
    </w:sdtPr>
    <w:sdtEndPr>
      <w:rPr>
        <w:noProof/>
      </w:rPr>
    </w:sdtEndPr>
    <w:sdtContent>
      <w:p w14:paraId="0DAEE3CA" w14:textId="1ED725AD" w:rsidR="003B0DAD" w:rsidRDefault="003B0DAD">
        <w:pPr>
          <w:pStyle w:val="Footer"/>
          <w:jc w:val="right"/>
        </w:pPr>
        <w:r>
          <w:fldChar w:fldCharType="begin"/>
        </w:r>
        <w:r>
          <w:instrText xml:space="preserve"> PAGE   \* MERGEFORMAT </w:instrText>
        </w:r>
        <w:r>
          <w:fldChar w:fldCharType="separate"/>
        </w:r>
        <w:r w:rsidR="00A3088D">
          <w:rPr>
            <w:noProof/>
          </w:rPr>
          <w:t>17</w:t>
        </w:r>
        <w:r>
          <w:rPr>
            <w:noProof/>
          </w:rPr>
          <w:fldChar w:fldCharType="end"/>
        </w:r>
      </w:p>
    </w:sdtContent>
  </w:sdt>
  <w:p w14:paraId="3FAB02B0" w14:textId="77777777" w:rsidR="003B0DAD" w:rsidRDefault="003B0D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21E16" w14:textId="77777777" w:rsidR="00970001" w:rsidRDefault="00970001" w:rsidP="003B0DAD">
      <w:pPr>
        <w:spacing w:after="0" w:line="240" w:lineRule="auto"/>
      </w:pPr>
      <w:r>
        <w:separator/>
      </w:r>
    </w:p>
  </w:footnote>
  <w:footnote w:type="continuationSeparator" w:id="0">
    <w:p w14:paraId="17DBCE0E" w14:textId="77777777" w:rsidR="00970001" w:rsidRDefault="00970001" w:rsidP="003B0D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C21"/>
    <w:rsid w:val="00080B45"/>
    <w:rsid w:val="000B0D0D"/>
    <w:rsid w:val="00182EF5"/>
    <w:rsid w:val="001E4718"/>
    <w:rsid w:val="00227DDD"/>
    <w:rsid w:val="002C6441"/>
    <w:rsid w:val="003B0DAD"/>
    <w:rsid w:val="0040401C"/>
    <w:rsid w:val="00422756"/>
    <w:rsid w:val="004C2939"/>
    <w:rsid w:val="004E3120"/>
    <w:rsid w:val="005A73DD"/>
    <w:rsid w:val="005E1AA8"/>
    <w:rsid w:val="006F3DF9"/>
    <w:rsid w:val="007C2AC9"/>
    <w:rsid w:val="007F51CB"/>
    <w:rsid w:val="00831001"/>
    <w:rsid w:val="00846FFC"/>
    <w:rsid w:val="008679DE"/>
    <w:rsid w:val="008C1230"/>
    <w:rsid w:val="00970001"/>
    <w:rsid w:val="0099643A"/>
    <w:rsid w:val="00A3088D"/>
    <w:rsid w:val="00B64C21"/>
    <w:rsid w:val="00D93A57"/>
    <w:rsid w:val="00D93F37"/>
    <w:rsid w:val="00F31B1D"/>
    <w:rsid w:val="00FA66A3"/>
    <w:rsid w:val="00FE46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CD3C4"/>
  <w15:docId w15:val="{BFA0381C-5653-4089-B0A3-F7EEB4555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link w:val="Heading3Char"/>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customStyle="1" w:styleId="BookAntiqua">
    <w:name w:val="Book Antiqua"/>
    <w:basedOn w:val="Normal"/>
    <w:link w:val="BookAntiquaChar"/>
    <w:autoRedefine/>
    <w:qFormat/>
    <w:rsid w:val="00D27E38"/>
    <w:rPr>
      <w:rFonts w:ascii="Book Antiqua" w:hAnsi="Book Antiqua"/>
      <w:sz w:val="24"/>
    </w:rPr>
  </w:style>
  <w:style w:type="character" w:customStyle="1" w:styleId="BookAntiquaChar">
    <w:name w:val="Book Antiqua Char"/>
    <w:basedOn w:val="DefaultParagraphFont"/>
    <w:link w:val="BookAntiqua"/>
    <w:rsid w:val="00D27E38"/>
    <w:rPr>
      <w:rFonts w:ascii="Book Antiqua" w:hAnsi="Book Antiqua"/>
      <w:sz w:val="24"/>
    </w:rPr>
  </w:style>
  <w:style w:type="character" w:customStyle="1" w:styleId="Heading3Char">
    <w:name w:val="Heading 3 Char"/>
    <w:basedOn w:val="DefaultParagraphFont"/>
    <w:link w:val="Heading3"/>
    <w:uiPriority w:val="9"/>
    <w:rsid w:val="00AD130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D1301"/>
    <w:rPr>
      <w:b/>
      <w:bCs/>
    </w:rPr>
  </w:style>
  <w:style w:type="paragraph" w:styleId="NormalWeb">
    <w:name w:val="Normal (Web)"/>
    <w:basedOn w:val="Normal"/>
    <w:uiPriority w:val="99"/>
    <w:semiHidden/>
    <w:unhideWhenUsed/>
    <w:rsid w:val="00AD1301"/>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41"/>
    <w:rsid w:val="008A2A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BF542B"/>
    <w:pPr>
      <w:tabs>
        <w:tab w:val="left" w:pos="384"/>
      </w:tabs>
      <w:spacing w:after="240" w:line="240" w:lineRule="auto"/>
      <w:ind w:left="384" w:hanging="384"/>
    </w:p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FootnoteText">
    <w:name w:val="footnote text"/>
    <w:basedOn w:val="Normal"/>
    <w:link w:val="FootnoteTextChar"/>
    <w:uiPriority w:val="99"/>
    <w:semiHidden/>
    <w:unhideWhenUsed/>
    <w:rsid w:val="003B0DA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B0DAD"/>
    <w:rPr>
      <w:sz w:val="20"/>
      <w:szCs w:val="20"/>
    </w:rPr>
  </w:style>
  <w:style w:type="character" w:styleId="FootnoteReference">
    <w:name w:val="footnote reference"/>
    <w:basedOn w:val="DefaultParagraphFont"/>
    <w:uiPriority w:val="99"/>
    <w:semiHidden/>
    <w:unhideWhenUsed/>
    <w:rsid w:val="003B0DAD"/>
    <w:rPr>
      <w:vertAlign w:val="superscript"/>
    </w:rPr>
  </w:style>
  <w:style w:type="paragraph" w:styleId="Header">
    <w:name w:val="header"/>
    <w:basedOn w:val="Normal"/>
    <w:link w:val="HeaderChar"/>
    <w:uiPriority w:val="99"/>
    <w:unhideWhenUsed/>
    <w:rsid w:val="003B0D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0DAD"/>
  </w:style>
  <w:style w:type="paragraph" w:styleId="Footer">
    <w:name w:val="footer"/>
    <w:basedOn w:val="Normal"/>
    <w:link w:val="FooterChar"/>
    <w:uiPriority w:val="99"/>
    <w:unhideWhenUsed/>
    <w:rsid w:val="003B0D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0DAD"/>
  </w:style>
  <w:style w:type="character" w:styleId="LineNumber">
    <w:name w:val="line number"/>
    <w:basedOn w:val="DefaultParagraphFont"/>
    <w:uiPriority w:val="99"/>
    <w:semiHidden/>
    <w:unhideWhenUsed/>
    <w:rsid w:val="003B0D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ORG-Karur-DataCenter/Systematic_review_screening_agen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ORG-Karur-DataCenter/Systematic_review_DeDuplication_agent" TargetMode="External"/><Relationship Id="rId12" Type="http://schemas.openxmlformats.org/officeDocument/2006/relationships/hyperlink" Target="https://github.com/ORG-Karur-DataCenter/Sys_review_extraction_validation_ag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DHIBIN-VIKASH/Systematic_review_extraction_agen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ORG-Karur-DataCenter/Systematic_review_extraction_agent" TargetMode="External"/><Relationship Id="rId4" Type="http://schemas.openxmlformats.org/officeDocument/2006/relationships/webSettings" Target="webSettings.xml"/><Relationship Id="rId9" Type="http://schemas.openxmlformats.org/officeDocument/2006/relationships/hyperlink" Target="https://github.com/DHIBIN-VIKASH/Systematic_review_screening_agent"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1TGf6XWbFssbj7W45BbK+XQ8ug==">CgMxLjAyDmguN2k0ZHFkZ3Ftd25kMg1oLmx1MXAwYjZlMTJ5Mg1oLm9rcml3anRidTJoOAByITFFdEZRWEt4aUl0NFV4N3NvVzZKcmNybnNMOTZyYjlDaQ==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26206</Words>
  <Characters>149380</Characters>
  <Application>Microsoft Office Word</Application>
  <DocSecurity>0</DocSecurity>
  <Lines>1244</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Rithan Mandesh  P</cp:lastModifiedBy>
  <cp:revision>2</cp:revision>
  <dcterms:created xsi:type="dcterms:W3CDTF">2026-03-13T14:07:00Z</dcterms:created>
  <dcterms:modified xsi:type="dcterms:W3CDTF">2026-03-13T14:07:00Z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186bd30d-ecf7-4366-b7de-3798cb4f6378</vt:lpwstr>
  </property>
  <property fmtid="{D5CDD505-2E9C-101B-9397-08002B2CF9AE}" pid="3" name="ZOTERO_PREF_1">
    <vt:lpwstr>&lt;data data-version="3" zotero-version="7.0.32"&gt;&lt;session id="Jjk8Ee6J"/&gt;&lt;style id="http://www.zotero.org/styles/american-medical-association" hasBibliography="1" bibliographyStyleHasBeenSet="1"/&gt;&lt;prefs&gt;&lt;pref name="fieldType" value="Field"/&gt;&lt;/prefs&gt;&lt;/data&gt;</vt:lpwstr>
  </property>
  <property fmtid="{D5CDD505-2E9C-101B-9397-08002B2CF9AE}" pid="4" name="MSIP_Label_171d1394-37a0-4505-8d21-da79f28efe6c_Enabled">
    <vt:lpwstr>true</vt:lpwstr>
  </property>
  <property fmtid="{D5CDD505-2E9C-101B-9397-08002B2CF9AE}" pid="5" name="MSIP_Label_171d1394-37a0-4505-8d21-da79f28efe6c_SetDate">
    <vt:lpwstr>2026-03-13T14:02:44Z</vt:lpwstr>
  </property>
  <property fmtid="{D5CDD505-2E9C-101B-9397-08002B2CF9AE}" pid="6" name="MSIP_Label_171d1394-37a0-4505-8d21-da79f28efe6c_Method">
    <vt:lpwstr>Standard</vt:lpwstr>
  </property>
  <property fmtid="{D5CDD505-2E9C-101B-9397-08002B2CF9AE}" pid="7" name="MSIP_Label_171d1394-37a0-4505-8d21-da79f28efe6c_Name">
    <vt:lpwstr>defa4170-0d19-0005-0004-bc88714345d2</vt:lpwstr>
  </property>
  <property fmtid="{D5CDD505-2E9C-101B-9397-08002B2CF9AE}" pid="8" name="MSIP_Label_171d1394-37a0-4505-8d21-da79f28efe6c_SiteId">
    <vt:lpwstr>297d2b28-efc2-4659-ab8e-97e0f0d00304</vt:lpwstr>
  </property>
  <property fmtid="{D5CDD505-2E9C-101B-9397-08002B2CF9AE}" pid="9" name="MSIP_Label_171d1394-37a0-4505-8d21-da79f28efe6c_ActionId">
    <vt:lpwstr>fe9f9b14-4ccb-4f38-8166-16c18476da4c</vt:lpwstr>
  </property>
  <property fmtid="{D5CDD505-2E9C-101B-9397-08002B2CF9AE}" pid="10" name="MSIP_Label_171d1394-37a0-4505-8d21-da79f28efe6c_ContentBits">
    <vt:lpwstr>0</vt:lpwstr>
  </property>
  <property fmtid="{D5CDD505-2E9C-101B-9397-08002B2CF9AE}" pid="11" name="MSIP_Label_171d1394-37a0-4505-8d21-da79f28efe6c_Tag">
    <vt:lpwstr>10, 3, 0, 1</vt:lpwstr>
  </property>
</Properties>
</file>