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e50ecd991490cdb79ef7782ed9effe21188d107"/>
    <w:p>
      <w:pPr>
        <w:pStyle w:val="Heading1"/>
      </w:pPr>
      <w:r>
        <w:t xml:space="preserve">Modelling and simulation appendix: design of the phase 1 pharmacokinetic similarity study</w:t>
      </w:r>
    </w:p>
    <w:p>
      <w:pPr>
        <w:pStyle w:val="FirstParagraph"/>
      </w:pPr>
      <w:r>
        <w:t xml:space="preserve">Draft for the European Medicines Agency (EMA) scientific advice briefing document. Structured as in the International Council for Harmonisation (ICH) M15 guideline. Generated on 2026-10-21 from the result files at commit 3a6b66a (plan</w:t>
      </w:r>
      <w:r>
        <w:t xml:space="preserve"> </w:t>
      </w:r>
      <w:r>
        <w:rPr>
          <w:rStyle w:val="VerbatimChar"/>
        </w:rPr>
        <w:t xml:space="preserve">plans/M15_analysis_plan_20261020.md</w:t>
      </w:r>
      <w:r>
        <w:t xml:space="preserve">, amendment 1, section 16). Every number is read from a result file.</w:t>
      </w:r>
    </w:p>
    <w:p>
      <w:pPr>
        <w:pStyle w:val="BodyText"/>
      </w:pPr>
      <w:r>
        <w:t xml:space="preserve">Model 1 is Kovalenko 2020 Table 1 Model 1, the initial base structural model reviewed by the US Food and Drug Administration (FDA) in its 2017 clinical pharmacology review (section 4.6); Kovalenko 2016 is the sensitivity model.</w:t>
      </w:r>
    </w:p>
    <w:p>
      <w:pPr>
        <w:pStyle w:val="BodyText"/>
      </w:pPr>
      <w:r>
        <w:t xml:space="preserve">Conditionality: Conditional on a primary model that met the pre-specified misfit rule of the posterior predictive check (plan section 6.2; cause under diagnosis, amendment section 16.7).</w:t>
      </w:r>
    </w:p>
    <w:p>
      <w:pPr>
        <w:pStyle w:val="BodyText"/>
      </w:pPr>
      <w:r>
        <w:t xml:space="preserve">Abbreviations: AUC0-inf, area under the concentration-time curve from time zero to infinity; AUC0-last, area to the last quantifiable concentration; AUROC, area under the receiver operating characteristic curve; CI, confidence interval; Cmax, maximum concentration; CV, coefficient of variation; EU, European Union; F, bioavailability; FDA, US Food and Drug Administration; GMR, geometric mean ratio; I2, I-squared, the share of the variation between arm means beyond within-arm sampling error; ka, absorption rate constant; ke, linear elimination rate constant; lambda_z, terminal elimination rate constant; LLOQ, lower limit of quantification; NCA, non-compartmental analysis; PK, pharmacokinetic; RMSE, root mean square error; SD, standard deviation; Vmax, maximum Michaelis-Menten elimination rate.</w:t>
      </w:r>
    </w:p>
    <w:bookmarkStart w:id="20" w:name="X55ee38ac193e981798b3747b4095225bff6d40f"/>
    <w:p>
      <w:pPr>
        <w:pStyle w:val="Heading2"/>
      </w:pPr>
      <w:r>
        <w:t xml:space="preserve">1. Question of interest, context of use and model risk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planned phase 1 design (single 300 mg subcutaneous dose in healthy adults, parallel groups, weight-stratified randomization, sampling schedule, sample size) detect pharmacokinetic (PK) differences between the proposed biosimilar and the reference product while concluding similarity for similar products?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 of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support only. The similarity conclusion of the study rests on the non-compartmental analysis (NCA) of the observed data: the 90% confidence interval (CI) of the geometric mean ratio (GMR) within 0.80 to 1.25 for AUC0-last and Cmax. Model results are not used in that conclusion.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influence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Medium: one of several inputs to the design choices, with statistical sample-size methods, precedent and feasibility.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 of a wrong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Medium: an underpowered study (a similar product fails) or a design less able to detect a true PK difference; the design can be revised before dosing, and the observed-data NCA remains the basis of the conclusion.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(medium influence, medium consequence). Credibility activities: code verification, posterior predictive check against the original healthy-volunteer studies, applicability assessment, a structural sensitivity model for every main result, and the uncertainty that is not propagated stated explicitly.</w:t>
            </w:r>
          </w:p>
        </w:tc>
      </w:tr>
    </w:tbl>
    <w:bookmarkEnd w:id="20"/>
    <w:bookmarkStart w:id="21" w:name="models-and-sources"/>
    <w:p>
      <w:pPr>
        <w:pStyle w:val="Heading2"/>
      </w:pPr>
      <w:r>
        <w:t xml:space="preserve">2. Models and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development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2020, Table 1 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compartments, parallel linear and Michaelis-Menten elimination, three transit compartments and first-order absorption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weight on the central volume (exponent 0.711, reference 75 kg); no other covariate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R668-AS-0907, TDU12265, PKM14161, R668-AD-1117 (repository record)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2016, Table 2 (data below the LLOQ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compartments, parallel linear and Michaelis-Menten elimination, first-order absorption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weight on the central volume (exponent 0.705, reference 75 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R668-AS-0907, R668-HV-1108 and patient studies (Kovalenko 2016 Table 1)</w:t>
            </w:r>
          </w:p>
        </w:tc>
      </w:tr>
    </w:tbl>
    <w:p>
      <w:pPr>
        <w:pStyle w:val="BodyText"/>
      </w:pPr>
      <w:r>
        <w:t xml:space="preserve">Why Model 1: it is the first stage of the stepwise population PK models reviewed by FDA; it was developed from rich-sampling data that include PKM14161, which used the commercial prefilled syringe (product #7); and the later models fixed bioavailability, the absorption rate constant, the maximum Michaelis-Menten elimination rate and the distribution parameters at the values of this model. For this context of use: Model 1 over-predicts the pooled 300 mg AUC0-last of the healthy-volunteer studies (predicted/observed 1.115, 95% prediction interval 1.026 to 1.209; section 3).</w:t>
      </w:r>
    </w:p>
    <w:p>
      <w:pPr>
        <w:pStyle w:val="BodyText"/>
      </w:pPr>
      <w:r>
        <w:t xml:space="preserve">Estimates and structure of both models are used as published; nothing is re-estimated. The publications and the FDA review could not be opened from the analysis environment, so the repository records and the sponsor's records are the source.</w:t>
      </w:r>
    </w:p>
    <w:bookmarkEnd w:id="21"/>
    <w:bookmarkStart w:id="22" w:name="X0ab3d8a95548edace39d72a076f8ca867e4a93b"/>
    <w:p>
      <w:pPr>
        <w:pStyle w:val="Heading2"/>
      </w:pPr>
      <w:r>
        <w:t xml:space="preserve">3. Posterior predictive check (Li 2020 healthy-volunteer studies)</w:t>
      </w:r>
    </w:p>
    <w:p>
      <w:pPr>
        <w:pStyle w:val="FirstParagraph"/>
      </w:pPr>
      <w:r>
        <w:t xml:space="preserve">Arm means simulated 5,000 times with each study's design, dose, schedule and LLOQ (0.078 mg/L) under the registered fixed weight assumption (normal 78 kg, SD 10 kg, where weights are not reported). Each cell: predicted median (99% prediction interval); predicted/observed ratio; in-sample status.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Product; assay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PKM12350 reference arm (300 mg, n 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AV-09095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618.7 (451.6 to 817.9); 1.24; out-of-sample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569.3 (426.4 to 747.5); 1.14;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PKM12350 test arm (300 mg, n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AV-09095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618.5 (470.0 to 815.8); 1.27; out-of-sample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571.0 (437.0 to 746.0); 1.17;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PKM14161 reference arm (300 mg, n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AV-13074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616.6 (481.1 to 792.2); 1.07;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568.5 (446.8 to 719.8); 0.99;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PKM14161 test arm (300 mg, n 19); closest to the European Union (EU) reference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#7, C2P1 prefilled syringe (phase 3 and commercial product); assay AV-13074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617.9 (484.7 to 790.9); 1.05;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569.2 (452.7 to 719.9); 0.97;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R668-HV-1108 reference arm (300 mg, n 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AV-09095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618.4 (477.8 to 785.9); 1.17; out-of-sample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569.7 (447.5 to 710.4); 1.07; 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R668-HV-1108 test arm (300 mg, n 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AV-09095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617.0 (476.4 to 793.5); 0.98; out-of-sample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568.4 (447.1 to 724.7); 0.90; 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TDU12265 300 mg (300 mg, n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not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734.4 (474.7 to 1,114.1); 1.05;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680.2 (451.7 to 1,001.9); 0.97;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TDU12265 300 mg (300 mg, n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not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37.3 (26.5 to 51.4); 0.97;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 (28.3 to 55.6); 1.06;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TDU12265 600 mg (600 mg, n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not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1,967.6 (1,361.0 to 2,774.3); 1.11;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1,859.7 (1,274.3 to 2,587.2); 1.04; out-of-sample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TDU12265 600 mg (600 mg, n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recorded; assay not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(59.2 to 107.3); 1.14; in-sample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 (64.3 to 116.7); 1.25; out-of-sample</w:t>
            </w:r>
          </w:p>
        </w:tc>
      </w:tr>
    </w:tbl>
    <w:p>
      <w:pPr>
        <w:pStyle w:val="BodyText"/>
      </w:pPr>
      <w:r>
        <w:t xml:space="preserve">Products as recorded in the FDA 2017 review Tables 4.1.1.a, 4.2.a and 4.2.b: #2 (C1P2 vial), #6 (C2P1 vial), #7 (C2P1 prefilled syringe, the phase 3 and commercial product). The product of each arm other than the PKM14161 test arm is not yet recorded in the analysis repository.</w:t>
      </w:r>
    </w:p>
    <w:p>
      <w:pPr>
        <w:pStyle w:val="BodyText"/>
      </w:pPr>
      <w:r>
        <w:t xml:space="preserve">Pooled 300 mg arms with an observed AUC0-last (n 102, observed n-weighted mean 557 mg x day/L): predicted/observed ratio 1.115 (95% prediction interval 1.026 to 1.209) for Model 1 and 1.027 (0.950 to 1.110) for Kovalenko 2016; the simulated mean weight was 76.8 kg. Without PKM12350 (four arms, n 74): 1.068 (0.968 to 1.175) and 0.983 (0.896 to 1.078). Reading for Model 1: over-prediction driven by PKM12350; for Kovalenko 2016: over-prediction not shown.</w:t>
      </w:r>
    </w:p>
    <w:p>
      <w:pPr>
        <w:pStyle w:val="BodyText"/>
      </w:pPr>
      <w:r>
        <w:t xml:space="preserve">Between-arm variation of the six observed arm means: Cochran Q 5.48 on 5 degrees of freedom (p 0.360), I2 9%; variation beyond the within-arm sampling error is not detected. Under each model, the stored replicates give a chi-square p-value below 0.10 in 16.3% (Model 1) and 16.1% (Kovalenko 2016) of replicates (calibration of the criterion). The two arms of each study are different products, so this check covers product and study differences together.</w:t>
      </w:r>
    </w:p>
    <w:p>
      <w:pPr>
        <w:pStyle w:val="BodyText"/>
      </w:pPr>
      <w:r>
        <w:t xml:space="preserve">Posterior predictive check (Li 2020 healthy-volunteer studies): Model 1 met the misfit rule under the fixed weight assumption only (rule R4: the PKM12350 AUC0-last mean is outside its 99% prediction interval) and did not meet it under the uncertain-mean weight assumption; Kovalenko 2016 did not meet it under either weight assumption. The cause is under diagnosis (amendment section 16.7).</w:t>
      </w:r>
    </w:p>
    <w:p>
      <w:pPr>
        <w:pStyle w:val="BodyText"/>
      </w:pPr>
      <w:r>
        <w:t xml:space="preserve">The false-positive rate of the misfit rule when the model is correct is computed in the next stage and is not reported here.</w:t>
      </w:r>
    </w:p>
    <w:bookmarkEnd w:id="22"/>
    <w:bookmarkStart w:id="23" w:name="simulation-design"/>
    <w:p>
      <w:pPr>
        <w:pStyle w:val="Heading2"/>
      </w:pPr>
      <w:r>
        <w:t xml:space="preserve">4. Simulation design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Global: normal 76.55 kg (SD 9.275), truncated 58 to 95.1 kg; Korean: normal 65.20 kg (SD 6.550), truncated 52.1 to 78.3 kg; inclusion men 60 to 90 kg, women 50 to 90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mg single subcutaneous dose (200 mg results are not used in this appendix)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schedule: elapsed days 0.25, 1, 3, 5, 7, 10, 14, 21, 28, 35, 42, 49, 56; reduced schedule: elapsed days 0.25, 1, 3, 5, 7, 10, 14, 21, 28, 56; extended schedule: elapsed days 0.25, 1, 3, 5, 7, 10, 14, 21, 28, 35, 42, 49, 56, 63, 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to 160 randomized per arm (base 130); 10% withdrawal completely at random; permuted blocks of two within weight strata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Strata and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weight strata at 75 kg or at the enrolled median; stratified (treatment + stratum) and unstratified analysis of log AUC0-last and log Cmax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GMR grid 0.80 to 1.25 (21 points) applied to test-arm concentrations; mechanism versions with test-arm F, ka, ke or Vmax multiplied by 0.60 to 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Replicates and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simulated studies per cell (10,000 at true GMRs 0.80 and 1.25 for Model 1); common random numbers across designs; 20,000 subjects for the sampling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4.3.3, rxode2 5.1.7, project NCA engine (linear-up log-down; Phoenix best-fit lambda_z rules)</w:t>
            </w:r>
          </w:p>
        </w:tc>
      </w:tr>
    </w:tbl>
    <w:bookmarkEnd w:id="23"/>
    <w:bookmarkStart w:id="28" w:name="results"/>
    <w:p>
      <w:pPr>
        <w:pStyle w:val="Heading2"/>
      </w:pPr>
      <w:r>
        <w:t xml:space="preserve">5. Results</w:t>
      </w:r>
    </w:p>
    <w:bookmarkStart w:id="24" w:name="Xd7c3b8764706a00db5ce268ed3470831ce32b06"/>
    <w:p>
      <w:pPr>
        <w:pStyle w:val="Heading3"/>
      </w:pPr>
      <w:r>
        <w:t xml:space="preserve">5.1 Operating characteristics (300 mg, confirmed schedule, 75 kg boundary, stratified analysis, 130 randomized per arm)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GMR 0.95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GMR 1.00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risk at 0.80 (%): joint; largest single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risk at 1.25 (%): joint; largest single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Studies at the margins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 (93.7 to 96.4)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 (98.4 to 99.6)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(2.3 to 3.0); 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(2.0 to 2.6); 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96.2 (94.8 to 97.2)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 (99.1 to 99.9)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 (1.2 to 2.9); 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(1.6 to 3.5);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94.7 (93.1 to 95.9)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 (98.4 to 99.6)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(2.3 to 2.9);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(2.3 to 2.9); 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 (95.9 to 98.0)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 (99.4 to 100.0)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(1.6 to 3.5);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(1.4 to 3.2);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Intervals are Wilson 95% intervals of the simulation (Monte Carlo) error only; they do not include parameter or model uncertainty.</w:t>
      </w:r>
    </w:p>
    <w:bookmarkEnd w:id="24"/>
    <w:bookmarkStart w:id="25" w:name="Xe344bb52c60c441c98af416af3c9f7fbcb56422"/>
    <w:p>
      <w:pPr>
        <w:pStyle w:val="Heading3"/>
      </w:pPr>
      <w:r>
        <w:t xml:space="preserve">5.2 Sampling evaluation (300 mg; Model 1 / Kovalenko 2016)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GMR 0.95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AUC0-inf estimable, extrapolation below 20%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 terminal phase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AUC0-last median error vs dense truth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AUROC, 10% F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 / 96.2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98.5 / 97.4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83.2 / 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 / -3.8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 / 0.966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 / 96.2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 / 97.5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83.6 / 80.2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 / -3.9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 / 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97.2 / 98.5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 / 70.1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 / 45.5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 / -8.9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0.856 / 0.903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94.7 / 97.1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 / 98.5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85.3 /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 / -3.5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 / 0.963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94.5 / 97.1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 / 98.5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86.0 / 82.5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 / -3.6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0.955 / 0.965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 / 98.2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56.5 / 66.7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 / 42.5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 / -9.7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 / 0.887</w:t>
            </w:r>
          </w:p>
        </w:tc>
      </w:tr>
    </w:tbl>
    <w:p>
      <w:pPr>
        <w:pStyle w:val="BodyText"/>
      </w:pPr>
      <w:r>
        <w:t xml:space="preserve">Day 57 sample on the confirmed schedule, quantifiable and retained in the NCA (Kovalenko 2016, with Model 1 in parentheses, as registered for coverage statements in plan section 16.3 item 4): 3.1% (5.4%) of global and 5.5% (8.8%) of Korean subjects. Rows with a confidence interval are compared between models in section 6.</w:t>
      </w:r>
    </w:p>
    <w:p>
      <w:pPr>
        <w:pStyle w:val="BodyText"/>
      </w:pPr>
      <w:r>
        <w:t xml:space="preserve">Predicted true serum concentrations at candidate anti-drug antibody sampling days (single 300 mg dose; range over both models and both populations; 20,000 subjects each):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(mg/L)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5th to 95th percentile (mg/L)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LLOQ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 to 24.87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11.70 to 39.44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to 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 to 10.23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4.26e-03 to 22.68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to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3.80e-05 to 5.01e-04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9.24e-07 to 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 to 97.1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5.32e-06 to 1.98e-04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1.11e-07 to 1.95e-03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97.5 to 99.3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7.39e-07 to 7.95e-05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1.31e-08 to 7.32e-04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to 99.9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1.50e-08 to 1.31e-05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1.85e-10 to 1.23e-04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 to 100.0</w:t>
            </w:r>
          </w:p>
        </w:tc>
      </w:tr>
    </w:tbl>
    <w:bookmarkEnd w:id="25"/>
    <w:bookmarkStart w:id="26" w:name="Xffb69fcf366b7854700364aa8077541d80e915f"/>
    <w:p>
      <w:pPr>
        <w:pStyle w:val="Heading3"/>
      </w:pPr>
      <w:r>
        <w:t xml:space="preserve">5.3 Sample size (true GMR 0.95, stratified analysis, 10% withdrawal)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CV of AUC0-last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Randomized per arm for 85%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Randomized per arm for 90%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power at 130 per arm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Assurance over CV uncertainty at 130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 (93.7 to 96.4)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96.2 (94.8 to 97.2)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94.7 (93.1 to 95.9)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 (95.9 to 98.0)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93.6</w:t>
            </w:r>
          </w:p>
        </w:tc>
      </w:tr>
    </w:tbl>
    <w:bookmarkEnd w:id="26"/>
    <w:bookmarkStart w:id="27" w:name="body-weight-and-population"/>
    <w:p>
      <w:pPr>
        <w:pStyle w:val="Heading3"/>
      </w:pPr>
      <w:r>
        <w:t xml:space="preserve">5.4 Body weight and population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Typical AUC0-inf ratio to 75 kg, global 5th / 95th percentile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 / 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 / 0.841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Typical AUC0-inf ratio to 75 kg, Korean 5th / 95th percentile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1.337 / 0.999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1.337 / 0.999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log AUC0-last variance explained by log weight (global; Korean)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0.076; 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0.087; 0.058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of it absorbed by a 75 kg stratum term (global; Korean)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73%; 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74%; 14%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enrolled subjects above 75 kg (global; Korean)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54.9%; 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populations</w:t>
            </w:r>
          </w:p>
        </w:tc>
      </w:tr>
    </w:tbl>
    <w:p>
      <w:pPr>
        <w:pStyle w:val="BodyText"/>
      </w:pPr>
      <w:r>
        <w:t xml:space="preserve">The two models' weight ratios are near-equal by coincidence: weight acts only on the central volume in both models, with exponents 0.711 (Model 1) and 0.705 (Kovalenko 2016), and the implied weight elasticity of AUC0-inf at the global 5th percentile weight is 1.095 and 1.094. Each model was confirmed to run with its own exponent (independent recomputation of every stored ratio).</w:t>
      </w:r>
    </w:p>
    <w:bookmarkEnd w:id="27"/>
    <w:bookmarkEnd w:id="28"/>
    <w:bookmarkStart w:id="29" w:name="comparison-between-the-two-models"/>
    <w:p>
      <w:pPr>
        <w:pStyle w:val="Heading2"/>
      </w:pPr>
      <w:r>
        <w:t xml:space="preserve">6. Comparison between the two models</w:t>
      </w:r>
    </w:p>
    <w:p>
      <w:pPr>
        <w:pStyle w:val="FirstParagraph"/>
      </w:pPr>
      <w:r>
        <w:t xml:space="preserve">Each design contrast is classified by its sign in each model: a sign counts when the 95% interval excludes 0 and the difference is at least 2 percentage points (0.02 for AUROC and for the root mean square error (RMSE) of the log ratio). Class 1: same direction in both models; class 2: no material effect in either model; class 3: material in one model only; class 4: opposite directions.</w:t>
      </w:r>
    </w:p>
    <w:p>
      <w:pPr>
        <w:pStyle w:val="BodyText"/>
      </w:pPr>
      <w:r>
        <w:t xml:space="preserve">Rows are the primary scenario cell (global population; Korean minus global for the population contrast); the last column gives the class of the same contrast in the Korean population.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Kovalenko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Class, Korean population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true GMR 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pp, 95% CI -0.7 to 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pp, 95% CI -0.4 to 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 (10% F difference)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-0.001, 95% CI -0.003 to 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0.000, 95% CI -0.001 to 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lower 50%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pp, 95% CI 0.0 to 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pp, 95% CI 0.0 to 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upper 50%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pp, 95% CI -0.1 to 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pp, 95% CI 0.0 to 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lambda_z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pp, 95% CI 0.0 to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pp, 95% CI 0.0 to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reliable-terminal-phase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 pp, 95% CI 0.3 to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pp, 95% CI 0.1 to 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AUC0-last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pp, 95% CI 0.0 to 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pp, 95% CI 0.0 to 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extended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of the AUC0-last log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0.000, 95% CI 0.000 to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0.000, 95% CI 0.000 to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true GMR 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pp, 95% CI 1.3 to 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pp, 95% CI 1.5 to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effect shown in one 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 (10% F difference)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-0.105, 95% CI -0.120 to -0.089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-0.064, 95% CI -0.075 to -0.052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lower 50%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 pp, 95% CI -1.1 to -0.9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 pp, 95% CI -1.1 to 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upper 50%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 pp, 95% CI 1.4 to 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pp, 95% CI 1.6 to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lambda_z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-38.1 pp, 95% CI -38.7 to -37.4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 pp, 95% CI -28.0 to -26.7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reliable-terminal-phase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-47.0 pp, 95% CI -47.7 to -46.2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-34.5 pp, 95% CI -35.3 to -33.8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AUC0-last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 pp, 95% CI -6.5 to -6.3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 pp, 95% CI -5.2 to -4.9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schedule: reduced schedule minus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of the AUC0-last log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0.072, 95% CI 0.071 to 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0.047, 95% CI 0.046 to 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same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stratification: stratified minus unstratified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true GMR 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pp, 95% CI 0.3 to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pp, 95% CI -0.3 to 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stratification: median minus 75 kg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true GMR 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 pp, 95% CI -2.3 to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pp, 95% CI -1.6 to 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at true GMR 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 pp, 95% CI -2.3 to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 pp, 95% CI -0.6 to 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 (10% F difference)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-0.009, 95% CI -0.020 to 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-0.003, 95% CI -0.013 to 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lower 50%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pp, 95% CI -0.3 to 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pp, 95% CI -0.3 to 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upper 50%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pp, 95% CI 0.2 to 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pp, 95% CI 0.1 to 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 lower 50%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pp, 95% CI -0.4 to 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 pp, 95% CI -0.1 to 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 upper 50%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 pp, 95% CI -1.7 to -0.1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 pp, 95% CI -1.8 to -0.2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Vmax lower 50%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 pp, 95% CI -2.8 to -1.4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 pp, 95% CI -2.3 to -1.1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effect shown in one model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population: Korean minus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Vmax upper 50%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pp, 95% CI 0.5 to 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 pp, 95% CI 0.3 to 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no material effect in either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Of the 44 design contrasts above, 42 point the same way in both models or show no material effect in either (classes 1 and 2), so the design conclusions drawn from them are the same under Kovalenko 2016 (Kovalenko 2016 is consistent with the pooled 300 mg AUC0-last of the healthy-volunteer studies; predicted/observed 1.027); 2 show an effect in one model only and 0 disagree in direction.</w:t>
      </w:r>
    </w:p>
    <w:p>
      <w:pPr>
        <w:pStyle w:val="BodyText"/>
      </w:pPr>
      <w:r>
        <w:t xml:space="preserve">Conclusions supported by both models (classes 1 and 2 only):</w:t>
      </w:r>
    </w:p>
    <w:p>
      <w:pPr>
        <w:numPr>
          <w:ilvl w:val="0"/>
          <w:numId w:val="1001"/>
        </w:numPr>
        <w:pStyle w:val="Compact"/>
      </w:pPr>
      <w:r>
        <w:t xml:space="preserve">schedule: extended schedule minus confirmed (global): no material change in either model: power at true GMR 0.95 (largest difference -0.2 pp, 95% CI -0.7 to 0.2), AUROC (10% F difference) (largest difference -0.001, 95% CI -0.003 to 0.002), F lower 50% crossing (largest difference 0.0 pp, 95% CI 0.0 to 0.0), F upper 50% crossing (largest difference 0.0 pp, 95% CI -0.1 to 0.0), lambda_z success (largest difference 0.0 pp, 95% CI 0.0 to 0.1), reliable-terminal-phase share (largest difference 0.4 pp, 95% CI 0.3 to 0.5), median AUC0-last error (largest difference 0.0 pp, 95% CI 0.0 to 0.0), RMSE of the AUC0-last log ratio (largest difference 0.000, 95% CI 0.000 to 0.000).</w:t>
      </w:r>
    </w:p>
    <w:p>
      <w:pPr>
        <w:numPr>
          <w:ilvl w:val="0"/>
          <w:numId w:val="1001"/>
        </w:numPr>
        <w:pStyle w:val="Compact"/>
      </w:pPr>
      <w:r>
        <w:t xml:space="preserve">schedule: reduced schedule minus confirmed (global): higher in both models: power at true GMR 0.95 (smaller difference 2.0 pp, 95% CI 1.3 to 3.1), RMSE of the AUC0-last log ratio (smaller difference 0.047, 95% CI 0.046 to 0.048); lower in both models: AUROC (10% F difference) (smaller difference -0.064, 95% CI -0.075 to -0.052), lambda_z success (smaller difference -27.4 pp, 95% CI -28.0 to -26.7), reliable-terminal-phase share (smaller difference -34.5 pp, 95% CI -35.3 to -33.8), median AUC0-last error (smaller difference -5.0 pp, 95% CI -5.2 to -4.9); no material change in either model: F lower 50% crossing (largest difference -1.0 pp, 95% CI -1.1 to -0.9), F upper 50% crossing (largest difference 1.8 pp, 95% CI 1.6 to 2.0).</w:t>
      </w:r>
    </w:p>
    <w:p>
      <w:pPr>
        <w:numPr>
          <w:ilvl w:val="0"/>
          <w:numId w:val="1001"/>
        </w:numPr>
        <w:pStyle w:val="Compact"/>
      </w:pPr>
      <w:r>
        <w:t xml:space="preserve">stratification: stratified minus unstratified analysis (global): no material change in either model: power at true GMR 0.95 (largest difference 0.7 pp, 95% CI 0.3 to 1.4).</w:t>
      </w:r>
    </w:p>
    <w:p>
      <w:pPr>
        <w:numPr>
          <w:ilvl w:val="0"/>
          <w:numId w:val="1001"/>
        </w:numPr>
        <w:pStyle w:val="Compact"/>
      </w:pPr>
      <w:r>
        <w:t xml:space="preserve">stratification: median minus 75 kg boundary (global): no material change in either model: power at true GMR 0.95 (largest difference -0.5 pp, 95% CI -2.3 to 1.3).</w:t>
      </w:r>
    </w:p>
    <w:p>
      <w:pPr>
        <w:numPr>
          <w:ilvl w:val="0"/>
          <w:numId w:val="1001"/>
        </w:numPr>
        <w:pStyle w:val="Compact"/>
      </w:pPr>
      <w:r>
        <w:t xml:space="preserve">schedule: extended schedule minus confirmed (Korean): no material change in either model: power at true GMR 0.95 (largest difference -0.2 pp, 95% CI -0.7 to 0.2), AUROC (10% F difference) (largest difference 0.004, 95% CI 0.000 to 0.007), F lower 50% crossing (largest difference 0.0 pp, 95% CI 0.0 to 0.0), F upper 50% crossing (largest difference -0.1 pp, 95% CI -0.1 to 0.0), lambda_z success (largest difference 0.1 pp, 95% CI 0.0 to 0.1), reliable-terminal-phase share (largest difference 0.7 pp, 95% CI 0.6 to 0.9), median AUC0-last error (largest difference 0.0 pp, 95% CI 0.0 to 0.0), RMSE of the AUC0-last log ratio (largest difference 0.000, 95% CI 0.000 to 0.000).</w:t>
      </w:r>
    </w:p>
    <w:p>
      <w:pPr>
        <w:numPr>
          <w:ilvl w:val="0"/>
          <w:numId w:val="1001"/>
        </w:numPr>
        <w:pStyle w:val="Compact"/>
      </w:pPr>
      <w:r>
        <w:t xml:space="preserve">schedule: reduced schedule minus confirmed (Korean): higher in both models: RMSE of the AUC0-last log ratio (smaller difference 0.057, 95% CI 0.056 to 0.059); lower in both models: AUROC (10% F difference) (smaller difference -0.077, 95% CI -0.089 to -0.064), lambda_z success (smaller difference -31.8 pp, 95% CI -32.4 to -31.2), reliable-terminal-phase share (smaller difference -39.6 pp, 95% CI -40.4 to -38.9), median AUC0-last error (smaller difference -6.2 pp, 95% CI -6.3 to -6.0); no material change in either model: F lower 50% crossing (largest difference -1.3 pp, 95% CI -1.5 to -1.1), F upper 50% crossing (largest difference 1.5 pp, 95% CI 1.3 to 1.7).</w:t>
      </w:r>
    </w:p>
    <w:p>
      <w:pPr>
        <w:numPr>
          <w:ilvl w:val="0"/>
          <w:numId w:val="1001"/>
        </w:numPr>
        <w:pStyle w:val="Compact"/>
      </w:pPr>
      <w:r>
        <w:t xml:space="preserve">stratification: stratified minus unstratified analysis (Korean): no material change in either model: power at true GMR 0.95 (largest difference 0.1 pp, 95% CI -0.5 to 0.8).</w:t>
      </w:r>
    </w:p>
    <w:p>
      <w:pPr>
        <w:numPr>
          <w:ilvl w:val="0"/>
          <w:numId w:val="1001"/>
        </w:numPr>
        <w:pStyle w:val="Compact"/>
      </w:pPr>
      <w:r>
        <w:t xml:space="preserve">stratification: median minus 75 kg boundary (Korean): no material change in either model: power at true GMR 0.95 (largest difference 0.6 pp, 95% CI -1.2 to 2.4).</w:t>
      </w:r>
    </w:p>
    <w:p>
      <w:pPr>
        <w:numPr>
          <w:ilvl w:val="0"/>
          <w:numId w:val="1001"/>
        </w:numPr>
        <w:pStyle w:val="Compact"/>
      </w:pPr>
      <w:r>
        <w:t xml:space="preserve">population: Korean minus global: no material change in either model: power at true GMR 0.95 (largest difference 0.9 pp, 95% CI -0.6 to 2.4), AUROC (10% F difference) (largest difference -0.009, 95% CI -0.020 to 0.003), F lower 50% crossing (largest difference -0.2 pp, 95% CI -0.3 to 0.0), F upper 50% crossing (largest difference 0.5 pp, 95% CI 0.2 to 0.8), ke lower 50% crossing (largest difference 0.4 pp, 95% CI -0.1 to 0.9), ke upper 50% crossing (largest difference -1.0 pp, 95% CI -1.8 to -0.2), Vmax upper 50% crossing (largest difference 1.2 pp, 95% CI 0.5 to 1.9).</w:t>
      </w:r>
    </w:p>
    <w:p>
      <w:pPr>
        <w:numPr>
          <w:ilvl w:val="0"/>
          <w:numId w:val="1001"/>
        </w:numPr>
        <w:pStyle w:val="Compact"/>
      </w:pPr>
      <w:r>
        <w:t xml:space="preserve">Sample size: simulated power at 130 randomized per arm has a lower 95% bound of at least 90%: global population, both meet; Korean population, both meet.</w:t>
      </w:r>
    </w:p>
    <w:bookmarkEnd w:id="29"/>
    <w:bookmarkStart w:id="30" w:name="assumptions-and-limitations"/>
    <w:p>
      <w:pPr>
        <w:pStyle w:val="Heading2"/>
      </w:pPr>
      <w:r>
        <w:t xml:space="preserve">7. Assumptions and limitations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Healthy-volunteer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 over-predicts the pooled 300 mg AUC0-last of the healthy-volunteer studies (section 3); under the fixed weight assumption Model 1 met and Kovalenko 2016 did not meet the pre-specified misfit rule. Coverage statements (Day 57 quantifiable share, AUC0-inf estimability) use Kovalenko 2016, with Model 1 alongside (section 16.3 item 4 of the plan).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In-sample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1: R668-AS-0907, TDU12265, PKM14161 in its development data, PKM12350, R668-HV-1108, PKM14271 out-of-sample (FDA 2017 review section 4.6). Kovalenko 2016: R668-AS-0907, R668-HV-1108 in-sample, PKM12350, PKM14161, PKM14271, TDU12265 out-of-sample.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propagated in these results; published point estimates are used. Propagation is in progress, with Model 1 uncertainty borrowed from the Kovalenko 2016 bootstrap until Model 1's own bootstrap intervals are entered.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Korean population differs from the global one by body weight only (Japanese TDU12265 weight range in place of national survey data); no race effect is in the registered models.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Weights of literature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Studies without reported weights assume a normal 78 kg (SD 10 kg) mean weight; results depend on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Assay and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LLOQ 0.078 mg/L and visit windows are placeholders until the assay and the protocol are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Immunogenicity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Anti-drug antibodies are not modelled; the concentrations in section 5.2 are inputs for setting the assay drug tolerance.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mg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this appendix (known AUC0-last under-prediction for that presentation).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Disagreement between the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design contrast changes in opposite directions in the two models (class 4).</w:t>
            </w:r>
          </w:p>
        </w:tc>
      </w:tr>
    </w:tbl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2026-10-21T05:32:17Z</dcterms:created>
  <dcterms:modified xsi:type="dcterms:W3CDTF">2026-10-21T05:32:17Z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