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Override PartName="/word/media/rId114.png" ContentType="image/png"/>
  <Override PartName="/word/media/rId47.png" ContentType="image/png"/>
  <Override PartName="/word/media/rId50.png" ContentType="image/png"/>
  <Override PartName="/word/media/rId75.png" ContentType="image/png"/>
  <Override PartName="/word/media/rId89.png" ContentType="image/png"/>
  <Override PartName="/word/media/rId85.png" ContentType="image/png"/>
  <Override PartName="/word/media/rId55.png" ContentType="image/png"/>
  <Override PartName="/word/media/rId93.png" ContentType="image/png"/>
  <Override PartName="/word/media/rId64.png" ContentType="image/png"/>
  <Override PartName="/word/media/rId58.png" ContentType="image/png"/>
  <Override PartName="/word/media/rId61.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Modeling</w:t>
      </w:r>
      <w:r>
        <w:t xml:space="preserve"> </w:t>
      </w:r>
      <w:r>
        <w:t xml:space="preserve">and</w:t>
      </w:r>
      <w:r>
        <w:t xml:space="preserve"> </w:t>
      </w:r>
      <w:r>
        <w:t xml:space="preserve">Simulation</w:t>
      </w:r>
      <w:r>
        <w:t xml:space="preserve"> </w:t>
      </w:r>
      <w:r>
        <w:t xml:space="preserve">Report</w:t>
      </w:r>
    </w:p>
    <w:p>
      <w:pPr>
        <w:pStyle w:val="Subtitle"/>
      </w:pPr>
      <w:r>
        <w:t xml:space="preserve">AUC0-last</w:t>
      </w:r>
      <w:r>
        <w:t xml:space="preserve"> </w:t>
      </w:r>
      <w:r>
        <w:t xml:space="preserve">and</w:t>
      </w:r>
      <w:r>
        <w:t xml:space="preserve"> </w:t>
      </w:r>
      <w:r>
        <w:t xml:space="preserve">Cmax</w:t>
      </w:r>
      <w:r>
        <w:t xml:space="preserve"> </w:t>
      </w:r>
      <w:r>
        <w:t xml:space="preserve">as</w:t>
      </w:r>
      <w:r>
        <w:t xml:space="preserve"> </w:t>
      </w:r>
      <w:r>
        <w:t xml:space="preserve">co-primary</w:t>
      </w:r>
      <w:r>
        <w:t xml:space="preserve"> </w:t>
      </w:r>
      <w:r>
        <w:t xml:space="preserve">endpoints,</w:t>
      </w:r>
      <w:r>
        <w:t xml:space="preserve"> </w:t>
      </w:r>
      <w:r>
        <w:t xml:space="preserve">and</w:t>
      </w:r>
      <w:r>
        <w:t xml:space="preserve"> </w:t>
      </w:r>
      <w:r>
        <w:t xml:space="preserve">the</w:t>
      </w:r>
      <w:r>
        <w:t xml:space="preserve"> </w:t>
      </w:r>
      <w:r>
        <w:t xml:space="preserve">sampling</w:t>
      </w:r>
      <w:r>
        <w:t xml:space="preserve"> </w:t>
      </w:r>
      <w:r>
        <w:t xml:space="preserve">schedule,</w:t>
      </w:r>
      <w:r>
        <w:t xml:space="preserve"> </w:t>
      </w:r>
      <w:r>
        <w:t xml:space="preserve">for</w:t>
      </w:r>
      <w:r>
        <w:t xml:space="preserve"> </w:t>
      </w:r>
      <w:r>
        <w:t xml:space="preserve">a</w:t>
      </w:r>
      <w:r>
        <w:t xml:space="preserve"> </w:t>
      </w:r>
      <w:r>
        <w:t xml:space="preserve">single-dose</w:t>
      </w:r>
      <w:r>
        <w:t xml:space="preserve"> </w:t>
      </w:r>
      <w:r>
        <w:t xml:space="preserve">pharmacokinetic</w:t>
      </w:r>
      <w:r>
        <w:t xml:space="preserve"> </w:t>
      </w:r>
      <w:r>
        <w:t xml:space="preserve">similarity</w:t>
      </w:r>
      <w:r>
        <w:t xml:space="preserve"> </w:t>
      </w:r>
      <w:r>
        <w:t xml:space="preserve">study</w:t>
      </w:r>
      <w:r>
        <w:t xml:space="preserve"> </w:t>
      </w:r>
      <w:r>
        <w:t xml:space="preserve">of</w:t>
      </w:r>
      <w:r>
        <w:t xml:space="preserve"> </w:t>
      </w:r>
      <w:r>
        <w:t xml:space="preserve">a</w:t>
      </w:r>
      <w:r>
        <w:t xml:space="preserve"> </w:t>
      </w:r>
      <w:r>
        <w:t xml:space="preserve">proposed</w:t>
      </w:r>
      <w:r>
        <w:t xml:space="preserve"> </w:t>
      </w:r>
      <w:r>
        <w:t xml:space="preserve">dupilumab</w:t>
      </w:r>
      <w:r>
        <w:t xml:space="preserve"> </w:t>
      </w:r>
      <w:r>
        <w:t xml:space="preserve">biosimilar</w:t>
      </w:r>
    </w:p>
    <w:p>
      <w:pPr>
        <w:pStyle w:val="Date"/>
      </w:pPr>
      <w:r>
        <w:t xml:space="preserve">2026-09-29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ocument-control"/>
    <w:p>
      <w:pPr>
        <w:pStyle w:val="Heading1"/>
      </w:pPr>
      <w:r>
        <w:t xml:space="preserve">Document control</w:t>
      </w:r>
    </w:p>
    <w:tbl>
      <w:tblPr>
        <w:tblStyle w:val="Table"/>
        <w:tblW w:type="pct" w:w="5000"/>
        <w:tblLook w:firstRow="1" w:lastRow="0" w:firstColumn="0" w:lastColumn="0" w:noHBand="0" w:noVBand="0" w:val="0020"/>
        <w:jc w:val="start"/>
      </w:tblPr>
      <w:tblGrid>
        <w:gridCol w:w="755"/>
        <w:gridCol w:w="7164"/>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Document</w:t>
            </w:r>
          </w:p>
        </w:tc>
        <w:tc>
          <w:tcPr/>
          <w:p>
            <w:pPr>
              <w:pStyle w:val="Compact"/>
              <w:jc w:val="left"/>
            </w:pPr>
            <w:r>
              <w:t xml:space="preserve">Modeling and Simulation Report (this document), with appendices A to H</w:t>
            </w:r>
          </w:p>
        </w:tc>
      </w:tr>
      <w:tr>
        <w:tc>
          <w:tcPr/>
          <w:p>
            <w:pPr>
              <w:pStyle w:val="Compact"/>
              <w:jc w:val="left"/>
            </w:pPr>
            <w:r>
              <w:t xml:space="preserve">Version and status</w:t>
            </w:r>
          </w:p>
        </w:tc>
        <w:tc>
          <w:tcPr/>
          <w:p>
            <w:pPr>
              <w:pStyle w:val="Compact"/>
              <w:jc w:val="left"/>
            </w:pPr>
            <w:r>
              <w:t xml:space="preserve">1.0.1 (draft for sponsor review)</w:t>
            </w:r>
          </w:p>
        </w:tc>
      </w:tr>
      <w:tr>
        <w:tc>
          <w:tcPr/>
          <w:p>
            <w:pPr>
              <w:pStyle w:val="Compact"/>
              <w:jc w:val="left"/>
            </w:pPr>
            <w:r>
              <w:t xml:space="preserve">Generated (UTC)</w:t>
            </w:r>
          </w:p>
        </w:tc>
        <w:tc>
          <w:tcPr/>
          <w:p>
            <w:pPr>
              <w:pStyle w:val="Compact"/>
              <w:jc w:val="left"/>
            </w:pPr>
            <w:r>
              <w:t xml:space="preserve">2026-09-29 05:12</w:t>
            </w:r>
          </w:p>
        </w:tc>
      </w:tr>
      <w:tr>
        <w:tc>
          <w:tcPr/>
          <w:p>
            <w:pPr>
              <w:pStyle w:val="Compact"/>
              <w:jc w:val="left"/>
            </w:pPr>
            <w:r>
              <w:t xml:space="preserve">Source commit</w:t>
            </w:r>
          </w:p>
        </w:tc>
        <w:tc>
          <w:tcPr/>
          <w:p>
            <w:pPr>
              <w:pStyle w:val="Compact"/>
              <w:jc w:val="left"/>
            </w:pPr>
            <w:r>
              <w:t xml:space="preserve">aa92eff2e8ac96e4d93eb68295602aeaa4c5e2ba</w:t>
            </w:r>
          </w:p>
        </w:tc>
      </w:tr>
      <w:tr>
        <w:tc>
          <w:tcPr/>
          <w:p>
            <w:pPr>
              <w:pStyle w:val="Compact"/>
              <w:jc w:val="left"/>
            </w:pPr>
            <w:r>
              <w:t xml:space="preserve">Working tree clean at generation</w:t>
            </w:r>
          </w:p>
        </w:tc>
        <w:tc>
          <w:tcPr/>
          <w:p>
            <w:pPr>
              <w:pStyle w:val="Compact"/>
              <w:jc w:val="left"/>
            </w:pPr>
            <w:r>
              <w:t xml:space="preserve">yes</w:t>
            </w:r>
          </w:p>
        </w:tc>
      </w:tr>
      <w:tr>
        <w:tc>
          <w:tcPr/>
          <w:p>
            <w:pPr>
              <w:pStyle w:val="Compact"/>
              <w:jc w:val="left"/>
            </w:pPr>
            <w:r>
              <w:t xml:space="preserve">Generator</w:t>
            </w:r>
          </w:p>
        </w:tc>
        <w:tc>
          <w:tcPr/>
          <w:p>
            <w:pPr>
              <w:pStyle w:val="Compact"/>
              <w:jc w:val="left"/>
            </w:pPr>
            <w:r>
              <w:t xml:space="preserve">regulatory/src/MS_report.Rmd rendered by scripts/60_regulatory_package.R</w:t>
            </w:r>
          </w:p>
        </w:tc>
      </w:tr>
      <w:tr>
        <w:tc>
          <w:tcPr/>
          <w:p>
            <w:pPr>
              <w:pStyle w:val="Compact"/>
              <w:jc w:val="left"/>
            </w:pPr>
            <w:r>
              <w:t xml:space="preserve">Numbers</w:t>
            </w:r>
          </w:p>
        </w:tc>
        <w:tc>
          <w:tcPr/>
          <w:p>
            <w:pPr>
              <w:pStyle w:val="Compact"/>
              <w:jc w:val="left"/>
            </w:pPr>
            <w:r>
              <w:t xml:space="preserve">Every number is read from a committed result or configuration file at rendering time; each value, its source file, row filter and SHA-256 are listed in regulatory/traceability.csv (Appendix G).</w:t>
            </w:r>
          </w:p>
        </w:tc>
      </w:tr>
      <w:tr>
        <w:tc>
          <w:tcPr/>
          <w:p>
            <w:pPr>
              <w:pStyle w:val="Compact"/>
              <w:jc w:val="left"/>
            </w:pPr>
            <w:r>
              <w:t xml:space="preserve">Preparation</w:t>
            </w:r>
          </w:p>
        </w:tc>
        <w:tc>
          <w:tcPr/>
          <w:p>
            <w:pPr>
              <w:pStyle w:val="Compact"/>
              <w:jc w:val="left"/>
            </w:pPr>
            <w:r>
              <w:t xml:space="preserve">The simulation code, the analyses and this text were prepared with the assistance of an AI coding assistant (Claude Code, Anthropic) under the direction of the sponsor. They must be reviewed, independently quality-controlled and approved by qualified sponsor personnel before any regulatory use (signature page).</w:t>
            </w:r>
          </w:p>
        </w:tc>
      </w:tr>
    </w:tbl>
    <w:bookmarkEnd w:id="20"/>
    <w:bookmarkStart w:id="21" w:name="signature-page"/>
    <w:p>
      <w:pPr>
        <w:pStyle w:val="Heading1"/>
      </w:pPr>
      <w:r>
        <w:t xml:space="preserve">Signature page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 (pharmacometrics)</w:t>
            </w:r>
          </w:p>
        </w:tc>
        <w:tc>
          <w:tcPr/>
          <w:p>
            <w:pPr>
              <w:pStyle w:val="Compact"/>
            </w:pPr>
          </w:p>
        </w:tc>
        <w:tc>
          <w:tcPr/>
          <w:p>
            <w:pPr>
              <w:pStyle w:val="Compact"/>
            </w:pPr>
          </w:p>
        </w:tc>
        <w:tc>
          <w:tcPr/>
          <w:p>
            <w:pPr>
              <w:pStyle w:val="Compact"/>
            </w:pPr>
          </w:p>
        </w:tc>
      </w:tr>
      <w:tr>
        <w:tc>
          <w:tcPr/>
          <w:p>
            <w:pPr>
              <w:pStyle w:val="Compact"/>
              <w:jc w:val="left"/>
            </w:pPr>
            <w:r>
              <w:t xml:space="preserve">Independent QC reviewer (pharmacometrics or clinical pharmacology)</w:t>
            </w:r>
          </w:p>
        </w:tc>
        <w:tc>
          <w:tcPr/>
          <w:p>
            <w:pPr>
              <w:pStyle w:val="Compact"/>
            </w:pPr>
          </w:p>
        </w:tc>
        <w:tc>
          <w:tcPr/>
          <w:p>
            <w:pPr>
              <w:pStyle w:val="Compact"/>
            </w:pPr>
          </w:p>
        </w:tc>
        <w:tc>
          <w:tcPr/>
          <w:p>
            <w:pPr>
              <w:pStyle w:val="Compact"/>
            </w:pPr>
          </w:p>
        </w:tc>
      </w:tr>
      <w:tr>
        <w:tc>
          <w:tcPr/>
          <w:p>
            <w:pPr>
              <w:pStyle w:val="Compact"/>
              <w:jc w:val="left"/>
            </w:pPr>
            <w:r>
              <w:t xml:space="preserve">Clinical pharmacology lead</w:t>
            </w:r>
          </w:p>
        </w:tc>
        <w:tc>
          <w:tcPr/>
          <w:p>
            <w:pPr>
              <w:pStyle w:val="Compact"/>
            </w:pPr>
          </w:p>
        </w:tc>
        <w:tc>
          <w:tcPr/>
          <w:p>
            <w:pPr>
              <w:pStyle w:val="Compact"/>
            </w:pPr>
          </w:p>
        </w:tc>
        <w:tc>
          <w:tcPr/>
          <w:p>
            <w:pPr>
              <w:pStyle w:val="Compact"/>
            </w:pPr>
          </w:p>
        </w:tc>
      </w:tr>
      <w:tr>
        <w:tc>
          <w:tcPr/>
          <w:p>
            <w:pPr>
              <w:pStyle w:val="Compact"/>
              <w:jc w:val="left"/>
            </w:pPr>
            <w:r>
              <w:t xml:space="preserve">Biostatistics</w:t>
            </w:r>
          </w:p>
        </w:tc>
        <w:tc>
          <w:tcPr/>
          <w:p>
            <w:pPr>
              <w:pStyle w:val="Compact"/>
            </w:pPr>
          </w:p>
        </w:tc>
        <w:tc>
          <w:tcPr/>
          <w:p>
            <w:pPr>
              <w:pStyle w:val="Compact"/>
            </w:pPr>
          </w:p>
        </w:tc>
        <w:tc>
          <w:tcPr/>
          <w:p>
            <w:pPr>
              <w:pStyle w:val="Compact"/>
            </w:pPr>
          </w:p>
        </w:tc>
      </w:tr>
      <w:tr>
        <w:tc>
          <w:tcPr/>
          <w:p>
            <w:pPr>
              <w:pStyle w:val="Compact"/>
              <w:jc w:val="left"/>
            </w:pPr>
            <w:r>
              <w:t xml:space="preserve">Approver</w:t>
            </w:r>
          </w:p>
        </w:tc>
        <w:tc>
          <w:tcPr/>
          <w:p>
            <w:pPr>
              <w:pStyle w:val="Compact"/>
            </w:pPr>
          </w:p>
        </w:tc>
        <w:tc>
          <w:tcPr/>
          <w:p>
            <w:pPr>
              <w:pStyle w:val="Compact"/>
            </w:pPr>
          </w:p>
        </w:tc>
        <w:tc>
          <w:tcPr/>
          <w:p>
            <w:pPr>
              <w:pStyle w:val="Compact"/>
            </w:pPr>
          </w:p>
        </w:tc>
      </w:tr>
    </w:tbl>
    <w:bookmarkEnd w:id="21"/>
    <w:bookmarkStart w:id="22" w:name="synopsis"/>
    <w:p>
      <w:pPr>
        <w:pStyle w:val="Heading1"/>
      </w:pPr>
      <w:r>
        <w:t xml:space="preserve">Synopsis</w:t>
      </w:r>
    </w:p>
    <w:p>
      <w:pPr>
        <w:pStyle w:val="FirstParagraph"/>
      </w:pPr>
      <w:r>
        <w:rPr>
          <w:bCs/>
          <w:b/>
        </w:rPr>
        <w:t xml:space="preserve">Background.</w:t>
      </w:r>
      <w:r>
        <w:t xml:space="preserve"> </w:t>
      </w:r>
      <w:r>
        <w:t xml:space="preserve">Dupilumab is eliminated by a linear pathway and a saturable target-mediated pathway in parallel. As concentrations fall toward the lower limit of quantification (LLOQ, 0.078 mg/L), target-mediated elimination accelerates the decline: in the primary model, the true concentration falls from about 0.88 mg/L to the LLOQ within a median of 1.38 days (the</w:t>
      </w:r>
      <w:r>
        <w:t xml:space="preserve"> </w:t>
      </w:r>
      <w:r>
        <w:t xml:space="preserve">“</w:t>
      </w:r>
      <w:r>
        <w:t xml:space="preserve">terminal cliff</w:t>
      </w:r>
      <w:r>
        <w:t xml:space="preserve">”</w:t>
      </w:r>
      <w:r>
        <w:t xml:space="preserve">). A non-compartmental terminal rate constant (lambda-z) is therefore estimated on the decline before the cliff and does not represent the true terminal phase. The originator’s population pharmacokinetic (PK) analysis concluded that a meaningful terminal half-life cannot be calculated (Kovalenko 2020), and a published device-comparison study did not calculate half-life or AUC0-inf for this reason (Cohen 2022).</w:t>
      </w:r>
    </w:p>
    <w:p>
      <w:pPr>
        <w:pStyle w:val="BodyText"/>
      </w:pPr>
      <w:r>
        <w:rPr>
          <w:bCs/>
          <w:b/>
        </w:rPr>
        <w:t xml:space="preserve">Questions of interest.</w:t>
      </w:r>
      <w:r>
        <w:t xml:space="preserve"> </w:t>
      </w:r>
      <w:r>
        <w:t xml:space="preserve">(1) Can AUC0-last together with Cmax serve as the co-primary endpoints of the PK similarity study in place of AUC0-inf together with Cmax? (2) Do additional samples between study Day 36 and Day 50 improve the PK assessment enough to justify them?</w:t>
      </w:r>
    </w:p>
    <w:p>
      <w:pPr>
        <w:pStyle w:val="BodyText"/>
      </w:pPr>
      <w:r>
        <w:rPr>
          <w:bCs/>
          <w:b/>
        </w:rPr>
        <w:t xml:space="preserve">Methods.</w:t>
      </w:r>
      <w:r>
        <w:t xml:space="preserve"> </w:t>
      </w:r>
      <w:r>
        <w:t xml:space="preserve">Two published population PK models, used without re-estimation or tuning: Kovalenko 2016 (primary) and Kovalenko 2020 Model 1 (structural sensitivity). Simulated study: 300 mg subcutaneous single dose, parallel groups, 117 evaluable subjects per arm, body weight 60 to 90 kg, 13 post-dose samples to study Day 57. Non-compartmental analysis (NCA) follows Phoenix WinNonlin rules. Equivalence: 90% confidence interval (CI) of the geometric mean ratio (GMR) within 80.00% to 125.00%. The operating-characteristic design was fixed and committed before any result was generated (commit 779e068). For six mechanisms of product difference in both directions, test-product parameter multipliers were found such that the true (model-integrated) population AUC0-inf ratio equals 0.80 or 1.25, and 10,000 trials were simulated for each boundary scenario and model. The primary metric is the boundary type I error: the probability of concluding similarity when the true AUC0-inf ratio lies exactly at an equivalence limit.</w:t>
      </w:r>
    </w:p>
    <w:p>
      <w:pPr>
        <w:pStyle w:val="BodyText"/>
      </w:pPr>
      <w:r>
        <w:rPr>
          <w:bCs/>
          <w:b/>
        </w:rPr>
        <w:t xml:space="preserve">Results.</w:t>
      </w:r>
    </w:p>
    <w:p>
      <w:pPr>
        <w:numPr>
          <w:ilvl w:val="0"/>
          <w:numId w:val="1001"/>
        </w:numPr>
        <w:pStyle w:val="Compact"/>
      </w:pPr>
      <w:r>
        <w:rPr>
          <w:bCs/>
          <w:b/>
        </w:rPr>
        <w:t xml:space="preserve">Boundary scenarios in which AUC0-last + Cmax exceeds 5% (point estimate).</w:t>
      </w:r>
      <w:r>
        <w:t xml:space="preserve"> </w:t>
      </w:r>
      <w:r>
        <w:t xml:space="preserve">2020 model, peripheral volume (V2) up (multiplier 2.28), true AUC0-inf ratio 0.7998: M0 5.18% (95% CI 4.88 to 5.50), nominal; M1 5.63% (95% CI 5.31 to 5.95), exceeding; M2 5.75% (95% CI 5.43 to 6.08), exceeding. Quantitative cause: under M0 the AUC0-last GMR is biased by 0.41% relative to the true AUC0-inf ratio (toward 1), which moves the pass rate from 4.59% for the unbiased reference to 5.20% for AUC0-last alone; Cmax failures change it by -0.02 percentage points; under M1 the AUC0-last GMR is biased by 0.41% relative to the true AUC0-inf ratio (toward 1), which moves the pass rate from 4.94% for the unbiased reference to 5.65% for AUC0-last alone; Cmax failures change it by -0.02 percentage points; under M2 the AUC0-last GMR is biased by 0.41% relative to the true AUC0-inf ratio (toward 1), which moves the pass rate from 4.97% for the unbiased reference to 5.77% for AUC0-last alone; Cmax failures change it by -0.03 percentage points.</w:t>
      </w:r>
    </w:p>
    <w:p>
      <w:pPr>
        <w:numPr>
          <w:ilvl w:val="0"/>
          <w:numId w:val="1001"/>
        </w:numPr>
        <w:pStyle w:val="Compact"/>
      </w:pPr>
      <w:r>
        <w:rPr>
          <w:bCs/>
          <w:b/>
        </w:rPr>
        <w:t xml:space="preserve">Headline.</w:t>
      </w:r>
      <w:r>
        <w:t xml:space="preserve"> </w:t>
      </w:r>
      <w:r>
        <w:t xml:space="preserve">AUC0-last + Cmax is at or below nominal (Wilson 95% interval not entirely above 5%) in 16 of 16 boundary scenarios with the pooled t-test (M0), 15 of 16 with the weight stratum in the model (M1) and 15 of 16 with log body weight (M2).</w:t>
      </w:r>
    </w:p>
    <w:p>
      <w:pPr>
        <w:numPr>
          <w:ilvl w:val="0"/>
          <w:numId w:val="1001"/>
        </w:numPr>
        <w:pStyle w:val="Compact"/>
      </w:pPr>
      <w:r>
        <w:t xml:space="preserve">AUC0-last captures essentially all of the exposure. The true extrapolated fraction beyond the last quantifiable sample has a median of 0.65% (95th percentile 3.63%) in the primary model and 0.64% (3.54%) in the 2020 model. The share of subjects whose window coverage (true AUC0-tlast / true AUC0-inf) is below 80% is 0.00% (95% CI 0.00 to 0.02) in the primary model and 0.00% (95% CI 0.00 to 0.02) in the 2020 model.</w:t>
      </w:r>
    </w:p>
    <w:p>
      <w:pPr>
        <w:numPr>
          <w:ilvl w:val="0"/>
          <w:numId w:val="1001"/>
        </w:numPr>
        <w:pStyle w:val="Compact"/>
      </w:pPr>
      <w:r>
        <w:t xml:space="preserve">In the trial population (healthy adults of 60 to 90 kg, randomization stratified by body weight), NCA AUC0-inf fails criteria set (i) (adjusted R-squared at least 0.80, extrapolation at most 20%) in 8.2% to 13.4% of subjects in the two models, leaving a median of 101 to 107 (5th to 95th percentile 95 to 112) of 117 subjects per arm in the analysis under rule A. These criteria are statistical analysis plan conventions, not software defaults (Phoenix WinNonlin applies lambda-z acceptance criteria only when the user enters them, and then only flags the profiles), and set (i) is the lower end of the conventional range: with the adjusted R-squared of at least 0.90 used in public statistical analysis plans (set (iii)) 33.2% to 38.8% fail and a median of 72 to 78 (5th to 95th percentile 63 to 86) remain per arm.</w:t>
      </w:r>
    </w:p>
    <w:p>
      <w:pPr>
        <w:numPr>
          <w:ilvl w:val="0"/>
          <w:numId w:val="1001"/>
        </w:numPr>
        <w:pStyle w:val="Compact"/>
      </w:pPr>
      <w:r>
        <w:t xml:space="preserve">The failures are not random within the trial. Failing subjects have a lower true AUC0-inf (geometric mean ratio to retained subjects 0.786 to 0.815 under set (i)), the heavier randomization stratum fails more often (by 1.5 to 2.7 percentage points), the rule A analysis set loses the stratified balance of body weight between the arms, and when the products differ the share failing differs between the arms by up to 12.3 percentage points, in a direction set by the mechanism of the difference. Rule A therefore compares different subjects in the two arms.</w:t>
      </w:r>
    </w:p>
    <w:p>
      <w:pPr>
        <w:numPr>
          <w:ilvl w:val="0"/>
          <w:numId w:val="1001"/>
        </w:numPr>
        <w:pStyle w:val="Compact"/>
      </w:pPr>
      <w:r>
        <w:t xml:space="preserve">With the pooled t-test (M0), AUC0-last + Cmax (proposed) is conservative in 15, nominal in 1 and exceeding in 0 of the 16 boundary scenarios (Wilson 95% interval versus 5%). The largest value is 5.18% (95% CI 4.88 to 5.50) (20,000 trials) for a 2.28-fold peripheral volume in the 2020 model. In the primary model the largest value is 3.97% (95% CI 3.60 to 4.37).</w:t>
      </w:r>
    </w:p>
    <w:p>
      <w:pPr>
        <w:numPr>
          <w:ilvl w:val="0"/>
          <w:numId w:val="1001"/>
        </w:numPr>
        <w:pStyle w:val="Compact"/>
      </w:pPr>
      <w:r>
        <w:t xml:space="preserve">The randomization is stratified by body weight. With the stratum in the analysis model (M1, ANOVA), AUC0-last + Cmax is conservative in 15, nominal in 0 and exceeding in 1 scenarios (0.00% to 5.63%). M0 ignores the stratum, so its standard error overstates the sampling variability (between-trial SD / within-trial SE of the unbiased reference 0.961 to 0.993 under M0 and 0.991 to 1.020 under M1).</w:t>
      </w:r>
    </w:p>
    <w:p>
      <w:pPr>
        <w:numPr>
          <w:ilvl w:val="0"/>
          <w:numId w:val="1001"/>
        </w:numPr>
        <w:pStyle w:val="Compact"/>
      </w:pPr>
      <w:r>
        <w:t xml:space="preserve">AUC0-inf + Cmax analysed in subjects meeting the reliability criteria (the pre-specified guidance-default configuration) exceeds 5% in 12 of 16 boundary scenarios, with the Wilson lower bound above 5% in all 12. The largest value is 27.60% (95% CI 26.73 to 28.48). Including every subject with an estimable lambda-z still exceeds 5% in 8 of 16 scenarios (largest 15.06% (95% CI 14.37 to 15.77)). Substituting AUC0-last for subjects failing the criteria (rule C) gives results close to AUC0-last + Cmax: largest 5.01% (95% CI 4.71 to 5.32) under M0 and 5.39% (95% CI 5.09 to 5.71) under M1, in the same 2020-model peripheral-volume scenario in which AUC0-last + Cmax is highest.</w:t>
      </w:r>
    </w:p>
    <w:p>
      <w:pPr>
        <w:numPr>
          <w:ilvl w:val="0"/>
          <w:numId w:val="1001"/>
        </w:numPr>
        <w:pStyle w:val="Compact"/>
      </w:pPr>
      <w:r>
        <w:t xml:space="preserve">Under the stricter conventional criteria, AUC0-inf + Cmax with rule A exceeds 5% (point estimate) in 9 (set (iii)) and 12 (set (iv)) of 16 boundary scenarios under M0 (10 and 12 under M1); with rule C the range is 0.00% to 5.21% (set (iii), M0).</w:t>
      </w:r>
    </w:p>
    <w:p>
      <w:pPr>
        <w:numPr>
          <w:ilvl w:val="0"/>
          <w:numId w:val="1001"/>
        </w:numPr>
        <w:pStyle w:val="Compact"/>
      </w:pPr>
      <w:r>
        <w:t xml:space="preserve">The inflation has two sources. First, NCA AUC0-inf is biased toward a ratio of 1, because the pre-cliff lambda-z overstates the unobserved tail equally in both arms. Second, excluding subjects who fail the criteria selects a non-random subset.</w:t>
      </w:r>
    </w:p>
    <w:p>
      <w:pPr>
        <w:numPr>
          <w:ilvl w:val="0"/>
          <w:numId w:val="1001"/>
        </w:numPr>
        <w:pStyle w:val="Compact"/>
      </w:pPr>
      <w:r>
        <w:t xml:space="preserve">Power for identical products is 99.6% (95% CI 99.4 to 99.7) (primary model) and 99.0% (95% CI 98.8 to 99.2) (2020 model) for AUC0-last + Cmax.</w:t>
      </w:r>
    </w:p>
    <w:p>
      <w:pPr>
        <w:numPr>
          <w:ilvl w:val="0"/>
          <w:numId w:val="1001"/>
        </w:numPr>
        <w:pStyle w:val="Compact"/>
      </w:pPr>
      <w:r>
        <w:t xml:space="preserve">Changing the Michaelis-Menten constant of target-mediated elimination (Km), through which a target-binding difference acts in this model, from 0.01-fold to 100-fold moves the true AUC0-inf ratio only within 0.999 to 1.059. A binding difference is therefore not detectable by any AUC endpoint and must be addressed by the comparative analytical assessment.</w:t>
      </w:r>
    </w:p>
    <w:p>
      <w:pPr>
        <w:numPr>
          <w:ilvl w:val="0"/>
          <w:numId w:val="1001"/>
        </w:numPr>
        <w:pStyle w:val="Compact"/>
      </w:pPr>
      <w:r>
        <w:t xml:space="preserve">Between assay LLOQs of 0.02 and 0.5 mg/L, the share of subjects with window coverage below 80% stays within 0.00% to 0.01% (primary model), and the boundary type I error of AUC0-last + Cmax within 2.22% to 4.22% (M0) in the three scenarios examined.</w:t>
      </w:r>
    </w:p>
    <w:p>
      <w:pPr>
        <w:numPr>
          <w:ilvl w:val="0"/>
          <w:numId w:val="1001"/>
        </w:numPr>
        <w:pStyle w:val="Compact"/>
      </w:pPr>
      <w:r>
        <w:t xml:space="preserve">At the protocol CV of 43% and a true GMR of 0.95, 117 evaluable subjects per arm give P2 power of 94.0% (M0) and 94.5% (M1); 90% power needs 100 (M0) or 97 (M1) evaluable per arm, and at a CV of 50% 129 or 126.</w:t>
      </w:r>
    </w:p>
    <w:p>
      <w:pPr>
        <w:numPr>
          <w:ilvl w:val="0"/>
          <w:numId w:val="1001"/>
        </w:numPr>
        <w:pStyle w:val="Compact"/>
      </w:pPr>
      <w:r>
        <w:t xml:space="preserve">The criteria for adding samples, set before any result was reported, were not met in either model. In one sensitivity variant (Vmax x0.8 in both arms), one criterion was met at 20,000 subjects but not on re-evaluation in 200,000 subjects. The cliff is shorter than any feasible visit interval, and denser late sampling does not improve AUC0-inf reliability. The planned schedule is retained, including Day 50.</w:t>
      </w:r>
    </w:p>
    <w:p>
      <w:pPr>
        <w:pStyle w:val="FirstParagraph"/>
      </w:pPr>
      <w:r>
        <w:rPr>
          <w:bCs/>
          <w:b/>
        </w:rPr>
        <w:t xml:space="preserve">Conclusion.</w:t>
      </w:r>
      <w:r>
        <w:t xml:space="preserve"> </w:t>
      </w:r>
      <w:r>
        <w:t xml:space="preserve">AUC0-last and Cmax quantify total exposure. Their boundary type I error is at or near the nominal 5% across six mechanisms, both directions and two structural models, with the exceptions stated first in the results above. Configurations that rely on NCA AUC0-inf, as commonly analysed, exceed 5% in many scenarios. The sponsor proposes:</w:t>
      </w:r>
    </w:p>
    <w:p>
      <w:pPr>
        <w:numPr>
          <w:ilvl w:val="0"/>
          <w:numId w:val="1002"/>
        </w:numPr>
        <w:pStyle w:val="Compact"/>
      </w:pPr>
      <w:r>
        <w:t xml:space="preserve">AUC0-last and Cmax as co-primary endpoints;</w:t>
      </w:r>
    </w:p>
    <w:p>
      <w:pPr>
        <w:numPr>
          <w:ilvl w:val="0"/>
          <w:numId w:val="1002"/>
        </w:numPr>
        <w:pStyle w:val="Compact"/>
      </w:pPr>
      <w:r>
        <w:t xml:space="preserve">AUC0-inf as a secondary endpoint, reported with pre-specified lambda-z criteria;</w:t>
      </w:r>
    </w:p>
    <w:p>
      <w:pPr>
        <w:numPr>
          <w:ilvl w:val="0"/>
          <w:numId w:val="1002"/>
        </w:numPr>
        <w:pStyle w:val="Compact"/>
      </w:pPr>
      <w:r>
        <w:t xml:space="preserve">the planned 13-sample schedule to Day 57;</w:t>
      </w:r>
    </w:p>
    <w:p>
      <w:pPr>
        <w:numPr>
          <w:ilvl w:val="0"/>
          <w:numId w:val="1002"/>
        </w:numPr>
        <w:pStyle w:val="Compact"/>
      </w:pPr>
      <w:r>
        <w:t xml:space="preserve">the primary analysis model (pooled t-test or ANOVA with the randomization stratum), the assay LLOQ and the target power to be fixed by the sponsor (proposed SAP text: regulatory/sap_text_proposals_en.md).</w:t>
      </w:r>
    </w:p>
    <w:p>
      <w:pPr>
        <w:pStyle w:val="FirstParagraph"/>
      </w:pPr>
      <w:r>
        <w:rPr>
          <w:bCs/>
          <w:b/>
        </w:rPr>
        <w:t xml:space="preserve">Principal limitations.</w:t>
      </w:r>
    </w:p>
    <w:p>
      <w:pPr>
        <w:numPr>
          <w:ilvl w:val="0"/>
          <w:numId w:val="1003"/>
        </w:numPr>
        <w:pStyle w:val="Compact"/>
      </w:pPr>
      <w:r>
        <w:t xml:space="preserve">The models come from the literature, and the individual data were not available to the sponsor.</w:t>
      </w:r>
    </w:p>
    <w:p>
      <w:pPr>
        <w:numPr>
          <w:ilvl w:val="0"/>
          <w:numId w:val="1003"/>
        </w:numPr>
        <w:pStyle w:val="Compact"/>
      </w:pPr>
      <w:r>
        <w:t xml:space="preserve">The terminal phase below the LLOQ cannot be observed. This is addressed by Km and Vmax curve-shape sensitivity analyses and by two structural models.</w:t>
      </w:r>
    </w:p>
    <w:p>
      <w:pPr>
        <w:numPr>
          <w:ilvl w:val="0"/>
          <w:numId w:val="1003"/>
        </w:numPr>
        <w:pStyle w:val="Compact"/>
      </w:pPr>
      <w:r>
        <w:t xml:space="preserve">Several study-design inputs are placeholders pending confirmation (Appendix B).</w:t>
      </w:r>
    </w:p>
    <w:p>
      <w:pPr>
        <w:numPr>
          <w:ilvl w:val="0"/>
          <w:numId w:val="1003"/>
        </w:numPr>
        <w:pStyle w:val="Compact"/>
      </w:pPr>
      <w:r>
        <w:t xml:space="preserve">Cmax is over-predicted by up to 27%.</w:t>
      </w:r>
    </w:p>
    <w:p>
      <w:pPr>
        <w:numPr>
          <w:ilvl w:val="0"/>
          <w:numId w:val="1003"/>
        </w:numPr>
        <w:pStyle w:val="Compact"/>
      </w:pPr>
      <w:r>
        <w:t xml:space="preserve">The faster absorption of the 200 mg (175 mg/mL) presentation, which is not the study presentation, is not reproduced.</w:t>
      </w:r>
    </w:p>
    <w:bookmarkEnd w:id="22"/>
    <w:bookmarkStart w:id="26" w:name="introduction"/>
    <w:p>
      <w:pPr>
        <w:pStyle w:val="Heading1"/>
      </w:pPr>
      <w:r>
        <w:t xml:space="preserve">1. Introduction</w:t>
      </w:r>
    </w:p>
    <w:bookmarkStart w:id="23" w:name="dupilumab-pharmacokinetics"/>
    <w:p>
      <w:pPr>
        <w:pStyle w:val="Heading2"/>
      </w:pPr>
      <w:r>
        <w:t xml:space="preserve">1.1 Dupilumab pharmacokinetics</w:t>
      </w:r>
    </w:p>
    <w:p>
      <w:pPr>
        <w:pStyle w:val="FirstParagraph"/>
      </w:pPr>
      <w:r>
        <w:t xml:space="preserve">Dupilumab is a human IgG4 monoclonal antibody against the interleukin-4 receptor alpha subunit. After subcutaneous administration it shows nonlinear, target-mediated PK. Elimination runs through two parallel pathways: linear (proteolytic) elimination and saturable elimination mediated by the membrane-bound target. At concentrations well above the Michaelis-Menten constant (Km, estimated or fixed at 0.01 mg/L in the published models), the target-mediated pathway is saturated and contributes at a nearly constant rate. As concentrations approach the LLOQ, the target-mediated pathway dominates and the decline accelerates.</w:t>
      </w:r>
    </w:p>
    <w:p>
      <w:pPr>
        <w:pStyle w:val="BodyText"/>
      </w:pPr>
      <w:r>
        <w:t xml:space="preserve">Published descriptions of this terminal behaviour:</w:t>
      </w:r>
    </w:p>
    <w:p>
      <w:pPr>
        <w:numPr>
          <w:ilvl w:val="0"/>
          <w:numId w:val="1004"/>
        </w:numPr>
        <w:pStyle w:val="Compact"/>
      </w:pPr>
      <w:r>
        <w:rPr>
          <w:bCs/>
          <w:b/>
        </w:rPr>
        <w:t xml:space="preserve">Kovalenko 2020.</w:t>
      </w:r>
      <w:r>
        <w:t xml:space="preserve"> </w:t>
      </w:r>
      <w:r>
        <w:t xml:space="preserve">The instantaneous half-life decreases toward zero, the terminal slope becomes almost vertical near the LLOQ, and a meaningful terminal half-life cannot be calculated (such values were not submitted to regulators).</w:t>
      </w:r>
    </w:p>
    <w:p>
      <w:pPr>
        <w:numPr>
          <w:ilvl w:val="0"/>
          <w:numId w:val="1004"/>
        </w:numPr>
        <w:pStyle w:val="Compact"/>
      </w:pPr>
      <w:r>
        <w:rPr>
          <w:bCs/>
          <w:b/>
        </w:rPr>
        <w:t xml:space="preserve">Li 2020.</w:t>
      </w:r>
      <w:r>
        <w:t xml:space="preserve"> </w:t>
      </w:r>
      <w:r>
        <w:t xml:space="preserve">Elimination is steeper at lower concentrations, and AUC0-last increases more than dose-proportionally.</w:t>
      </w:r>
    </w:p>
    <w:p>
      <w:pPr>
        <w:numPr>
          <w:ilvl w:val="0"/>
          <w:numId w:val="1004"/>
        </w:numPr>
        <w:pStyle w:val="Compact"/>
      </w:pPr>
      <w:r>
        <w:rPr>
          <w:bCs/>
          <w:b/>
        </w:rPr>
        <w:t xml:space="preserve">Cohen 2022.</w:t>
      </w:r>
      <w:r>
        <w:t xml:space="preserve"> </w:t>
      </w:r>
      <w:r>
        <w:t xml:space="preserve">A 200 mg device comparison did not calculate half-life or AUC0-inf because of the terminal nonlinearity.</w:t>
      </w:r>
    </w:p>
    <w:p>
      <w:pPr>
        <w:numPr>
          <w:ilvl w:val="0"/>
          <w:numId w:val="1004"/>
        </w:numPr>
        <w:pStyle w:val="Compact"/>
      </w:pPr>
      <w:r>
        <w:rPr>
          <w:bCs/>
          <w:b/>
        </w:rPr>
        <w:t xml:space="preserve">Kovalenko 2016.</w:t>
      </w:r>
      <w:r>
        <w:t xml:space="preserve"> </w:t>
      </w:r>
      <w:r>
        <w:t xml:space="preserve">Below-LLOQ observations had to be included (M3 method) to characterise the steep target-mediated phase.</w:t>
      </w:r>
    </w:p>
    <w:bookmarkEnd w:id="23"/>
    <w:bookmarkStart w:id="24" w:name="regulatory-context"/>
    <w:p>
      <w:pPr>
        <w:pStyle w:val="Heading2"/>
      </w:pPr>
      <w:r>
        <w:t xml:space="preserve">1.2 Regulatory context</w:t>
      </w:r>
    </w:p>
    <w:p>
      <w:pPr>
        <w:pStyle w:val="FirstParagraph"/>
      </w:pPr>
      <w:r>
        <w:t xml:space="preserve">The FDA guidance on clinical pharmacology data to support a demonstration of biosimilarity (December 2016) identifies AUC0-inf and Cmax as the primary PK parameters of a single-dose PK similarity study. It also sets 80% to 125% as the limits for the 90% CI of the GMR.</w:t>
      </w:r>
    </w:p>
    <w:p>
      <w:pPr>
        <w:pStyle w:val="BodyText"/>
      </w:pPr>
      <w:r>
        <w:t xml:space="preserve">For dupilumab, AUC0-inf from NCA depends on a lambda-z that is estimated before the accelerating decline, and on subject-level reliability criteria that remove a non-random subset of subjects. The sponsor therefore proposes AUC0-last (AUC0-t in FDA terminology, the area to the last quantifiable concentration) and Cmax as the co-primary endpoints, with AUC0-inf as a secondary endpoint. This report provides the quantitative basis for that proposal.</w:t>
      </w:r>
    </w:p>
    <w:p>
      <w:pPr>
        <w:pStyle w:val="BodyText"/>
      </w:pPr>
      <w:r>
        <w:t xml:space="preserve">Two further developments raise the weight of this study:</w:t>
      </w:r>
    </w:p>
    <w:p>
      <w:pPr>
        <w:numPr>
          <w:ilvl w:val="0"/>
          <w:numId w:val="1005"/>
        </w:numPr>
        <w:pStyle w:val="Compact"/>
      </w:pPr>
      <w:r>
        <w:t xml:space="preserve">In its October 2025 draft guidance on assessing the need for comparative efficacy studies, FDA indicated that such studies may not be needed when comparative analytical data support high similarity and a PK similarity study is feasible and clinically relevant. This increases the weight of the PK similarity study in the totality of the evidence.</w:t>
      </w:r>
    </w:p>
    <w:p>
      <w:pPr>
        <w:numPr>
          <w:ilvl w:val="0"/>
          <w:numId w:val="1005"/>
        </w:numPr>
        <w:pStyle w:val="Compact"/>
      </w:pPr>
      <w:r>
        <w:t xml:space="preserve">The report follows the framework of ICH M15, General Principles for Model-Informed Drug Development (Step 4, 2026): question of interest, context of use, model risk and a proportionate credibility assessment.</w:t>
      </w:r>
    </w:p>
    <w:bookmarkEnd w:id="24"/>
    <w:bookmarkStart w:id="25" w:name="proposed-study-as-simulated"/>
    <w:p>
      <w:pPr>
        <w:pStyle w:val="Heading2"/>
      </w:pPr>
      <w:r>
        <w:t xml:space="preserve">1.3 Proposed study, as simulated</w:t>
      </w:r>
    </w:p>
    <w:p>
      <w:pPr>
        <w:numPr>
          <w:ilvl w:val="0"/>
          <w:numId w:val="1006"/>
        </w:numPr>
        <w:pStyle w:val="Compact"/>
      </w:pPr>
      <w:r>
        <w:rPr>
          <w:bCs/>
          <w:b/>
        </w:rPr>
        <w:t xml:space="preserve">Design:</w:t>
      </w:r>
      <w:r>
        <w:t xml:space="preserve"> </w:t>
      </w:r>
      <w:r>
        <w:t xml:space="preserve">randomized, parallel groups, single subcutaneous dose of 300 mg (2 mL of 150 mg/mL), healthy subjects, body weight 60 to 90 kg.</w:t>
      </w:r>
    </w:p>
    <w:p>
      <w:pPr>
        <w:numPr>
          <w:ilvl w:val="0"/>
          <w:numId w:val="1006"/>
        </w:numPr>
        <w:pStyle w:val="Compact"/>
      </w:pPr>
      <w:r>
        <w:rPr>
          <w:bCs/>
          <w:b/>
        </w:rPr>
        <w:t xml:space="preserve">Sample size:</w:t>
      </w:r>
      <w:r>
        <w:t xml:space="preserve"> </w:t>
      </w:r>
      <w:r>
        <w:t xml:space="preserve">130 subjects randomized and 117 evaluable per arm. Dropout itself is not simulated.</w:t>
      </w:r>
    </w:p>
    <w:p>
      <w:pPr>
        <w:numPr>
          <w:ilvl w:val="0"/>
          <w:numId w:val="1006"/>
        </w:numPr>
        <w:pStyle w:val="Compact"/>
      </w:pPr>
      <w:r>
        <w:rPr>
          <w:bCs/>
          <w:b/>
        </w:rPr>
        <w:t xml:space="preserve">Randomization:</w:t>
      </w:r>
      <w:r>
        <w:t xml:space="preserve"> </w:t>
      </w:r>
      <w:r>
        <w:t xml:space="preserve">stratified by body weight (two strata).</w:t>
      </w:r>
    </w:p>
    <w:p>
      <w:pPr>
        <w:numPr>
          <w:ilvl w:val="0"/>
          <w:numId w:val="1006"/>
        </w:numPr>
        <w:pStyle w:val="Compact"/>
      </w:pPr>
      <w:r>
        <w:rPr>
          <w:bCs/>
          <w:b/>
        </w:rPr>
        <w:t xml:space="preserve">Sampling (study days):</w:t>
      </w:r>
      <w:r>
        <w:t xml:space="preserve"> </w:t>
      </w:r>
      <w:r>
        <w:t xml:space="preserve">pre-dose, then Days 1 (post-dose), 2, 4, 6, 8, 11, 15, 22, 29, 36, 43, 50 and 57. In days after dosing these are 0.25, 1, 3, 5, 7, 10, 14, 21, 28, 35, 42, 49, 56.</w:t>
      </w:r>
    </w:p>
    <w:p>
      <w:pPr>
        <w:numPr>
          <w:ilvl w:val="0"/>
          <w:numId w:val="1006"/>
        </w:numPr>
        <w:pStyle w:val="Compact"/>
      </w:pPr>
      <w:r>
        <w:rPr>
          <w:bCs/>
          <w:b/>
        </w:rPr>
        <w:t xml:space="preserve">Bioanalysis:</w:t>
      </w:r>
      <w:r>
        <w:t xml:space="preserve"> </w:t>
      </w:r>
      <w:r>
        <w:t xml:space="preserve">LLOQ 0.078 mg/L.</w:t>
      </w:r>
    </w:p>
    <w:p>
      <w:pPr>
        <w:numPr>
          <w:ilvl w:val="0"/>
          <w:numId w:val="1006"/>
        </w:numPr>
        <w:pStyle w:val="Compact"/>
      </w:pPr>
      <w:r>
        <w:rPr>
          <w:bCs/>
          <w:b/>
        </w:rPr>
        <w:t xml:space="preserve">Equivalence:</w:t>
      </w:r>
      <w:r>
        <w:t xml:space="preserve"> </w:t>
      </w:r>
      <w:r>
        <w:t xml:space="preserve">90% CI of the GMR (pooled two-sample t on the log scale) within 80.00% to 125.00% for each co-primary endpoint.</w:t>
      </w:r>
    </w:p>
    <w:bookmarkEnd w:id="25"/>
    <w:bookmarkEnd w:id="26"/>
    <w:bookmarkStart w:id="27" w:name="X55ee38ac193e981798b3747b4095225bff6d40f"/>
    <w:p>
      <w:pPr>
        <w:pStyle w:val="Heading1"/>
      </w:pPr>
      <w:r>
        <w:t xml:space="preserve">2. Question of interest, context of use and model risk</w:t>
      </w:r>
    </w:p>
    <w:tbl>
      <w:tblPr>
        <w:tblStyle w:val="Table"/>
        <w:tblW w:type="pct" w:w="5000"/>
        <w:tblLook w:firstRow="1" w:lastRow="0" w:firstColumn="0" w:lastColumn="0" w:noHBand="0" w:noVBand="0" w:val="0020"/>
        <w:jc w:val="start"/>
      </w:tblPr>
      <w:tblGrid>
        <w:gridCol w:w="670"/>
        <w:gridCol w:w="7249"/>
      </w:tblGrid>
      <w:tr>
        <w:trPr>
          <w:tblHeader w:val="true"/>
        </w:trPr>
        <w:tc>
          <w:tcPr/>
          <w:p>
            <w:pPr>
              <w:pStyle w:val="Compact"/>
              <w:jc w:val="left"/>
            </w:pPr>
            <w:r>
              <w:t xml:space="preserve">Element</w:t>
            </w:r>
          </w:p>
        </w:tc>
        <w:tc>
          <w:tcPr/>
          <w:p>
            <w:pPr>
              <w:pStyle w:val="Compact"/>
              <w:jc w:val="left"/>
            </w:pPr>
            <w:r>
              <w:t xml:space="preserve">Description</w:t>
            </w:r>
          </w:p>
        </w:tc>
      </w:tr>
      <w:tr>
        <w:tc>
          <w:tcPr/>
          <w:p>
            <w:pPr>
              <w:pStyle w:val="Compact"/>
              <w:jc w:val="left"/>
            </w:pPr>
            <w:r>
              <w:t xml:space="preserve">Question of interest 1</w:t>
            </w:r>
          </w:p>
        </w:tc>
        <w:tc>
          <w:tcPr/>
          <w:p>
            <w:pPr>
              <w:pStyle w:val="Compact"/>
              <w:jc w:val="left"/>
            </w:pPr>
            <w:r>
              <w:t xml:space="preserve">Can AUC0-last with Cmax replace AUC0-inf with Cmax as the co-primary endpoints of the single-dose PK similarity study, i.e. does AUC0-last measure total exposure and control the probability of concluding similarity for a product whose true AUC0-inf ratio lies at an equivalence limit, at least as well as AUC0-inf?</w:t>
            </w:r>
          </w:p>
        </w:tc>
      </w:tr>
      <w:tr>
        <w:tc>
          <w:tcPr/>
          <w:p>
            <w:pPr>
              <w:pStyle w:val="Compact"/>
              <w:jc w:val="left"/>
            </w:pPr>
            <w:r>
              <w:t xml:space="preserve">Question of interest 2</w:t>
            </w:r>
          </w:p>
        </w:tc>
        <w:tc>
          <w:tcPr/>
          <w:p>
            <w:pPr>
              <w:pStyle w:val="Compact"/>
              <w:jc w:val="left"/>
            </w:pPr>
            <w:r>
              <w:t xml:space="preserve">Do additional samples between study Day 36 and Day 50 improve AUC0-last precision, sensitivity to product differences or the reliability of AUC0-inf enough to justify them (decision rule set before any result was reported)?</w:t>
            </w:r>
          </w:p>
        </w:tc>
      </w:tr>
      <w:tr>
        <w:tc>
          <w:tcPr/>
          <w:p>
            <w:pPr>
              <w:pStyle w:val="Compact"/>
              <w:jc w:val="left"/>
            </w:pPr>
            <w:r>
              <w:t xml:space="preserve">Context of use</w:t>
            </w:r>
          </w:p>
        </w:tc>
        <w:tc>
          <w:tcPr/>
          <w:p>
            <w:pPr>
              <w:pStyle w:val="Compact"/>
              <w:jc w:val="left"/>
            </w:pPr>
            <w:r>
              <w:t xml:space="preserve">Simulation of the planned study with published population PK models to (a) quantify the fraction of total exposure captured by AUC0-last under the planned schedule, (b) estimate the operating characteristics (boundary type I error, power) of alternative endpoint configurations and AUC0-inf handling rules, and (c) evaluate added samples. The results support the endpoint and sampling proposal discussed with FDA; they do not replace the study, whose observed data will determine the equivalence conclusion.</w:t>
            </w:r>
          </w:p>
        </w:tc>
      </w:tr>
      <w:tr>
        <w:tc>
          <w:tcPr/>
          <w:p>
            <w:pPr>
              <w:pStyle w:val="Compact"/>
              <w:jc w:val="left"/>
            </w:pPr>
            <w:r>
              <w:t xml:space="preserve">Model influence</w:t>
            </w:r>
          </w:p>
        </w:tc>
        <w:tc>
          <w:tcPr/>
          <w:p>
            <w:pPr>
              <w:pStyle w:val="Compact"/>
              <w:jc w:val="left"/>
            </w:pPr>
            <w:r>
              <w:t xml:space="preserve">Medium. The simulations are the main quantitative evidence for the endpoint choice; they are complemented by the mechanistic understanding of target-mediated elimination and by the originator’s published statements on the terminal phase.</w:t>
            </w:r>
          </w:p>
        </w:tc>
      </w:tr>
      <w:tr>
        <w:tc>
          <w:tcPr/>
          <w:p>
            <w:pPr>
              <w:pStyle w:val="Compact"/>
              <w:jc w:val="left"/>
            </w:pPr>
            <w:r>
              <w:t xml:space="preserve">Consequence of a wrong decision</w:t>
            </w:r>
          </w:p>
        </w:tc>
        <w:tc>
          <w:tcPr/>
          <w:p>
            <w:pPr>
              <w:pStyle w:val="Compact"/>
              <w:jc w:val="left"/>
            </w:pPr>
            <w:r>
              <w:t xml:space="preserve">Medium. An endpoint that fails to control the boundary type I error would raise the chance of concluding PK similarity for a product with a true AUC0-inf ratio outside 80% to 125%; an overly conservative endpoint would raise the chance of failing a similar product. Mitigations: Cmax remains co-primary, AUC0-inf is reported as a secondary endpoint, and the comparative analytical assessment addresses target binding directly.</w:t>
            </w:r>
          </w:p>
        </w:tc>
      </w:tr>
      <w:tr>
        <w:tc>
          <w:tcPr/>
          <w:p>
            <w:pPr>
              <w:pStyle w:val="Compact"/>
              <w:jc w:val="left"/>
            </w:pPr>
            <w:r>
              <w:t xml:space="preserve">Model risk</w:t>
            </w:r>
          </w:p>
        </w:tc>
        <w:tc>
          <w:tcPr/>
          <w:p>
            <w:pPr>
              <w:pStyle w:val="Compact"/>
              <w:jc w:val="left"/>
            </w:pPr>
            <w:r>
              <w:t xml:space="preserve">Medium.</w:t>
            </w:r>
          </w:p>
        </w:tc>
      </w:tr>
      <w:tr>
        <w:tc>
          <w:tcPr/>
          <w:p>
            <w:pPr>
              <w:pStyle w:val="Compact"/>
              <w:jc w:val="left"/>
            </w:pPr>
            <w:r>
              <w:t xml:space="preserve">Credibility activities (proportionate to risk)</w:t>
            </w:r>
          </w:p>
        </w:tc>
        <w:tc>
          <w:tcPr/>
          <w:p>
            <w:pPr>
              <w:pStyle w:val="Compact"/>
              <w:jc w:val="left"/>
            </w:pPr>
            <w:r>
              <w:t xml:space="preserve">Code verification against analytical solutions and two reference NCA implementations; independent re-implementation by a reviewer; external validation against published data for the study presentation; two structural models; curve-shape (Km, Vmax), variability, residual error, body weight and ADA-like sensitivity analyses; pre-specification of the operating-characteristic design before any result; reproduction in a clean computing environment; traceability of every reported number to its source file.</w:t>
            </w:r>
          </w:p>
        </w:tc>
      </w:tr>
    </w:tbl>
    <w:bookmarkEnd w:id="27"/>
    <w:bookmarkStart w:id="41" w:name="methods"/>
    <w:p>
      <w:pPr>
        <w:pStyle w:val="Heading1"/>
      </w:pPr>
      <w:r>
        <w:t xml:space="preserve">3. Methods</w:t>
      </w:r>
    </w:p>
    <w:bookmarkStart w:id="28" w:name="models"/>
    <w:p>
      <w:pPr>
        <w:pStyle w:val="Heading2"/>
      </w:pPr>
      <w:r>
        <w:t xml:space="preserve">3.1 Models</w:t>
      </w:r>
    </w:p>
    <w:p>
      <w:pPr>
        <w:pStyle w:val="TableCaption"/>
      </w:pPr>
      <w:r>
        <w:t xml:space="preserve">Table 3-1. Model parameters (sources per parameter in Appendix A). No parameter was re-estimated, calibrated or adjusted to any validation target.</w:t>
      </w:r>
    </w:p>
    <w:tbl>
      <w:tblPr>
        <w:tblStyle w:val="Table"/>
        <w:tblW w:type="pct" w:w="5000"/>
        <w:tblLook w:firstRow="1" w:lastRow="0" w:firstColumn="0" w:lastColumn="0" w:noHBand="0" w:noVBand="0" w:val="0020"/>
        <w:jc w:val="start"/>
        <w:tblCaption w:val="Table 3-1. Model parameters (sources per parameter in Appendix A). No parameter was re-estimated, calibrated or adjusted to any validation target."/>
      </w:tblPr>
      <w:tblGrid>
        <w:gridCol w:w="3208"/>
        <w:gridCol w:w="2184"/>
        <w:gridCol w:w="2526"/>
      </w:tblGrid>
      <w:tr>
        <w:trPr>
          <w:tblHeader w:val="true"/>
        </w:trPr>
        <w:tc>
          <w:tcPr/>
          <w:p>
            <w:pPr>
              <w:pStyle w:val="Compact"/>
              <w:jc w:val="left"/>
            </w:pPr>
            <w:r>
              <w:t xml:space="preserve">Parameter</w:t>
            </w:r>
          </w:p>
        </w:tc>
        <w:tc>
          <w:tcPr/>
          <w:p>
            <w:pPr>
              <w:pStyle w:val="Compact"/>
              <w:jc w:val="right"/>
            </w:pPr>
            <w:r>
              <w:t xml:space="preserve">Kovalenko 2016 (primary)</w:t>
            </w:r>
          </w:p>
        </w:tc>
        <w:tc>
          <w:tcPr/>
          <w:p>
            <w:pPr>
              <w:pStyle w:val="Compact"/>
              <w:jc w:val="right"/>
            </w:pPr>
            <w:r>
              <w:t xml:space="preserve">Kovalenko 2020 Model 1 (sensitivity)</w:t>
            </w:r>
          </w:p>
        </w:tc>
      </w:tr>
      <w:tr>
        <w:tc>
          <w:tcPr/>
          <w:p>
            <w:pPr>
              <w:pStyle w:val="Compact"/>
              <w:jc w:val="left"/>
            </w:pPr>
            <w:r>
              <w:t xml:space="preserve">Central volume Vc (L) at 75 kg</w:t>
            </w:r>
          </w:p>
        </w:tc>
        <w:tc>
          <w:tcPr/>
          <w:p>
            <w:pPr>
              <w:pStyle w:val="Compact"/>
              <w:jc w:val="right"/>
            </w:pPr>
            <w:r>
              <w:t xml:space="preserve">2.74</w:t>
            </w:r>
          </w:p>
        </w:tc>
        <w:tc>
          <w:tcPr/>
          <w:p>
            <w:pPr>
              <w:pStyle w:val="Compact"/>
              <w:jc w:val="right"/>
            </w:pPr>
            <w:r>
              <w:t xml:space="preserve">2.48</w:t>
            </w:r>
          </w:p>
        </w:tc>
      </w:tr>
      <w:tr>
        <w:tc>
          <w:tcPr/>
          <w:p>
            <w:pPr>
              <w:pStyle w:val="Compact"/>
              <w:jc w:val="left"/>
            </w:pPr>
            <w:r>
              <w:t xml:space="preserve">Linear elimination ke (1/day)</w:t>
            </w:r>
          </w:p>
        </w:tc>
        <w:tc>
          <w:tcPr/>
          <w:p>
            <w:pPr>
              <w:pStyle w:val="Compact"/>
              <w:jc w:val="right"/>
            </w:pPr>
            <w:r>
              <w:t xml:space="preserve">0.0459</w:t>
            </w:r>
          </w:p>
        </w:tc>
        <w:tc>
          <w:tcPr/>
          <w:p>
            <w:pPr>
              <w:pStyle w:val="Compact"/>
              <w:jc w:val="right"/>
            </w:pPr>
            <w:r>
              <w:t xml:space="preserve">0.0534</w:t>
            </w:r>
          </w:p>
        </w:tc>
      </w:tr>
      <w:tr>
        <w:tc>
          <w:tcPr/>
          <w:p>
            <w:pPr>
              <w:pStyle w:val="Compact"/>
              <w:jc w:val="left"/>
            </w:pPr>
            <w:r>
              <w:t xml:space="preserve">Central to peripheral k12 (1/day)</w:t>
            </w:r>
          </w:p>
        </w:tc>
        <w:tc>
          <w:tcPr/>
          <w:p>
            <w:pPr>
              <w:pStyle w:val="Compact"/>
              <w:jc w:val="right"/>
            </w:pPr>
            <w:r>
              <w:t xml:space="preserve">0.0652</w:t>
            </w:r>
          </w:p>
        </w:tc>
        <w:tc>
          <w:tcPr/>
          <w:p>
            <w:pPr>
              <w:pStyle w:val="Compact"/>
              <w:jc w:val="right"/>
            </w:pPr>
            <w:r>
              <w:t xml:space="preserve">0.213</w:t>
            </w:r>
          </w:p>
        </w:tc>
      </w:tr>
      <w:tr>
        <w:tc>
          <w:tcPr/>
          <w:p>
            <w:pPr>
              <w:pStyle w:val="Compact"/>
              <w:jc w:val="left"/>
            </w:pPr>
            <w:r>
              <w:t xml:space="preserve">Peripheral to central k21 (1/day)</w:t>
            </w:r>
          </w:p>
        </w:tc>
        <w:tc>
          <w:tcPr/>
          <w:p>
            <w:pPr>
              <w:pStyle w:val="Compact"/>
              <w:jc w:val="right"/>
            </w:pPr>
            <w:r>
              <w:t xml:space="preserve">0.129</w:t>
            </w:r>
          </w:p>
        </w:tc>
        <w:tc>
          <w:tcPr/>
          <w:p>
            <w:pPr>
              <w:pStyle w:val="Compact"/>
              <w:jc w:val="right"/>
            </w:pPr>
            <w:r>
              <w:t xml:space="preserve">0.31</w:t>
            </w:r>
          </w:p>
        </w:tc>
      </w:tr>
      <w:tr>
        <w:tc>
          <w:tcPr/>
          <w:p>
            <w:pPr>
              <w:pStyle w:val="Compact"/>
              <w:jc w:val="left"/>
            </w:pPr>
            <w:r>
              <w:t xml:space="preserve">Absorption ka (1/day)</w:t>
            </w:r>
          </w:p>
        </w:tc>
        <w:tc>
          <w:tcPr/>
          <w:p>
            <w:pPr>
              <w:pStyle w:val="Compact"/>
              <w:jc w:val="right"/>
            </w:pPr>
            <w:r>
              <w:t xml:space="preserve">0.254</w:t>
            </w:r>
          </w:p>
        </w:tc>
        <w:tc>
          <w:tcPr/>
          <w:p>
            <w:pPr>
              <w:pStyle w:val="Compact"/>
              <w:jc w:val="right"/>
            </w:pPr>
            <w:r>
              <w:t xml:space="preserve">0.256</w:t>
            </w:r>
          </w:p>
        </w:tc>
      </w:tr>
      <w:tr>
        <w:tc>
          <w:tcPr/>
          <w:p>
            <w:pPr>
              <w:pStyle w:val="Compact"/>
              <w:jc w:val="left"/>
            </w:pPr>
            <w:r>
              <w:t xml:space="preserve">Transit compartments / mean transit time (day)</w:t>
            </w:r>
          </w:p>
        </w:tc>
        <w:tc>
          <w:tcPr/>
          <w:p>
            <w:pPr>
              <w:pStyle w:val="Compact"/>
              <w:jc w:val="right"/>
            </w:pPr>
            <w:r>
              <w:t xml:space="preserve">none (first-order absorption)</w:t>
            </w:r>
          </w:p>
        </w:tc>
        <w:tc>
          <w:tcPr/>
          <w:p>
            <w:pPr>
              <w:pStyle w:val="Compact"/>
              <w:jc w:val="right"/>
            </w:pPr>
            <w:r>
              <w:t xml:space="preserve">3 / 0.105</w:t>
            </w:r>
          </w:p>
        </w:tc>
      </w:tr>
      <w:tr>
        <w:tc>
          <w:tcPr/>
          <w:p>
            <w:pPr>
              <w:pStyle w:val="Compact"/>
              <w:jc w:val="left"/>
            </w:pPr>
            <w:r>
              <w:t xml:space="preserve">Vmax (mg/L/day)</w:t>
            </w:r>
          </w:p>
        </w:tc>
        <w:tc>
          <w:tcPr/>
          <w:p>
            <w:pPr>
              <w:pStyle w:val="Compact"/>
              <w:jc w:val="right"/>
            </w:pPr>
            <w:r>
              <w:t xml:space="preserve">0.968</w:t>
            </w:r>
          </w:p>
        </w:tc>
        <w:tc>
          <w:tcPr/>
          <w:p>
            <w:pPr>
              <w:pStyle w:val="Compact"/>
              <w:jc w:val="right"/>
            </w:pPr>
            <w:r>
              <w:t xml:space="preserve">1.07</w:t>
            </w:r>
          </w:p>
        </w:tc>
      </w:tr>
      <w:tr>
        <w:tc>
          <w:tcPr/>
          <w:p>
            <w:pPr>
              <w:pStyle w:val="Compact"/>
              <w:jc w:val="left"/>
            </w:pPr>
            <w:r>
              <w:t xml:space="preserve">Km (mg/L)</w:t>
            </w:r>
          </w:p>
        </w:tc>
        <w:tc>
          <w:tcPr/>
          <w:p>
            <w:pPr>
              <w:pStyle w:val="Compact"/>
              <w:jc w:val="right"/>
            </w:pPr>
            <w:r>
              <w:t xml:space="preserve">0.01 (fixed)</w:t>
            </w:r>
          </w:p>
        </w:tc>
        <w:tc>
          <w:tcPr/>
          <w:p>
            <w:pPr>
              <w:pStyle w:val="Compact"/>
              <w:jc w:val="right"/>
            </w:pPr>
            <w:r>
              <w:t xml:space="preserve">0.01 (fixed)</w:t>
            </w:r>
          </w:p>
        </w:tc>
      </w:tr>
      <w:tr>
        <w:tc>
          <w:tcPr/>
          <w:p>
            <w:pPr>
              <w:pStyle w:val="Compact"/>
              <w:jc w:val="left"/>
            </w:pPr>
            <w:r>
              <w:t xml:space="preserve">Bioavailability F</w:t>
            </w:r>
          </w:p>
        </w:tc>
        <w:tc>
          <w:tcPr/>
          <w:p>
            <w:pPr>
              <w:pStyle w:val="Compact"/>
              <w:jc w:val="right"/>
            </w:pPr>
            <w:r>
              <w:t xml:space="preserve">0.607</w:t>
            </w:r>
          </w:p>
        </w:tc>
        <w:tc>
          <w:tcPr/>
          <w:p>
            <w:pPr>
              <w:pStyle w:val="Compact"/>
              <w:jc w:val="right"/>
            </w:pPr>
            <w:r>
              <w:t xml:space="preserve">0.643</w:t>
            </w:r>
          </w:p>
        </w:tc>
      </w:tr>
      <w:tr>
        <w:tc>
          <w:tcPr/>
          <w:p>
            <w:pPr>
              <w:pStyle w:val="Compact"/>
              <w:jc w:val="left"/>
            </w:pPr>
            <w:r>
              <w:t xml:space="preserve">Weight exponent on Vc</w:t>
            </w:r>
          </w:p>
        </w:tc>
        <w:tc>
          <w:tcPr/>
          <w:p>
            <w:pPr>
              <w:pStyle w:val="Compact"/>
              <w:jc w:val="right"/>
            </w:pPr>
            <w:r>
              <w:t xml:space="preserve">0.705</w:t>
            </w:r>
          </w:p>
        </w:tc>
        <w:tc>
          <w:tcPr/>
          <w:p>
            <w:pPr>
              <w:pStyle w:val="Compact"/>
              <w:jc w:val="right"/>
            </w:pPr>
            <w:r>
              <w:t xml:space="preserve">0.711</w:t>
            </w:r>
          </w:p>
        </w:tc>
      </w:tr>
      <w:tr>
        <w:tc>
          <w:tcPr/>
          <w:p>
            <w:pPr>
              <w:pStyle w:val="Compact"/>
              <w:jc w:val="left"/>
            </w:pPr>
            <w:r>
              <w:t xml:space="preserve">IIV (variance) Vc / ke / ka / Vmax</w:t>
            </w:r>
          </w:p>
        </w:tc>
        <w:tc>
          <w:tcPr/>
          <w:p>
            <w:pPr>
              <w:pStyle w:val="Compact"/>
              <w:jc w:val="right"/>
            </w:pPr>
            <w:r>
              <w:t xml:space="preserve">0.0225 / 0.131 / 0.251 / 0.0428</w:t>
            </w:r>
          </w:p>
        </w:tc>
        <w:tc>
          <w:tcPr/>
          <w:p>
            <w:pPr>
              <w:pStyle w:val="Compact"/>
              <w:jc w:val="right"/>
            </w:pPr>
            <w:r>
              <w:t xml:space="preserve">0.0369 / 0.0812 / 0.2247 / 0.0557</w:t>
            </w:r>
          </w:p>
        </w:tc>
      </w:tr>
      <w:tr>
        <w:tc>
          <w:tcPr/>
          <w:p>
            <w:pPr>
              <w:pStyle w:val="Compact"/>
              <w:jc w:val="left"/>
            </w:pPr>
            <w:r>
              <w:t xml:space="preserve">IIV (variance) mean transit time</w:t>
            </w:r>
          </w:p>
        </w:tc>
        <w:tc>
          <w:tcPr/>
          <w:p>
            <w:pPr>
              <w:pStyle w:val="Compact"/>
              <w:jc w:val="right"/>
            </w:pPr>
            <w:r>
              <w:t xml:space="preserve">not applicable</w:t>
            </w:r>
          </w:p>
        </w:tc>
        <w:tc>
          <w:tcPr/>
          <w:p>
            <w:pPr>
              <w:pStyle w:val="Compact"/>
              <w:jc w:val="right"/>
            </w:pPr>
            <w:r>
              <w:t xml:space="preserve">0.2756</w:t>
            </w:r>
          </w:p>
        </w:tc>
      </w:tr>
      <w:tr>
        <w:tc>
          <w:tcPr/>
          <w:p>
            <w:pPr>
              <w:pStyle w:val="Compact"/>
              <w:jc w:val="left"/>
            </w:pPr>
            <w:r>
              <w:t xml:space="preserve">Residual error: proportional / additive (mg/L)</w:t>
            </w:r>
          </w:p>
        </w:tc>
        <w:tc>
          <w:tcPr/>
          <w:p>
            <w:pPr>
              <w:pStyle w:val="Compact"/>
              <w:jc w:val="right"/>
            </w:pPr>
            <w:r>
              <w:t xml:space="preserve">24.2% / 0.03</w:t>
            </w:r>
          </w:p>
        </w:tc>
        <w:tc>
          <w:tcPr/>
          <w:p>
            <w:pPr>
              <w:pStyle w:val="Compact"/>
              <w:jc w:val="right"/>
            </w:pPr>
            <w:r>
              <w:t xml:space="preserve">15% / 0.03</w:t>
            </w:r>
          </w:p>
        </w:tc>
      </w:tr>
    </w:tbl>
    <w:p>
      <w:pPr>
        <w:pStyle w:val="BodyText"/>
      </w:pPr>
      <w:r>
        <w:t xml:space="preserve">Both models are two-compartment models with first-order absorption (the 2020 model adds three transit compartments before absorption) and parallel linear and Michaelis-Menten elimination from the central compartment. The Michaelis-Menten term is Vmax x C / (Km + C), in concentration units, multiplied by the central volume. Individual parameters are log-normally distributed. The central volume is scaled by (weight/75)^exponent.</w:t>
      </w:r>
    </w:p>
    <w:p>
      <w:pPr>
        <w:pStyle w:val="BodyText"/>
      </w:pPr>
      <w:r>
        <w:t xml:space="preserve">Other models from the same publications were not used, for the following reasons:</w:t>
      </w:r>
    </w:p>
    <w:p>
      <w:pPr>
        <w:numPr>
          <w:ilvl w:val="0"/>
          <w:numId w:val="1007"/>
        </w:numPr>
        <w:pStyle w:val="Compact"/>
      </w:pPr>
      <w:r>
        <w:rPr>
          <w:bCs/>
          <w:b/>
        </w:rPr>
        <w:t xml:space="preserve">Kovalenko 2020 Model 2</w:t>
      </w:r>
      <w:r>
        <w:t xml:space="preserve"> </w:t>
      </w:r>
      <w:r>
        <w:t xml:space="preserve">excludes below-LLOQ data and has an additive residual error of 0.403 mg/L. This makes it unsuitable for simulating concentrations near the LLOQ.</w:t>
      </w:r>
    </w:p>
    <w:p>
      <w:pPr>
        <w:numPr>
          <w:ilvl w:val="0"/>
          <w:numId w:val="1007"/>
        </w:numPr>
        <w:pStyle w:val="Compact"/>
      </w:pPr>
      <w:r>
        <w:rPr>
          <w:bCs/>
          <w:b/>
        </w:rPr>
        <w:t xml:space="preserve">Kovalenko 2020 Models 3 and 4</w:t>
      </w:r>
      <w:r>
        <w:t xml:space="preserve"> </w:t>
      </w:r>
      <w:r>
        <w:t xml:space="preserve">(phase 3 data) estimate inter-individual variability on the central volume and ke only, with an additive error of about 6 mg/L. They are unsuitable for single-dose studies in healthy subjects. Only their covariate coefficients were borrowed, for the body-weight generalization (Section 5.8).</w:t>
      </w:r>
    </w:p>
    <w:bookmarkEnd w:id="28"/>
    <w:bookmarkStart w:id="29" w:name="virtual-subjects-and-design"/>
    <w:p>
      <w:pPr>
        <w:pStyle w:val="Heading2"/>
      </w:pPr>
      <w:r>
        <w:t xml:space="preserve">3.2 Virtual subjects and design</w:t>
      </w:r>
    </w:p>
    <w:p>
      <w:pPr>
        <w:numPr>
          <w:ilvl w:val="0"/>
          <w:numId w:val="1008"/>
        </w:numPr>
        <w:pStyle w:val="Compact"/>
      </w:pPr>
      <w:r>
        <w:rPr>
          <w:bCs/>
          <w:b/>
        </w:rPr>
        <w:t xml:space="preserve">Body weight:</w:t>
      </w:r>
      <w:r>
        <w:t xml:space="preserve"> </w:t>
      </w:r>
      <w:r>
        <w:t xml:space="preserve">normal, mean 75 kg, standard deviation (SD) 9 kg, truncated to 60 to 90 kg.</w:t>
      </w:r>
    </w:p>
    <w:p>
      <w:pPr>
        <w:numPr>
          <w:ilvl w:val="0"/>
          <w:numId w:val="1008"/>
        </w:numPr>
        <w:pStyle w:val="Compact"/>
      </w:pPr>
      <w:r>
        <w:rPr>
          <w:bCs/>
          <w:b/>
        </w:rPr>
        <w:t xml:space="preserve">Sex ratio:</w:t>
      </w:r>
      <w:r>
        <w:t xml:space="preserve"> </w:t>
      </w:r>
      <w:r>
        <w:t xml:space="preserve">0.5.</w:t>
      </w:r>
    </w:p>
    <w:p>
      <w:pPr>
        <w:numPr>
          <w:ilvl w:val="0"/>
          <w:numId w:val="1008"/>
        </w:numPr>
        <w:pStyle w:val="Compact"/>
      </w:pPr>
      <w:r>
        <w:rPr>
          <w:bCs/>
          <w:b/>
        </w:rPr>
        <w:t xml:space="preserve">Randomization:</w:t>
      </w:r>
      <w:r>
        <w:t xml:space="preserve"> </w:t>
      </w:r>
      <w:r>
        <w:t xml:space="preserve">stratified into two strata split at 75 kg, with 1:1 allocation within strata.</w:t>
      </w:r>
    </w:p>
    <w:p>
      <w:pPr>
        <w:numPr>
          <w:ilvl w:val="0"/>
          <w:numId w:val="1008"/>
        </w:numPr>
        <w:pStyle w:val="Compact"/>
      </w:pPr>
      <w:r>
        <w:rPr>
          <w:bCs/>
          <w:b/>
        </w:rPr>
        <w:t xml:space="preserve">Arms:</w:t>
      </w:r>
      <w:r>
        <w:t xml:space="preserve"> </w:t>
      </w:r>
      <w:r>
        <w:t xml:space="preserve">117 evaluable subjects per arm.</w:t>
      </w:r>
    </w:p>
    <w:p>
      <w:pPr>
        <w:pStyle w:val="FirstParagraph"/>
      </w:pPr>
      <w:r>
        <w:t xml:space="preserve">The weight distribution, the sex ratio and the stratification split are placeholders pending confirmation (Appendix B).</w:t>
      </w:r>
    </w:p>
    <w:p>
      <w:pPr>
        <w:pStyle w:val="BodyText"/>
      </w:pPr>
      <w:r>
        <w:t xml:space="preserve">Common random numbers are used throughout: subjects, allocation, sampling-time deviations and residual errors of trial j are identical across scenarios and schedules. Differences between scenarios, schedules or configurations are therefore estimated as paired differences within the same virtual trials.</w:t>
      </w:r>
    </w:p>
    <w:bookmarkEnd w:id="29"/>
    <w:bookmarkStart w:id="30" w:name="observations"/>
    <w:p>
      <w:pPr>
        <w:pStyle w:val="Heading2"/>
      </w:pPr>
      <w:r>
        <w:t xml:space="preserve">3.3 Observations</w:t>
      </w:r>
    </w:p>
    <w:p>
      <w:pPr>
        <w:numPr>
          <w:ilvl w:val="0"/>
          <w:numId w:val="1009"/>
        </w:numPr>
        <w:pStyle w:val="Compact"/>
      </w:pPr>
      <w:r>
        <w:rPr>
          <w:bCs/>
          <w:b/>
        </w:rPr>
        <w:t xml:space="preserve">Sample times:</w:t>
      </w:r>
      <w:r>
        <w:t xml:space="preserve"> </w:t>
      </w:r>
      <w:r>
        <w:t xml:space="preserve">actual sampling times deviate within visit windows of plus or minus 2 hours up to Day 1, plus or minus 6 hours up to Day 14 and plus or minus 1 day thereafter (placeholders). The Day 1 post-dose sample is at 0.25 day after dosing (placeholder).</w:t>
      </w:r>
    </w:p>
    <w:p>
      <w:pPr>
        <w:numPr>
          <w:ilvl w:val="0"/>
          <w:numId w:val="1009"/>
        </w:numPr>
        <w:pStyle w:val="Compact"/>
      </w:pPr>
      <w:r>
        <w:rPr>
          <w:bCs/>
          <w:b/>
        </w:rPr>
        <w:t xml:space="preserve">Residual error:</w:t>
      </w:r>
      <w:r>
        <w:t xml:space="preserve"> </w:t>
      </w:r>
      <w:r>
        <w:t xml:space="preserve">observations are the model concentration with the model’s proportional and additive residual error.</w:t>
      </w:r>
    </w:p>
    <w:p>
      <w:pPr>
        <w:numPr>
          <w:ilvl w:val="0"/>
          <w:numId w:val="1009"/>
        </w:numPr>
        <w:pStyle w:val="Compact"/>
      </w:pPr>
      <w:r>
        <w:rPr>
          <w:bCs/>
          <w:b/>
        </w:rPr>
        <w:t xml:space="preserve">LLOQ:</w:t>
      </w:r>
      <w:r>
        <w:t xml:space="preserve"> </w:t>
      </w:r>
      <w:r>
        <w:t xml:space="preserve">observations below 0.078 mg/L are reported as below the LLOQ (BLQ).</w:t>
      </w:r>
    </w:p>
    <w:bookmarkEnd w:id="30"/>
    <w:bookmarkStart w:id="31" w:name="non-compartmental-analysis"/>
    <w:p>
      <w:pPr>
        <w:pStyle w:val="Heading2"/>
      </w:pPr>
      <w:r>
        <w:t xml:space="preserve">3.4 Non-compartmental analysis</w:t>
      </w:r>
    </w:p>
    <w:p>
      <w:pPr>
        <w:pStyle w:val="FirstParagraph"/>
      </w:pPr>
      <w:r>
        <w:t xml:space="preserve">The NCA engine reproduces the Phoenix WinNonlin rules. It was verified against the reference implementations NonCompart and PKNCA (Section 4.1).</w:t>
      </w:r>
    </w:p>
    <w:p>
      <w:pPr>
        <w:pStyle w:val="BodyText"/>
      </w:pPr>
      <w:r>
        <w:rPr>
          <w:bCs/>
          <w:b/>
        </w:rPr>
        <w:t xml:space="preserve">BLQ handling</w:t>
      </w:r>
      <w:r>
        <w:t xml:space="preserve">, applied before NCA because Phoenix does not do it automatically:</w:t>
      </w:r>
    </w:p>
    <w:p>
      <w:pPr>
        <w:numPr>
          <w:ilvl w:val="0"/>
          <w:numId w:val="1010"/>
        </w:numPr>
        <w:pStyle w:val="Compact"/>
      </w:pPr>
      <w:r>
        <w:t xml:space="preserve">values before the first quantifiable concentration are set to zero (the pre-dose anchor is (0, 0));</w:t>
      </w:r>
    </w:p>
    <w:p>
      <w:pPr>
        <w:numPr>
          <w:ilvl w:val="0"/>
          <w:numId w:val="1010"/>
        </w:numPr>
        <w:pStyle w:val="Compact"/>
      </w:pPr>
      <w:r>
        <w:t xml:space="preserve">BLQ values between quantifiable values are set to missing;</w:t>
      </w:r>
    </w:p>
    <w:p>
      <w:pPr>
        <w:numPr>
          <w:ilvl w:val="0"/>
          <w:numId w:val="1010"/>
        </w:numPr>
        <w:pStyle w:val="Compact"/>
      </w:pPr>
      <w:r>
        <w:t xml:space="preserve">values after the last quantifiable concentration are excluded;</w:t>
      </w:r>
    </w:p>
    <w:p>
      <w:pPr>
        <w:numPr>
          <w:ilvl w:val="0"/>
          <w:numId w:val="1010"/>
        </w:numPr>
        <w:pStyle w:val="Compact"/>
      </w:pPr>
      <w:r>
        <w:t xml:space="preserve">quantifiable values after two consecutive BLQ values are set to missing.</w:t>
      </w:r>
    </w:p>
    <w:p>
      <w:pPr>
        <w:pStyle w:val="FirstParagraph"/>
      </w:pPr>
      <w:r>
        <w:rPr>
          <w:bCs/>
          <w:b/>
        </w:rPr>
        <w:t xml:space="preserve">AUC0-last:</w:t>
      </w:r>
      <w:r>
        <w:t xml:space="preserve"> </w:t>
      </w:r>
      <w:r>
        <w:t xml:space="preserve">linear-up log-down trapezoidal rule on actual sampling times.</w:t>
      </w:r>
    </w:p>
    <w:p>
      <w:pPr>
        <w:pStyle w:val="BodyText"/>
      </w:pPr>
      <w:r>
        <w:rPr>
          <w:bCs/>
          <w:b/>
        </w:rPr>
        <w:t xml:space="preserve">lambda-z (Best Fit):</w:t>
      </w:r>
    </w:p>
    <w:p>
      <w:pPr>
        <w:numPr>
          <w:ilvl w:val="0"/>
          <w:numId w:val="1011"/>
        </w:numPr>
        <w:pStyle w:val="Compact"/>
      </w:pPr>
      <w:r>
        <w:t xml:space="preserve">candidate windows are the last 3, 4, 5, … positive concentrations after Cmax;</w:t>
      </w:r>
    </w:p>
    <w:p>
      <w:pPr>
        <w:numPr>
          <w:ilvl w:val="0"/>
          <w:numId w:val="1011"/>
        </w:numPr>
        <w:pStyle w:val="Compact"/>
      </w:pPr>
      <w:r>
        <w:t xml:space="preserve">the slope is estimated by unweighted log-linear regression;</w:t>
      </w:r>
    </w:p>
    <w:p>
      <w:pPr>
        <w:numPr>
          <w:ilvl w:val="0"/>
          <w:numId w:val="1011"/>
        </w:numPr>
        <w:pStyle w:val="Compact"/>
      </w:pPr>
      <w:r>
        <w:t xml:space="preserve">windows with a positive slope are excluded;</w:t>
      </w:r>
    </w:p>
    <w:p>
      <w:pPr>
        <w:numPr>
          <w:ilvl w:val="0"/>
          <w:numId w:val="1011"/>
        </w:numPr>
        <w:pStyle w:val="Compact"/>
      </w:pPr>
      <w:r>
        <w:t xml:space="preserve">the window with the largest adjusted R-squared is selected, and ties within 0.0001 go to the window with more points;</w:t>
      </w:r>
    </w:p>
    <w:p>
      <w:pPr>
        <w:numPr>
          <w:ilvl w:val="0"/>
          <w:numId w:val="1011"/>
        </w:numPr>
        <w:pStyle w:val="Compact"/>
      </w:pPr>
      <w:r>
        <w:t xml:space="preserve">lambda-z is not estimable if fewer than 3 positive concentrations follow Cmax.</w:t>
      </w:r>
    </w:p>
    <w:p>
      <w:pPr>
        <w:pStyle w:val="FirstParagraph"/>
      </w:pPr>
      <w:r>
        <w:t xml:space="preserve">AUC0-inf is AUCINF_obs (AUC0-last + Clast/lambda-z).</w:t>
      </w:r>
    </w:p>
    <w:p>
      <w:pPr>
        <w:pStyle w:val="BodyText"/>
      </w:pPr>
      <w:r>
        <w:rPr>
          <w:bCs/>
          <w:b/>
        </w:rPr>
        <w:t xml:space="preserve">Reliability criteria for AUC0-inf.</w:t>
      </w:r>
      <w:r>
        <w:t xml:space="preserve"> </w:t>
      </w:r>
      <w:r>
        <w:t xml:space="preserve">Phoenix WinNonlin does not define reliability criteria for lambda-z. Its Lambda Z Acceptance Criteria (Rules tab) are optional entries in which the user sets a minimum adjusted R-squared, a maximum extrapolated percentage and a minimum span; profiles that do not meet them are flagged, not excluded, and no values are applied unless entered (Certara Phoenix 8.2 NCA documentation). The criteria below are therefore statistical analysis plan conventions. An adjusted R-squared of at least 0.80 is one convention; at least 0.90, sometimes with a span of at least 3 half-lives, is common in public statistical analysis plans (NCT04117607: adjusted R-squared at least 0.90, span at least 3.0 half-lives and at least 3 points after tmax; NCT04441905: adjusted R-squared at least 0.90 and at least 3 points; NCT04700163: adjusted R-squared above 0.90, otherwise AUC0-inf and the other terminal parameters are excluded from the summaries and the statistical analysis; the last was verified from a web-search excerpt because the registry document could not be opened from the analysis environment). All sets require an estimable lambda-z and an extrapolated area of at most 20%.</w:t>
      </w:r>
    </w:p>
    <w:p>
      <w:pPr>
        <w:numPr>
          <w:ilvl w:val="0"/>
          <w:numId w:val="1012"/>
        </w:numPr>
        <w:pStyle w:val="Compact"/>
      </w:pPr>
      <w:r>
        <w:t xml:space="preserve">Criteria set (i): adjusted R-squared at least 0.80.</w:t>
      </w:r>
    </w:p>
    <w:p>
      <w:pPr>
        <w:numPr>
          <w:ilvl w:val="0"/>
          <w:numId w:val="1012"/>
        </w:numPr>
        <w:pStyle w:val="Compact"/>
      </w:pPr>
      <w:r>
        <w:t xml:space="preserve">Criteria set (ii): set (i) plus a span ratio of at least 2, where span ratio = (last time - first time of the lambda-z window) / half-life.</w:t>
      </w:r>
    </w:p>
    <w:p>
      <w:pPr>
        <w:numPr>
          <w:ilvl w:val="0"/>
          <w:numId w:val="1012"/>
        </w:numPr>
        <w:pStyle w:val="Compact"/>
      </w:pPr>
      <w:r>
        <w:t xml:space="preserve">Criteria set (iii) (version 1.0.1): adjusted R-squared at least 0.90.</w:t>
      </w:r>
    </w:p>
    <w:p>
      <w:pPr>
        <w:numPr>
          <w:ilvl w:val="0"/>
          <w:numId w:val="1012"/>
        </w:numPr>
        <w:pStyle w:val="Compact"/>
      </w:pPr>
      <w:r>
        <w:t xml:space="preserve">Criteria set (iv) (version 1.0.1): set (iii) plus a span ratio of at least 3.</w:t>
      </w:r>
    </w:p>
    <w:p>
      <w:pPr>
        <w:pStyle w:val="FirstParagraph"/>
      </w:pPr>
      <w:r>
        <w:rPr>
          <w:bCs/>
          <w:b/>
        </w:rPr>
        <w:t xml:space="preserve">Handling of subjects failing the criteria</w:t>
      </w:r>
      <w:r>
        <w:t xml:space="preserve"> </w:t>
      </w:r>
      <w:r>
        <w:t xml:space="preserve">when AUC0-inf enters an equivalence test:</w:t>
      </w:r>
    </w:p>
    <w:p>
      <w:pPr>
        <w:numPr>
          <w:ilvl w:val="0"/>
          <w:numId w:val="1013"/>
        </w:numPr>
        <w:pStyle w:val="Compact"/>
      </w:pPr>
      <w:r>
        <w:t xml:space="preserve">rule A excludes them;</w:t>
      </w:r>
    </w:p>
    <w:p>
      <w:pPr>
        <w:numPr>
          <w:ilvl w:val="0"/>
          <w:numId w:val="1013"/>
        </w:numPr>
        <w:pStyle w:val="Compact"/>
      </w:pPr>
      <w:r>
        <w:t xml:space="preserve">rule B includes every subject with an estimable lambda-z;</w:t>
      </w:r>
    </w:p>
    <w:p>
      <w:pPr>
        <w:numPr>
          <w:ilvl w:val="0"/>
          <w:numId w:val="1013"/>
        </w:numPr>
        <w:pStyle w:val="Compact"/>
      </w:pPr>
      <w:r>
        <w:t xml:space="preserve">rule C substitutes AUC0-last for AUC0-inf in them.</w:t>
      </w:r>
    </w:p>
    <w:p>
      <w:pPr>
        <w:pStyle w:val="FirstParagraph"/>
      </w:pPr>
      <w:r>
        <w:t xml:space="preserve">Each of the three rules defines an endpoint that could be pre-specified in a statistical analysis plan.</w:t>
      </w:r>
    </w:p>
    <w:bookmarkEnd w:id="31"/>
    <w:bookmarkStart w:id="32" w:name="statistical-analysis"/>
    <w:p>
      <w:pPr>
        <w:pStyle w:val="Heading2"/>
      </w:pPr>
      <w:r>
        <w:t xml:space="preserve">3.5 Statistical analysis</w:t>
      </w:r>
    </w:p>
    <w:p>
      <w:pPr>
        <w:numPr>
          <w:ilvl w:val="0"/>
          <w:numId w:val="1014"/>
        </w:numPr>
        <w:pStyle w:val="Compact"/>
      </w:pPr>
      <w:r>
        <w:rPr>
          <w:bCs/>
          <w:b/>
        </w:rPr>
        <w:t xml:space="preserve">Primary analysis:</w:t>
      </w:r>
      <w:r>
        <w:t xml:space="preserve"> </w:t>
      </w:r>
      <w:r>
        <w:t xml:space="preserve">log-transformed endpoints are compared with a pooled two-sample t-test (degrees of freedom 232). The 90% CI of the GMR must lie within 80.00% to 125.00%.</w:t>
      </w:r>
    </w:p>
    <w:p>
      <w:pPr>
        <w:numPr>
          <w:ilvl w:val="0"/>
          <w:numId w:val="1014"/>
        </w:numPr>
        <w:pStyle w:val="Compact"/>
      </w:pPr>
      <w:r>
        <w:rPr>
          <w:bCs/>
          <w:b/>
        </w:rPr>
        <w:t xml:space="preserve">Configurations:</w:t>
      </w:r>
      <w:r>
        <w:t xml:space="preserve"> </w:t>
      </w:r>
      <w:r>
        <w:t xml:space="preserve">a configuration passes if every endpoint in it passes.</w:t>
      </w:r>
    </w:p>
    <w:p>
      <w:pPr>
        <w:numPr>
          <w:ilvl w:val="0"/>
          <w:numId w:val="1014"/>
        </w:numPr>
        <w:pStyle w:val="Compact"/>
      </w:pPr>
      <w:r>
        <w:rPr>
          <w:bCs/>
          <w:b/>
        </w:rPr>
        <w:t xml:space="preserve">Analysis models (version 1.0.1, pre-registered):</w:t>
      </w:r>
      <w:r>
        <w:t xml:space="preserve"> </w:t>
      </w:r>
      <w:r>
        <w:t xml:space="preserve">the randomization is stratified 1:1 within two body-weight strata (60 to 75 kg, above 75 to 90 kg). Three analyses of each log-transformed endpoint are compared on the same trials: M0, the pooled two-sample t-test above (the stratum is not in the model); M1, ANOVA with treatment and weight stratum (degrees of freedom n - 3); M2, ANCOVA with treatment and log body weight (n - 3). M1 follows ICH E9 section 5.7 (factors used to stratify the randomization are accounted for in the analysis). Results are in Section 5.9.</w:t>
      </w:r>
    </w:p>
    <w:bookmarkEnd w:id="32"/>
    <w:bookmarkStart w:id="33" w:name="true-values-estimands"/>
    <w:p>
      <w:pPr>
        <w:pStyle w:val="Heading2"/>
      </w:pPr>
      <w:r>
        <w:t xml:space="preserve">3.6 True values (estimands)</w:t>
      </w:r>
    </w:p>
    <w:p>
      <w:pPr>
        <w:pStyle w:val="FirstParagraph"/>
      </w:pPr>
      <w:r>
        <w:t xml:space="preserve">The true value is the ratio of the test to the reference population geometric means, using model-integrated AUC0-inf and Cmax without residual error. It is estimated in 200,000 common virtual subjects who receive the reference and the test parameters in turn.</w:t>
      </w:r>
    </w:p>
    <w:p>
      <w:pPr>
        <w:pStyle w:val="BodyText"/>
      </w:pPr>
      <w:r>
        <w:t xml:space="preserve">A scenario counts as</w:t>
      </w:r>
      <w:r>
        <w:t xml:space="preserve"> </w:t>
      </w:r>
      <w:r>
        <w:t xml:space="preserve">“</w:t>
      </w:r>
      <w:r>
        <w:t xml:space="preserve">inside the limits</w:t>
      </w:r>
      <w:r>
        <w:t xml:space="preserve">”</w:t>
      </w:r>
      <w:r>
        <w:t xml:space="preserve"> </w:t>
      </w:r>
      <w:r>
        <w:t xml:space="preserve">when the true AUC0-inf ratio, not the AUC0-last ratio, lies within 0.80 to 1.25. Judging against total exposure is the conservative choice for the proposed endpoint.</w:t>
      </w:r>
    </w:p>
    <w:p>
      <w:pPr>
        <w:pStyle w:val="BodyText"/>
      </w:pPr>
      <w:r>
        <w:t xml:space="preserve">At the subject level, the model gives the true concentration-time curve without residual error. Two ratios are computed from it: the window coverage (true AUC from dosing to the observed last quantifiable time divided by the true AUC0-inf) and the observed-to-true ratio (observed AUC0-last, or NCA AUC0-inf, divided by the true AUC0-inf). The first depends only on where sampling ends; the second also contains the proportional residual error and the trapezoidal approximation, which enter both arms in the same way.</w:t>
      </w:r>
    </w:p>
    <w:bookmarkEnd w:id="33"/>
    <w:bookmarkStart w:id="34" w:name="operating-characteristics-pre-specified"/>
    <w:p>
      <w:pPr>
        <w:pStyle w:val="Heading2"/>
      </w:pPr>
      <w:r>
        <w:t xml:space="preserve">3.7 Operating characteristics (pre-specified)</w:t>
      </w:r>
    </w:p>
    <w:p>
      <w:pPr>
        <w:pStyle w:val="FirstParagraph"/>
      </w:pPr>
      <w:r>
        <w:t xml:space="preserve">The design below was committed before any result was generated (commit 779e06840e35ada5e3dbdadf6b0554078b7cd2b9). The configuration file has not been changed since.</w:t>
      </w:r>
    </w:p>
    <w:p>
      <w:pPr>
        <w:numPr>
          <w:ilvl w:val="0"/>
          <w:numId w:val="1015"/>
        </w:numPr>
        <w:pStyle w:val="Compact"/>
      </w:pPr>
      <w:r>
        <w:rPr>
          <w:bCs/>
          <w:b/>
        </w:rPr>
        <w:t xml:space="preserve">Mechanisms (test arm only):</w:t>
      </w:r>
      <w:r>
        <w:t xml:space="preserve"> </w:t>
      </w:r>
      <w:r>
        <w:t xml:space="preserve">F, ka, ke, Vmax, Km and the peripheral volume V2, each in both directions. V2 is changed through k21 with the inter-compartmental clearance held constant. The F multiplier is capped so that the test F is at most 1.</w:t>
      </w:r>
    </w:p>
    <w:p>
      <w:pPr>
        <w:numPr>
          <w:ilvl w:val="0"/>
          <w:numId w:val="1015"/>
        </w:numPr>
        <w:pStyle w:val="Compact"/>
      </w:pPr>
      <w:r>
        <w:rPr>
          <w:bCs/>
          <w:b/>
        </w:rPr>
        <w:t xml:space="preserve">Inversion:</w:t>
      </w:r>
      <w:r>
        <w:t xml:space="preserve"> </w:t>
      </w:r>
      <w:r>
        <w:t xml:space="preserve">for each mechanism, direction and target true AUC0-inf ratio (0.70 to 1.43), the multiplier was found by log-scale bisection, first on 20,000 subjects and then confirmed on 200,000 subjects to within plus or minus 0.1%. Targets that cannot be reached within the search range are reported as unreachable, with the true ratio at the end of the range.</w:t>
      </w:r>
    </w:p>
    <w:p>
      <w:pPr>
        <w:numPr>
          <w:ilvl w:val="0"/>
          <w:numId w:val="1015"/>
        </w:numPr>
        <w:pStyle w:val="Compact"/>
      </w:pPr>
      <w:r>
        <w:rPr>
          <w:bCs/>
          <w:b/>
        </w:rPr>
        <w:t xml:space="preserve">Trials:</w:t>
      </w:r>
      <w:r>
        <w:t xml:space="preserve"> </w:t>
      </w:r>
      <w:r>
        <w:t xml:space="preserve">10,000 per boundary scenario (true ratio 0.80 or 1.25) and model, 10,000 for identical products, and 2,000 for the other targets. Each trial has 117 subjects per arm, the planned schedule and the pooled t-test.</w:t>
      </w:r>
    </w:p>
    <w:p>
      <w:pPr>
        <w:numPr>
          <w:ilvl w:val="0"/>
          <w:numId w:val="1015"/>
        </w:numPr>
        <w:pStyle w:val="Compact"/>
      </w:pPr>
      <w:r>
        <w:rPr>
          <w:bCs/>
          <w:b/>
        </w:rPr>
        <w:t xml:space="preserve">Configurations:</w:t>
      </w:r>
      <w:r>
        <w:t xml:space="preserve"> </w:t>
      </w:r>
      <w:r>
        <w:t xml:space="preserve">AUC0-last + Cmax (proposed); AUC0-inf (rule A, criteria (ii)) + Cmax (the guidance default as pre-specified); AUC0-last + AUC0-inf + Cmax under rules A, B and C; AUC0-last alone and AUC0-inf alone (reference).</w:t>
      </w:r>
    </w:p>
    <w:p>
      <w:pPr>
        <w:numPr>
          <w:ilvl w:val="0"/>
          <w:numId w:val="1015"/>
        </w:numPr>
        <w:pStyle w:val="Compact"/>
      </w:pPr>
      <w:r>
        <w:rPr>
          <w:bCs/>
          <w:b/>
        </w:rPr>
        <w:t xml:space="preserve">Primary metric:</w:t>
      </w:r>
      <w:r>
        <w:t xml:space="preserve"> </w:t>
      </w:r>
      <w:r>
        <w:t xml:space="preserve">boundary type I error, with Wilson 95% intervals. A cell is classified as conservative if the upper bound is below 5%, as exceeding if the lower bound is above 5%, and as nominal otherwise.</w:t>
      </w:r>
    </w:p>
    <w:p>
      <w:pPr>
        <w:numPr>
          <w:ilvl w:val="0"/>
          <w:numId w:val="1015"/>
        </w:numPr>
        <w:pStyle w:val="Compact"/>
      </w:pPr>
      <w:r>
        <w:rPr>
          <w:bCs/>
          <w:b/>
        </w:rPr>
        <w:t xml:space="preserve">Post hoc additions</w:t>
      </w:r>
      <w:r>
        <w:t xml:space="preserve"> </w:t>
      </w:r>
      <w:r>
        <w:t xml:space="preserve">(after the design was fixed, before results were reported; Appendix D):</w:t>
      </w:r>
    </w:p>
    <w:p>
      <w:pPr>
        <w:numPr>
          <w:ilvl w:val="1"/>
          <w:numId w:val="1016"/>
        </w:numPr>
        <w:pStyle w:val="Compact"/>
      </w:pPr>
      <w:r>
        <w:t xml:space="preserve">AUC0-inf + Cmax under rules B and C and under criteria set (i), obtained by regenerating the same trials with the same seeds;</w:t>
      </w:r>
    </w:p>
    <w:p>
      <w:pPr>
        <w:numPr>
          <w:ilvl w:val="1"/>
          <w:numId w:val="1016"/>
        </w:numPr>
        <w:pStyle w:val="Compact"/>
      </w:pPr>
      <w:r>
        <w:t xml:space="preserve">the extension to 20,000 trials of a boundary scenario whose AUC0-last + Cmax Wilson interval included 5% at the pre-specified 10,000 trials. Both values are reported.</w:t>
      </w:r>
    </w:p>
    <w:bookmarkEnd w:id="34"/>
    <w:bookmarkStart w:id="35" w:name="random-product-space-secondary-metric"/>
    <w:p>
      <w:pPr>
        <w:pStyle w:val="Heading2"/>
      </w:pPr>
      <w:r>
        <w:t xml:space="preserve">3.8 Random product space (secondary metric)</w:t>
      </w:r>
    </w:p>
    <w:p>
      <w:pPr>
        <w:pStyle w:val="FirstParagraph"/>
      </w:pPr>
      <w:r>
        <w:t xml:space="preserve">20,000 virtual products per model were drawn by Latin hypercube sampling of log-uniform multipliers (F 0.80 to 1.25, ka 0.67 to 1.50, ke 0.80 to 1.25, Vmax 0.67 to 1.50, Km 0.20 to 5, V2 0.90 to 1.11). One trial was simulated per product, and consumer and producer risks were estimated. These risks depend on the assumed product distribution and are therefore a secondary metric.</w:t>
      </w:r>
    </w:p>
    <w:bookmarkEnd w:id="35"/>
    <w:bookmarkStart w:id="36" w:name="Xf80a2e015e87c6f018ad390ec344c4be8e7d8bd"/>
    <w:p>
      <w:pPr>
        <w:pStyle w:val="Heading2"/>
      </w:pPr>
      <w:r>
        <w:t xml:space="preserve">3.9 Sampling schedule evaluation (decision rule set before any result was reported)</w:t>
      </w:r>
    </w:p>
    <w:p>
      <w:pPr>
        <w:pStyle w:val="FirstParagraph"/>
      </w:pPr>
      <w:r>
        <w:t xml:space="preserve">The rule was written after the first schedule simulations had run and before any result was reported (Appendix D); it is therefore not described as pre-specified.</w:t>
      </w:r>
    </w:p>
    <w:p>
      <w:pPr>
        <w:pStyle w:val="BodyText"/>
      </w:pPr>
      <w:r>
        <w:t xml:space="preserve">Candidate schedules add two to four samples between Day 32 and Day 53, or remove Day 50:</w:t>
      </w:r>
    </w:p>
    <w:p>
      <w:pPr>
        <w:numPr>
          <w:ilvl w:val="0"/>
          <w:numId w:val="1017"/>
        </w:numPr>
        <w:pStyle w:val="Compact"/>
      </w:pPr>
      <w:r>
        <w:t xml:space="preserve">D1 adds Days 39 and 46;</w:t>
      </w:r>
    </w:p>
    <w:p>
      <w:pPr>
        <w:numPr>
          <w:ilvl w:val="0"/>
          <w:numId w:val="1017"/>
        </w:numPr>
        <w:pStyle w:val="Compact"/>
      </w:pPr>
      <w:r>
        <w:t xml:space="preserve">D2 adds Days 39, 46 and 53;</w:t>
      </w:r>
    </w:p>
    <w:p>
      <w:pPr>
        <w:numPr>
          <w:ilvl w:val="0"/>
          <w:numId w:val="1017"/>
        </w:numPr>
        <w:pStyle w:val="Compact"/>
      </w:pPr>
      <w:r>
        <w:t xml:space="preserve">D3 adds Days 32, 39, 46 and 53;</w:t>
      </w:r>
    </w:p>
    <w:p>
      <w:pPr>
        <w:numPr>
          <w:ilvl w:val="0"/>
          <w:numId w:val="1017"/>
        </w:numPr>
        <w:pStyle w:val="Compact"/>
      </w:pPr>
      <w:r>
        <w:t xml:space="preserve">D4 adds Days 40 and 47;</w:t>
      </w:r>
    </w:p>
    <w:p>
      <w:pPr>
        <w:numPr>
          <w:ilvl w:val="0"/>
          <w:numId w:val="1017"/>
        </w:numPr>
        <w:pStyle w:val="Compact"/>
      </w:pPr>
      <w:r>
        <w:t xml:space="preserve">B-minus removes Day 50.</w:t>
      </w:r>
    </w:p>
    <w:p>
      <w:pPr>
        <w:pStyle w:val="FirstParagraph"/>
      </w:pPr>
      <w:r>
        <w:t xml:space="preserve">Additional samples are recommended over the planned schedule only if at least one of the following holds:</w:t>
      </w:r>
    </w:p>
    <w:p>
      <w:pPr>
        <w:numPr>
          <w:ilvl w:val="0"/>
          <w:numId w:val="1018"/>
        </w:numPr>
        <w:pStyle w:val="Compact"/>
      </w:pPr>
      <w:r>
        <w:t xml:space="preserve">criterion (a): the mean width of the AUC0-last 90% CI decreases by at least 2%;</w:t>
      </w:r>
    </w:p>
    <w:p>
      <w:pPr>
        <w:numPr>
          <w:ilvl w:val="0"/>
          <w:numId w:val="1018"/>
        </w:numPr>
        <w:pStyle w:val="Compact"/>
      </w:pPr>
      <w:r>
        <w:t xml:space="preserve">criterion (b): the AUC0-last pass rate at ke x1.10 increases by at least 2 percentage points;</w:t>
      </w:r>
    </w:p>
    <w:p>
      <w:pPr>
        <w:numPr>
          <w:ilvl w:val="0"/>
          <w:numId w:val="1018"/>
        </w:numPr>
        <w:pStyle w:val="Compact"/>
      </w:pPr>
      <w:r>
        <w:t xml:space="preserve">criterion (c): the AUC0-inf reliability rate increases by at least 5 percentage points;</w:t>
      </w:r>
    </w:p>
    <w:p>
      <w:pPr>
        <w:numPr>
          <w:ilvl w:val="0"/>
          <w:numId w:val="1018"/>
        </w:numPr>
        <w:pStyle w:val="Compact"/>
      </w:pPr>
      <w:r>
        <w:t xml:space="preserve">criterion (d): the share of subjects with NCA extrapolation above 20% falls to at most 50% of the planned schedule’s share.</w:t>
      </w:r>
    </w:p>
    <w:p>
      <w:pPr>
        <w:pStyle w:val="FirstParagraph"/>
      </w:pPr>
      <w:r>
        <w:t xml:space="preserve">The data are 20,000 virtual subjects and 500 trials per model and variant, with 200,000 subjects for criterion (d) where the rule was met at 20,000.</w:t>
      </w:r>
    </w:p>
    <w:bookmarkEnd w:id="36"/>
    <w:bookmarkStart w:id="37" w:name="terminal-cliff-analysis"/>
    <w:p>
      <w:pPr>
        <w:pStyle w:val="Heading2"/>
      </w:pPr>
      <w:r>
        <w:t xml:space="preserve">3.10 Terminal cliff analysis</w:t>
      </w:r>
    </w:p>
    <w:p>
      <w:pPr>
        <w:pStyle w:val="FirstParagraph"/>
      </w:pPr>
      <w:r>
        <w:t xml:space="preserve">The instantaneous half-life after tmax is ln 2 / (-d ln C / dt), computed exactly from the model states. The cliff is the interval from the first time it falls below 1 day (2 days in a sensitivity definition) until the true concentration reaches the LLOQ. The analysis used 20,000 subjects per model and body-weight band, with nominal and windowed sampling times.</w:t>
      </w:r>
    </w:p>
    <w:bookmarkEnd w:id="37"/>
    <w:bookmarkStart w:id="38" w:name="monte-carlo-precision-seeds-and-software"/>
    <w:p>
      <w:pPr>
        <w:pStyle w:val="Heading2"/>
      </w:pPr>
      <w:r>
        <w:t xml:space="preserve">3.11 Monte Carlo precision, seeds and software</w:t>
      </w:r>
    </w:p>
    <w:p>
      <w:pPr>
        <w:numPr>
          <w:ilvl w:val="0"/>
          <w:numId w:val="1019"/>
        </w:numPr>
        <w:pStyle w:val="Compact"/>
      </w:pPr>
      <w:r>
        <w:rPr>
          <w:bCs/>
          <w:b/>
        </w:rPr>
        <w:t xml:space="preserve">Intervals:</w:t>
      </w:r>
      <w:r>
        <w:t xml:space="preserve"> </w:t>
      </w:r>
      <w:r>
        <w:t xml:space="preserve">proportions carry Wilson 95% intervals; mean GMRs carry Monte Carlo standard error intervals; comparisons carry paired intervals within the same virtual trials or subjects.</w:t>
      </w:r>
    </w:p>
    <w:p>
      <w:pPr>
        <w:numPr>
          <w:ilvl w:val="0"/>
          <w:numId w:val="1019"/>
        </w:numPr>
        <w:pStyle w:val="Compact"/>
      </w:pPr>
      <w:r>
        <w:rPr>
          <w:bCs/>
          <w:b/>
        </w:rPr>
        <w:t xml:space="preserve">Seeds:</w:t>
      </w:r>
      <w:r>
        <w:t xml:space="preserve"> </w:t>
      </w:r>
      <w:r>
        <w:t xml:space="preserve">every run derives its seeds deterministically from a master seed (20260923 for the trials) and records them in its log.</w:t>
      </w:r>
    </w:p>
    <w:p>
      <w:pPr>
        <w:numPr>
          <w:ilvl w:val="0"/>
          <w:numId w:val="1019"/>
        </w:numPr>
        <w:pStyle w:val="Compact"/>
      </w:pPr>
      <w:r>
        <w:rPr>
          <w:bCs/>
          <w:b/>
        </w:rPr>
        <w:t xml:space="preserve">Software:</w:t>
      </w:r>
      <w:r>
        <w:t xml:space="preserve"> </w:t>
      </w:r>
      <w:r>
        <w:t xml:space="preserve">R 4.3.3 and rxode2 5.1.7, with the package versions locked in renv.lock (Appendix E).</w:t>
      </w:r>
    </w:p>
    <w:bookmarkEnd w:id="38"/>
    <w:bookmarkStart w:id="39" w:name="X3f0b3253022deb7216b19ba2a4b1b13d88bb782"/>
    <w:p>
      <w:pPr>
        <w:pStyle w:val="Heading2"/>
      </w:pPr>
      <w:r>
        <w:t xml:space="preserve">3.12 Analyses added in version 1.0.1 (pre-registered)</w:t>
      </w:r>
    </w:p>
    <w:p>
      <w:pPr>
        <w:pStyle w:val="FirstParagraph"/>
      </w:pPr>
      <w:r>
        <w:t xml:space="preserve">The following analyses were registered in</w:t>
      </w:r>
      <w:r>
        <w:t xml:space="preserve"> </w:t>
      </w:r>
      <w:r>
        <w:rPr>
          <w:rStyle w:val="VerbatimChar"/>
        </w:rPr>
        <w:t xml:space="preserve">config/prereg_20260926.yaml</w:t>
      </w:r>
      <w:r>
        <w:t xml:space="preserve"> </w:t>
      </w:r>
      <w:r>
        <w:t xml:space="preserve">and committed before any of their results were generated (Appendix D):</w:t>
      </w:r>
    </w:p>
    <w:p>
      <w:pPr>
        <w:numPr>
          <w:ilvl w:val="0"/>
          <w:numId w:val="1020"/>
        </w:numPr>
        <w:pStyle w:val="Compact"/>
      </w:pPr>
      <w:r>
        <w:rPr>
          <w:bCs/>
          <w:b/>
        </w:rPr>
        <w:t xml:space="preserve">Analysis model (Section 5.9).</w:t>
      </w:r>
      <w:r>
        <w:t xml:space="preserve"> </w:t>
      </w:r>
      <w:r>
        <w:t xml:space="preserve">The trials of the 16 boundary scenarios, identical products (S00) and a test product with bioavailability x0.97 (F097) were regenerated at subject level with the seeds of the operating-characteristic runs, 10,000 per scenario and model, and analysed with M0, M1 and M2. The regenerated M0 results equal the stored results in 1,553,000 trial-scenario-endpoint rows. The rule for extending a boundary scenario to 20,000 trials (Section 3.7) was applied to M0 and to M1.</w:t>
      </w:r>
    </w:p>
    <w:p>
      <w:pPr>
        <w:numPr>
          <w:ilvl w:val="0"/>
          <w:numId w:val="1020"/>
        </w:numPr>
        <w:pStyle w:val="Compact"/>
      </w:pPr>
      <w:r>
        <w:rPr>
          <w:bCs/>
          <w:b/>
        </w:rPr>
        <w:t xml:space="preserve">LLOQ (Section 5.10).</w:t>
      </w:r>
      <w:r>
        <w:t xml:space="preserve"> </w:t>
      </w:r>
      <w:r>
        <w:t xml:space="preserve">The study LLOQ is set in a single configuration file (</w:t>
      </w:r>
      <w:r>
        <w:rPr>
          <w:rStyle w:val="VerbatimChar"/>
        </w:rPr>
        <w:t xml:space="preserve">config/assay.yaml</w:t>
      </w:r>
      <w:r>
        <w:t xml:space="preserve">). The same subjects, sampling times and residual draws were re-censored at LLOQs of 0.02, 0.05, 0.078, 0.1, 0.2 and 0.5 mg/L, with the residual error as estimated (primary) and with the additive residual scaled by the LLOQ (secondary). At 0.078 mg/L every result equals the stored result.</w:t>
      </w:r>
    </w:p>
    <w:p>
      <w:pPr>
        <w:numPr>
          <w:ilvl w:val="0"/>
          <w:numId w:val="1020"/>
        </w:numPr>
        <w:pStyle w:val="Compact"/>
      </w:pPr>
      <w:r>
        <w:rPr>
          <w:bCs/>
          <w:b/>
        </w:rPr>
        <w:t xml:space="preserve">Sample size (Section 5.11).</w:t>
      </w:r>
      <w:r>
        <w:t xml:space="preserve"> </w:t>
      </w:r>
      <w:r>
        <w:t xml:space="preserve">P2 power over a grid of AUC0-last coefficient of variation (CV), true GMR and evaluable subjects per arm, by an analytic approximation and by simulation, for M0 and M1, checked against PK-model trials.</w:t>
      </w:r>
    </w:p>
    <w:bookmarkEnd w:id="39"/>
    <w:bookmarkStart w:id="40" w:name="X0c0e1cab7c2386448cba2f6b8bf4c3e2bbc1bfc"/>
    <w:p>
      <w:pPr>
        <w:pStyle w:val="Heading2"/>
      </w:pPr>
      <w:r>
        <w:t xml:space="preserve">3.13 Analyses added in version 1.0.1: criteria convention and trial-population analyses (pre-registered)</w:t>
      </w:r>
    </w:p>
    <w:p>
      <w:pPr>
        <w:pStyle w:val="FirstParagraph"/>
      </w:pPr>
      <w:r>
        <w:t xml:space="preserve">The following analyses were registered in</w:t>
      </w:r>
      <w:r>
        <w:t xml:space="preserve"> </w:t>
      </w:r>
      <w:r>
        <w:rPr>
          <w:rStyle w:val="VerbatimChar"/>
        </w:rPr>
        <w:t xml:space="preserve">config/prereg_20260926.yaml</w:t>
      </w:r>
      <w:r>
        <w:t xml:space="preserve"> </w:t>
      </w:r>
      <w:r>
        <w:t xml:space="preserve">(sections 4 to 6) and committed before any of their results were generated (Appendix D):</w:t>
      </w:r>
    </w:p>
    <w:p>
      <w:pPr>
        <w:numPr>
          <w:ilvl w:val="0"/>
          <w:numId w:val="1021"/>
        </w:numPr>
        <w:pStyle w:val="Compact"/>
      </w:pPr>
      <w:r>
        <w:rPr>
          <w:bCs/>
          <w:b/>
        </w:rPr>
        <w:t xml:space="preserve">Criteria convention (Sections 5.3 and 5.4).</w:t>
      </w:r>
      <w:r>
        <w:t xml:space="preserve"> </w:t>
      </w:r>
      <w:r>
        <w:t xml:space="preserve">Criteria sets (iii) and (iv) were added (Section 3.4). The individual-level failure shares of the study population come from the stored subject-level NCA of 20,000 subjects per model; no new simulation was needed. AUC0-inf + Cmax under rules A and C for each set, and under rule B, was computed on the trials regenerated for Section 3.12 and analysed with M0 and M1. To add these endpoints, the regeneration was restarted from trial 1; the rows of the trials completed before the restart (5,000 (2016 model) and 3,500 (2020 Model 1)) are identical after it (2,040,000 rows).</w:t>
      </w:r>
    </w:p>
    <w:p>
      <w:pPr>
        <w:numPr>
          <w:ilvl w:val="0"/>
          <w:numId w:val="1021"/>
        </w:numPr>
        <w:pStyle w:val="Compact"/>
      </w:pPr>
      <w:r>
        <w:rPr>
          <w:bCs/>
          <w:b/>
        </w:rPr>
        <w:t xml:space="preserve">Trial-population analyses (Sections 5.2 and 5.3; registered in section 6 before any of their results).</w:t>
      </w:r>
      <w:r>
        <w:t xml:space="preserve"> </w:t>
      </w:r>
      <w:r>
        <w:t xml:space="preserve">In the trial population, criteria-set failure with Wilson intervals and reasons, retained subjects per arm in the operating-characteristic trials of identical products, failure by randomization stratum, failing-subject characteristics, and the window coverage and observed-to-true ratios use the stored subject-level NCA (20,000 subjects per model) and the regenerated trials of Section 3.12. The arm-by-stratum composition of the analysis sets and the difference between arms in the share failing were computed by regenerating trials 1 to 2,000 with the same seeds for identical products, bioavailability x0.97, linear elimination x1.10 and x1.20, Vmax x1.25 and the 16 boundary scenarios; the per-arm counts equal those of the operating-characteristic trials in every regenerated trial (264,000 rows). True AUC0-inf ratios of the added scenarios were computed as in Section 3.6.</w:t>
      </w:r>
    </w:p>
    <w:p>
      <w:pPr>
        <w:numPr>
          <w:ilvl w:val="0"/>
          <w:numId w:val="1021"/>
        </w:numPr>
        <w:pStyle w:val="Compact"/>
      </w:pPr>
      <w:r>
        <w:rPr>
          <w:bCs/>
          <w:b/>
        </w:rPr>
        <w:t xml:space="preserve">Body weight outside the trial population.</w:t>
      </w:r>
      <w:r>
        <w:t xml:space="preserve"> </w:t>
      </w:r>
      <w:r>
        <w:t xml:space="preserve">Uniform weight bands, a population with a mean of 100 kg and an adult atopic dermatitis body-weight distribution are robustness checks (Appendix I), not evidence for the proposal.</w:t>
      </w:r>
    </w:p>
    <w:bookmarkEnd w:id="40"/>
    <w:bookmarkEnd w:id="41"/>
    <w:bookmarkStart w:id="46" w:name="model-credibility"/>
    <w:p>
      <w:pPr>
        <w:pStyle w:val="Heading1"/>
      </w:pPr>
      <w:r>
        <w:t xml:space="preserve">4. Model credibility</w:t>
      </w:r>
    </w:p>
    <w:bookmarkStart w:id="42" w:name="verification"/>
    <w:p>
      <w:pPr>
        <w:pStyle w:val="Heading2"/>
      </w:pPr>
      <w:r>
        <w:t xml:space="preserve">4.1 Verification</w:t>
      </w:r>
    </w:p>
    <w:p>
      <w:pPr>
        <w:numPr>
          <w:ilvl w:val="0"/>
          <w:numId w:val="1022"/>
        </w:numPr>
        <w:pStyle w:val="Compact"/>
      </w:pPr>
      <w:r>
        <w:rPr>
          <w:bCs/>
          <w:b/>
        </w:rPr>
        <w:t xml:space="preserve">Model code:</w:t>
      </w:r>
      <w:r>
        <w:t xml:space="preserve"> </w:t>
      </w:r>
      <w:r>
        <w:t xml:space="preserve">automated tests (87 tests, 0 failures in the clean-environment run) confirm the following:</w:t>
      </w:r>
    </w:p>
    <w:p>
      <w:pPr>
        <w:numPr>
          <w:ilvl w:val="1"/>
          <w:numId w:val="1023"/>
        </w:numPr>
        <w:pStyle w:val="Compact"/>
      </w:pPr>
      <w:r>
        <w:t xml:space="preserve">agreement with the analytical solution of the linear two-compartment model;</w:t>
      </w:r>
    </w:p>
    <w:p>
      <w:pPr>
        <w:numPr>
          <w:ilvl w:val="1"/>
          <w:numId w:val="1023"/>
        </w:numPr>
        <w:pStyle w:val="Compact"/>
      </w:pPr>
      <w:r>
        <w:t xml:space="preserve">mass balance;</w:t>
      </w:r>
    </w:p>
    <w:p>
      <w:pPr>
        <w:numPr>
          <w:ilvl w:val="1"/>
          <w:numId w:val="1023"/>
        </w:numPr>
        <w:pStyle w:val="Compact"/>
      </w:pPr>
      <w:r>
        <w:t xml:space="preserve">the zero-order limit of the Michaelis-Menten term;</w:t>
      </w:r>
    </w:p>
    <w:p>
      <w:pPr>
        <w:numPr>
          <w:ilvl w:val="1"/>
          <w:numId w:val="1023"/>
        </w:numPr>
        <w:pStyle w:val="Compact"/>
      </w:pPr>
      <w:r>
        <w:t xml:space="preserve">the transit-compartment mean transit time;</w:t>
      </w:r>
    </w:p>
    <w:p>
      <w:pPr>
        <w:numPr>
          <w:ilvl w:val="1"/>
          <w:numId w:val="1023"/>
        </w:numPr>
        <w:pStyle w:val="Compact"/>
      </w:pPr>
      <w:r>
        <w:t xml:space="preserve">the propagation of scenario multipliers to the test arm only;</w:t>
      </w:r>
    </w:p>
    <w:p>
      <w:pPr>
        <w:numPr>
          <w:ilvl w:val="1"/>
          <w:numId w:val="1023"/>
        </w:numPr>
        <w:pStyle w:val="Compact"/>
      </w:pPr>
      <w:r>
        <w:t xml:space="preserve">the NCA rules on hand-calculated examples;</w:t>
      </w:r>
    </w:p>
    <w:p>
      <w:pPr>
        <w:numPr>
          <w:ilvl w:val="1"/>
          <w:numId w:val="1023"/>
        </w:numPr>
        <w:pStyle w:val="Compact"/>
      </w:pPr>
      <w:r>
        <w:t xml:space="preserve">the pooled t-test and ANCOVA against base R (t.test, lm and confint).</w:t>
      </w:r>
    </w:p>
    <w:p>
      <w:pPr>
        <w:numPr>
          <w:ilvl w:val="0"/>
          <w:numId w:val="1022"/>
        </w:numPr>
        <w:pStyle w:val="Compact"/>
      </w:pPr>
      <w:r>
        <w:rPr>
          <w:bCs/>
          <w:b/>
        </w:rPr>
        <w:t xml:space="preserve">NCA engine:</w:t>
      </w:r>
      <w:r>
        <w:t xml:space="preserve"> </w:t>
      </w:r>
      <w:r>
        <w:t xml:space="preserve">compared with NonCompart 0.8.4 and PKNCA 0.12.1 on the Theoph (12 profiles) and Indometh (6 profiles) data sets and on 1,000 simulated dupilumab profiles. The lambda-z windows were identical in 3,054 of 3,054 comparisons, and the largest relative difference in any parameter was 4.9e-13 (criterion 1e-6).</w:t>
      </w:r>
    </w:p>
    <w:p>
      <w:pPr>
        <w:numPr>
          <w:ilvl w:val="0"/>
          <w:numId w:val="1022"/>
        </w:numPr>
        <w:pStyle w:val="Compact"/>
      </w:pPr>
      <w:r>
        <w:rPr>
          <w:bCs/>
          <w:b/>
        </w:rPr>
        <w:t xml:space="preserve">Independent re-implementation:</w:t>
      </w:r>
      <w:r>
        <w:t xml:space="preserve"> </w:t>
      </w:r>
      <w:r>
        <w:t xml:space="preserve">a reviewer re-implemented the simulation (Python, adaptive Runge-Kutta, without sampling-time deviations).</w:t>
      </w:r>
    </w:p>
    <w:p>
      <w:pPr>
        <w:numPr>
          <w:ilvl w:val="1"/>
          <w:numId w:val="1024"/>
        </w:numPr>
        <w:pStyle w:val="Compact"/>
      </w:pPr>
      <w:r>
        <w:t xml:space="preserve">Model 1: 16 of 19 metrics agreed within 3%. The rest are small percentages that differ by fractions of a percentage point.</w:t>
      </w:r>
    </w:p>
    <w:p>
      <w:pPr>
        <w:numPr>
          <w:ilvl w:val="1"/>
          <w:numId w:val="1024"/>
        </w:numPr>
        <w:pStyle w:val="Compact"/>
      </w:pPr>
      <w:r>
        <w:t xml:space="preserve">Curve-shape and body-weight metrics: 46 of 51 non-rare metrics agreed within 10%.</w:t>
      </w:r>
    </w:p>
    <w:p>
      <w:pPr>
        <w:numPr>
          <w:ilvl w:val="0"/>
          <w:numId w:val="1022"/>
        </w:numPr>
        <w:pStyle w:val="Compact"/>
      </w:pPr>
      <w:r>
        <w:rPr>
          <w:bCs/>
          <w:b/>
        </w:rPr>
        <w:t xml:space="preserve">Reproducibility:</w:t>
      </w:r>
      <w:r>
        <w:t xml:space="preserve"> </w:t>
      </w:r>
      <w:r>
        <w:t xml:space="preserve">the reproducibility check (pre-specified tolerances) was repeated on a clean GitHub-hosted runner with a fresh restore of the locked package versions.</w:t>
      </w:r>
    </w:p>
    <w:p>
      <w:pPr>
        <w:numPr>
          <w:ilvl w:val="1"/>
          <w:numId w:val="1025"/>
        </w:numPr>
        <w:pStyle w:val="Compact"/>
      </w:pPr>
      <w:r>
        <w:t xml:space="preserve">It regenerates committed trials exactly, recomputes a true ratio on a subset of the common subjects, and recomputes an individual-level extrapolation median.</w:t>
      </w:r>
    </w:p>
    <w:p>
      <w:pPr>
        <w:numPr>
          <w:ilvl w:val="1"/>
          <w:numId w:val="1025"/>
        </w:numPr>
        <w:pStyle w:val="Compact"/>
      </w:pPr>
      <w:r>
        <w:t xml:space="preserve">Run 1 at commit 52f525b passed 7 of 7 items, and all reproduced values were identical to the local run to 8 significant digits (Appendix E).</w:t>
      </w:r>
    </w:p>
    <w:bookmarkEnd w:id="42"/>
    <w:bookmarkStart w:id="43" w:name="X799d2012c7e4f9238df0ee672cf53baa7816cf0"/>
    <w:p>
      <w:pPr>
        <w:pStyle w:val="Heading2"/>
      </w:pPr>
      <w:r>
        <w:t xml:space="preserve">4.2 External validation for the study presentation</w:t>
      </w:r>
    </w:p>
    <w:p>
      <w:pPr>
        <w:pStyle w:val="FirstParagraph"/>
      </w:pPr>
      <w:r>
        <w:t xml:space="preserve">The acceptance criteria were fixed before the comparison:</w:t>
      </w:r>
    </w:p>
    <w:p>
      <w:pPr>
        <w:numPr>
          <w:ilvl w:val="0"/>
          <w:numId w:val="1026"/>
        </w:numPr>
        <w:pStyle w:val="Compact"/>
      </w:pPr>
      <w:r>
        <w:t xml:space="preserve">the simulated mean AUC0-last is within plus or minus 15% of the observed mean;</w:t>
      </w:r>
    </w:p>
    <w:p>
      <w:pPr>
        <w:numPr>
          <w:ilvl w:val="0"/>
          <w:numId w:val="1026"/>
        </w:numPr>
        <w:pStyle w:val="Compact"/>
      </w:pPr>
      <w:r>
        <w:t xml:space="preserve">the simulated log-scale coefficient of variation is 35% to 51%;</w:t>
      </w:r>
    </w:p>
    <w:p>
      <w:pPr>
        <w:numPr>
          <w:ilvl w:val="0"/>
          <w:numId w:val="1026"/>
        </w:numPr>
        <w:pStyle w:val="Compact"/>
      </w:pPr>
      <w:r>
        <w:t xml:space="preserve">the observed median last quantifiable time lies within the 5th to 95th percentile of simulated cohort medians;</w:t>
      </w:r>
    </w:p>
    <w:p>
      <w:pPr>
        <w:numPr>
          <w:ilvl w:val="0"/>
          <w:numId w:val="1026"/>
        </w:numPr>
        <w:pStyle w:val="Compact"/>
      </w:pPr>
      <w:r>
        <w:t xml:space="preserve">the weight effect has the observed sign and magnitude.</w:t>
      </w:r>
    </w:p>
    <w:p>
      <w:pPr>
        <w:pStyle w:val="FirstParagraph"/>
      </w:pPr>
      <w:r>
        <w:t xml:space="preserve">Model parameters were not adjusted. The scope of the validation was restricted to the study presentation (300 mg as 2 mL of 150 mg/mL, and 600 mg as two 300 mg injections). The restriction was decided after the first comparison showed that both 200 mg data sets of the 1.14 mL (175 mg/mL) presentation fell outside plus or minus 15% (Appendix D). That presentation is absorbed faster: the observed median tmax is 3.0 to 3.1 days, against 7.0 days at 300 mg.</w:t>
      </w:r>
    </w:p>
    <w:p>
      <w:pPr>
        <w:pStyle w:val="TableCaption"/>
      </w:pPr>
      <w:r>
        <w:t xml:space="preserve">Table 4-1. Simulated versus observed exposure (simulated cohorts matched on dose, body weight and sampling schedule of each data set).</w:t>
      </w:r>
    </w:p>
    <w:tbl>
      <w:tblPr>
        <w:tblStyle w:val="Table"/>
        <w:tblW w:type="pct" w:w="5000"/>
        <w:tblLook w:firstRow="1" w:lastRow="0" w:firstColumn="0" w:lastColumn="0" w:noHBand="0" w:noVBand="0" w:val="0020"/>
        <w:jc w:val="start"/>
        <w:tblCaption w:val="Table 4-1. Simulated versus observed exposure (simulated cohorts matched on dose, body weight and sampling schedule of each data set)."/>
      </w:tblPr>
      <w:tblGrid>
        <w:gridCol w:w="1617"/>
        <w:gridCol w:w="1213"/>
        <w:gridCol w:w="438"/>
        <w:gridCol w:w="572"/>
        <w:gridCol w:w="1179"/>
        <w:gridCol w:w="808"/>
        <w:gridCol w:w="808"/>
        <w:gridCol w:w="640"/>
        <w:gridCol w:w="640"/>
      </w:tblGrid>
      <w:tr>
        <w:trPr>
          <w:tblHeader w:val="true"/>
        </w:trPr>
        <w:tc>
          <w:tcPr/>
          <w:p>
            <w:pPr>
              <w:pStyle w:val="Compact"/>
              <w:jc w:val="left"/>
            </w:pPr>
            <w:r>
              <w:t xml:space="preserve">Data set</w:t>
            </w:r>
          </w:p>
        </w:tc>
        <w:tc>
          <w:tcPr/>
          <w:p>
            <w:pPr>
              <w:pStyle w:val="Compact"/>
              <w:jc w:val="left"/>
            </w:pPr>
            <w:r>
              <w:t xml:space="preserve">Role</w:t>
            </w:r>
          </w:p>
        </w:tc>
        <w:tc>
          <w:tcPr/>
          <w:p>
            <w:pPr>
              <w:pStyle w:val="Compact"/>
              <w:jc w:val="right"/>
            </w:pPr>
            <w:r>
              <w:t xml:space="preserve">n</w:t>
            </w:r>
          </w:p>
        </w:tc>
        <w:tc>
          <w:tcPr/>
          <w:p>
            <w:pPr>
              <w:pStyle w:val="Compact"/>
              <w:jc w:val="right"/>
            </w:pPr>
            <w:r>
              <w:t xml:space="preserve">Mean weight (kg)</w:t>
            </w:r>
          </w:p>
        </w:tc>
        <w:tc>
          <w:tcPr/>
          <w:p>
            <w:pPr>
              <w:pStyle w:val="Compact"/>
              <w:jc w:val="right"/>
            </w:pPr>
            <w:r>
              <w:t xml:space="preserve">Observed AUC0-last mean (mg*day/L)</w:t>
            </w:r>
          </w:p>
        </w:tc>
        <w:tc>
          <w:tcPr/>
          <w:p>
            <w:pPr>
              <w:pStyle w:val="Compact"/>
              <w:jc w:val="right"/>
            </w:pPr>
            <w:r>
              <w:t xml:space="preserve">AUC0-last sim/obs, 2016</w:t>
            </w:r>
          </w:p>
        </w:tc>
        <w:tc>
          <w:tcPr/>
          <w:p>
            <w:pPr>
              <w:pStyle w:val="Compact"/>
              <w:jc w:val="right"/>
            </w:pPr>
            <w:r>
              <w:t xml:space="preserve">AUC0-last sim/obs, 2020</w:t>
            </w:r>
          </w:p>
        </w:tc>
        <w:tc>
          <w:tcPr/>
          <w:p>
            <w:pPr>
              <w:pStyle w:val="Compact"/>
              <w:jc w:val="right"/>
            </w:pPr>
            <w:r>
              <w:t xml:space="preserve">Cmax sim/obs, 2016</w:t>
            </w:r>
          </w:p>
        </w:tc>
        <w:tc>
          <w:tcPr/>
          <w:p>
            <w:pPr>
              <w:pStyle w:val="Compact"/>
              <w:jc w:val="right"/>
            </w:pPr>
            <w:r>
              <w:t xml:space="preserve">Cmax sim/obs, 2020</w:t>
            </w:r>
          </w:p>
        </w:tc>
      </w:tr>
      <w:tr>
        <w:tc>
          <w:tcPr/>
          <w:p>
            <w:pPr>
              <w:pStyle w:val="Compact"/>
              <w:jc w:val="left"/>
            </w:pPr>
            <w:r>
              <w:t xml:space="preserve">300 mg non-Asian, pooled (Clot 2021 Table 5)</w:t>
            </w:r>
          </w:p>
        </w:tc>
        <w:tc>
          <w:tcPr/>
          <w:p>
            <w:pPr>
              <w:pStyle w:val="Compact"/>
              <w:jc w:val="left"/>
            </w:pPr>
            <w:r>
              <w:t xml:space="preserve">validation (study presentation)</w:t>
            </w:r>
          </w:p>
        </w:tc>
        <w:tc>
          <w:tcPr/>
          <w:p>
            <w:pPr>
              <w:pStyle w:val="Compact"/>
              <w:jc w:val="right"/>
            </w:pPr>
            <w:r>
              <w:t xml:space="preserve">40</w:t>
            </w:r>
          </w:p>
        </w:tc>
        <w:tc>
          <w:tcPr/>
          <w:p>
            <w:pPr>
              <w:pStyle w:val="Compact"/>
              <w:jc w:val="right"/>
            </w:pPr>
            <w:r>
              <w:t xml:space="preserve">78</w:t>
            </w:r>
          </w:p>
        </w:tc>
        <w:tc>
          <w:tcPr/>
          <w:p>
            <w:pPr>
              <w:pStyle w:val="Compact"/>
              <w:jc w:val="right"/>
            </w:pPr>
            <w:r>
              <w:t xml:space="preserve">544</w:t>
            </w:r>
          </w:p>
        </w:tc>
        <w:tc>
          <w:tcPr/>
          <w:p>
            <w:pPr>
              <w:pStyle w:val="Compact"/>
              <w:jc w:val="right"/>
            </w:pPr>
            <w:r>
              <w:t xml:space="preserve">1.04</w:t>
            </w:r>
          </w:p>
        </w:tc>
        <w:tc>
          <w:tcPr/>
          <w:p>
            <w:pPr>
              <w:pStyle w:val="Compact"/>
              <w:jc w:val="right"/>
            </w:pPr>
            <w:r>
              <w:t xml:space="preserve">1.13</w:t>
            </w:r>
          </w:p>
        </w:tc>
        <w:tc>
          <w:tcPr/>
          <w:p>
            <w:pPr>
              <w:pStyle w:val="Compact"/>
              <w:jc w:val="right"/>
            </w:pPr>
            <w:r>
              <w:t xml:space="preserve">1.12</w:t>
            </w:r>
          </w:p>
        </w:tc>
        <w:tc>
          <w:tcPr/>
          <w:p>
            <w:pPr>
              <w:pStyle w:val="Compact"/>
              <w:jc w:val="right"/>
            </w:pPr>
            <w:r>
              <w:t xml:space="preserve">1.03</w:t>
            </w:r>
          </w:p>
        </w:tc>
      </w:tr>
      <w:tr>
        <w:tc>
          <w:tcPr/>
          <w:p>
            <w:pPr>
              <w:pStyle w:val="Compact"/>
              <w:jc w:val="left"/>
            </w:pPr>
            <w:r>
              <w:t xml:space="preserve">300 mg Japanese (TDU12265)</w:t>
            </w:r>
          </w:p>
        </w:tc>
        <w:tc>
          <w:tcPr/>
          <w:p>
            <w:pPr>
              <w:pStyle w:val="Compact"/>
              <w:jc w:val="left"/>
            </w:pPr>
            <w:r>
              <w:t xml:space="preserve">validation (study presentation)</w:t>
            </w:r>
          </w:p>
        </w:tc>
        <w:tc>
          <w:tcPr/>
          <w:p>
            <w:pPr>
              <w:pStyle w:val="Compact"/>
              <w:jc w:val="right"/>
            </w:pPr>
            <w:r>
              <w:t xml:space="preserve">6</w:t>
            </w:r>
          </w:p>
        </w:tc>
        <w:tc>
          <w:tcPr/>
          <w:p>
            <w:pPr>
              <w:pStyle w:val="Compact"/>
              <w:jc w:val="right"/>
            </w:pPr>
            <w:r>
              <w:t xml:space="preserve">64</w:t>
            </w:r>
          </w:p>
        </w:tc>
        <w:tc>
          <w:tcPr/>
          <w:p>
            <w:pPr>
              <w:pStyle w:val="Compact"/>
              <w:jc w:val="right"/>
            </w:pPr>
            <w:r>
              <w:t xml:space="preserve">700</w:t>
            </w:r>
          </w:p>
        </w:tc>
        <w:tc>
          <w:tcPr/>
          <w:p>
            <w:pPr>
              <w:pStyle w:val="Compact"/>
              <w:jc w:val="right"/>
            </w:pPr>
            <w:r>
              <w:t xml:space="preserve">1.00</w:t>
            </w:r>
          </w:p>
        </w:tc>
        <w:tc>
          <w:tcPr/>
          <w:p>
            <w:pPr>
              <w:pStyle w:val="Compact"/>
              <w:jc w:val="right"/>
            </w:pPr>
            <w:r>
              <w:t xml:space="preserve">1.08</w:t>
            </w:r>
          </w:p>
        </w:tc>
        <w:tc>
          <w:tcPr/>
          <w:p>
            <w:pPr>
              <w:pStyle w:val="Compact"/>
              <w:jc w:val="right"/>
            </w:pPr>
            <w:r>
              <w:t xml:space="preserve">1.08</w:t>
            </w:r>
          </w:p>
        </w:tc>
        <w:tc>
          <w:tcPr/>
          <w:p>
            <w:pPr>
              <w:pStyle w:val="Compact"/>
              <w:jc w:val="right"/>
            </w:pPr>
            <w:r>
              <w:t xml:space="preserve">1.00</w:t>
            </w:r>
          </w:p>
        </w:tc>
      </w:tr>
      <w:tr>
        <w:tc>
          <w:tcPr/>
          <w:p>
            <w:pPr>
              <w:pStyle w:val="Compact"/>
              <w:jc w:val="left"/>
            </w:pPr>
            <w:r>
              <w:t xml:space="preserve">300 mg Chinese (Clot 2021)</w:t>
            </w:r>
          </w:p>
        </w:tc>
        <w:tc>
          <w:tcPr/>
          <w:p>
            <w:pPr>
              <w:pStyle w:val="Compact"/>
              <w:jc w:val="left"/>
            </w:pPr>
            <w:r>
              <w:t xml:space="preserve">validation (study presentation)</w:t>
            </w:r>
          </w:p>
        </w:tc>
        <w:tc>
          <w:tcPr/>
          <w:p>
            <w:pPr>
              <w:pStyle w:val="Compact"/>
              <w:jc w:val="right"/>
            </w:pPr>
            <w:r>
              <w:t xml:space="preserve">8</w:t>
            </w:r>
          </w:p>
        </w:tc>
        <w:tc>
          <w:tcPr/>
          <w:p>
            <w:pPr>
              <w:pStyle w:val="Compact"/>
              <w:jc w:val="right"/>
            </w:pPr>
            <w:r>
              <w:t xml:space="preserve">60</w:t>
            </w:r>
          </w:p>
        </w:tc>
        <w:tc>
          <w:tcPr/>
          <w:p>
            <w:pPr>
              <w:pStyle w:val="Compact"/>
              <w:jc w:val="right"/>
            </w:pPr>
            <w:r>
              <w:t xml:space="preserve">792</w:t>
            </w:r>
          </w:p>
        </w:tc>
        <w:tc>
          <w:tcPr/>
          <w:p>
            <w:pPr>
              <w:pStyle w:val="Compact"/>
              <w:jc w:val="right"/>
            </w:pPr>
            <w:r>
              <w:t xml:space="preserve">0.94</w:t>
            </w:r>
          </w:p>
        </w:tc>
        <w:tc>
          <w:tcPr/>
          <w:p>
            <w:pPr>
              <w:pStyle w:val="Compact"/>
              <w:jc w:val="right"/>
            </w:pPr>
            <w:r>
              <w:t xml:space="preserve">1.02</w:t>
            </w:r>
          </w:p>
        </w:tc>
        <w:tc>
          <w:tcPr/>
          <w:p>
            <w:pPr>
              <w:pStyle w:val="Compact"/>
              <w:jc w:val="right"/>
            </w:pPr>
            <w:r>
              <w:t xml:space="preserve">1.16</w:t>
            </w:r>
          </w:p>
        </w:tc>
        <w:tc>
          <w:tcPr/>
          <w:p>
            <w:pPr>
              <w:pStyle w:val="Compact"/>
              <w:jc w:val="right"/>
            </w:pPr>
            <w:r>
              <w:t xml:space="preserve">1.07</w:t>
            </w:r>
          </w:p>
        </w:tc>
      </w:tr>
      <w:tr>
        <w:tc>
          <w:tcPr/>
          <w:p>
            <w:pPr>
              <w:pStyle w:val="Compact"/>
              <w:jc w:val="left"/>
            </w:pPr>
            <w:r>
              <w:t xml:space="preserve">600 mg Chinese (Clot 2021)</w:t>
            </w:r>
          </w:p>
        </w:tc>
        <w:tc>
          <w:tcPr/>
          <w:p>
            <w:pPr>
              <w:pStyle w:val="Compact"/>
              <w:jc w:val="left"/>
            </w:pPr>
            <w:r>
              <w:t xml:space="preserve">validation (study presentation)</w:t>
            </w:r>
          </w:p>
        </w:tc>
        <w:tc>
          <w:tcPr/>
          <w:p>
            <w:pPr>
              <w:pStyle w:val="Compact"/>
              <w:jc w:val="right"/>
            </w:pPr>
            <w:r>
              <w:t xml:space="preserve">8</w:t>
            </w:r>
          </w:p>
        </w:tc>
        <w:tc>
          <w:tcPr/>
          <w:p>
            <w:pPr>
              <w:pStyle w:val="Compact"/>
              <w:jc w:val="right"/>
            </w:pPr>
            <w:r>
              <w:t xml:space="preserve">58</w:t>
            </w:r>
          </w:p>
        </w:tc>
        <w:tc>
          <w:tcPr/>
          <w:p>
            <w:pPr>
              <w:pStyle w:val="Compact"/>
              <w:jc w:val="right"/>
            </w:pPr>
            <w:r>
              <w:t xml:space="preserve">2110</w:t>
            </w:r>
          </w:p>
        </w:tc>
        <w:tc>
          <w:tcPr/>
          <w:p>
            <w:pPr>
              <w:pStyle w:val="Compact"/>
              <w:jc w:val="right"/>
            </w:pPr>
            <w:r>
              <w:t xml:space="preserve">0.98</w:t>
            </w:r>
          </w:p>
        </w:tc>
        <w:tc>
          <w:tcPr/>
          <w:p>
            <w:pPr>
              <w:pStyle w:val="Compact"/>
              <w:jc w:val="right"/>
            </w:pPr>
            <w:r>
              <w:t xml:space="preserve">1.03</w:t>
            </w:r>
          </w:p>
        </w:tc>
        <w:tc>
          <w:tcPr/>
          <w:p>
            <w:pPr>
              <w:pStyle w:val="Compact"/>
              <w:jc w:val="right"/>
            </w:pPr>
            <w:r>
              <w:t xml:space="preserve">1.22</w:t>
            </w:r>
          </w:p>
        </w:tc>
        <w:tc>
          <w:tcPr/>
          <w:p>
            <w:pPr>
              <w:pStyle w:val="Compact"/>
              <w:jc w:val="right"/>
            </w:pPr>
            <w:r>
              <w:t xml:space="preserve">1.13</w:t>
            </w:r>
          </w:p>
        </w:tc>
      </w:tr>
      <w:tr>
        <w:tc>
          <w:tcPr/>
          <w:p>
            <w:pPr>
              <w:pStyle w:val="Compact"/>
              <w:jc w:val="left"/>
            </w:pPr>
            <w:r>
              <w:t xml:space="preserve">600 mg Japanese (TDU12265)</w:t>
            </w:r>
          </w:p>
        </w:tc>
        <w:tc>
          <w:tcPr/>
          <w:p>
            <w:pPr>
              <w:pStyle w:val="Compact"/>
              <w:jc w:val="left"/>
            </w:pPr>
            <w:r>
              <w:t xml:space="preserve">validation (study presentation)</w:t>
            </w:r>
          </w:p>
        </w:tc>
        <w:tc>
          <w:tcPr/>
          <w:p>
            <w:pPr>
              <w:pStyle w:val="Compact"/>
              <w:jc w:val="right"/>
            </w:pPr>
            <w:r>
              <w:t xml:space="preserve">not reported</w:t>
            </w:r>
          </w:p>
        </w:tc>
        <w:tc>
          <w:tcPr/>
          <w:p>
            <w:pPr>
              <w:pStyle w:val="Compact"/>
              <w:jc w:val="right"/>
            </w:pPr>
            <w:r>
              <w:t xml:space="preserve">64</w:t>
            </w:r>
          </w:p>
        </w:tc>
        <w:tc>
          <w:tcPr/>
          <w:p>
            <w:pPr>
              <w:pStyle w:val="Compact"/>
              <w:jc w:val="right"/>
            </w:pPr>
            <w:r>
              <w:t xml:space="preserve">1780</w:t>
            </w:r>
          </w:p>
        </w:tc>
        <w:tc>
          <w:tcPr/>
          <w:p>
            <w:pPr>
              <w:pStyle w:val="Compact"/>
              <w:jc w:val="right"/>
            </w:pPr>
            <w:r>
              <w:t xml:space="preserve">1.07</w:t>
            </w:r>
          </w:p>
        </w:tc>
        <w:tc>
          <w:tcPr/>
          <w:p>
            <w:pPr>
              <w:pStyle w:val="Compact"/>
              <w:jc w:val="right"/>
            </w:pPr>
            <w:r>
              <w:t xml:space="preserve">1.13</w:t>
            </w:r>
          </w:p>
        </w:tc>
        <w:tc>
          <w:tcPr/>
          <w:p>
            <w:pPr>
              <w:pStyle w:val="Compact"/>
              <w:jc w:val="right"/>
            </w:pPr>
            <w:r>
              <w:t xml:space="preserve">1.27</w:t>
            </w:r>
          </w:p>
        </w:tc>
        <w:tc>
          <w:tcPr/>
          <w:p>
            <w:pPr>
              <w:pStyle w:val="Compact"/>
              <w:jc w:val="right"/>
            </w:pPr>
            <w:r>
              <w:t xml:space="preserve">1.17</w:t>
            </w:r>
          </w:p>
        </w:tc>
      </w:tr>
      <w:tr>
        <w:tc>
          <w:tcPr/>
          <w:p>
            <w:pPr>
              <w:pStyle w:val="Compact"/>
              <w:jc w:val="left"/>
            </w:pPr>
            <w:r>
              <w:t xml:space="preserve">200 mg (175 mg/mL) PKM14271 test</w:t>
            </w:r>
          </w:p>
        </w:tc>
        <w:tc>
          <w:tcPr/>
          <w:p>
            <w:pPr>
              <w:pStyle w:val="Compact"/>
              <w:jc w:val="left"/>
            </w:pPr>
            <w:r>
              <w:t xml:space="preserve">external check (other presentation)</w:t>
            </w:r>
          </w:p>
        </w:tc>
        <w:tc>
          <w:tcPr/>
          <w:p>
            <w:pPr>
              <w:pStyle w:val="Compact"/>
              <w:jc w:val="right"/>
            </w:pPr>
            <w:r>
              <w:t xml:space="preserve">19</w:t>
            </w:r>
          </w:p>
        </w:tc>
        <w:tc>
          <w:tcPr/>
          <w:p>
            <w:pPr>
              <w:pStyle w:val="Compact"/>
              <w:jc w:val="right"/>
            </w:pPr>
            <w:r>
              <w:t xml:space="preserve">80</w:t>
            </w:r>
          </w:p>
        </w:tc>
        <w:tc>
          <w:tcPr/>
          <w:p>
            <w:pPr>
              <w:pStyle w:val="Compact"/>
              <w:jc w:val="right"/>
            </w:pPr>
            <w:r>
              <w:t xml:space="preserve">339</w:t>
            </w:r>
          </w:p>
        </w:tc>
        <w:tc>
          <w:tcPr/>
          <w:p>
            <w:pPr>
              <w:pStyle w:val="Compact"/>
              <w:jc w:val="right"/>
            </w:pPr>
            <w:r>
              <w:t xml:space="preserve">0.82</w:t>
            </w:r>
          </w:p>
        </w:tc>
        <w:tc>
          <w:tcPr/>
          <w:p>
            <w:pPr>
              <w:pStyle w:val="Compact"/>
              <w:jc w:val="right"/>
            </w:pPr>
            <w:r>
              <w:t xml:space="preserve">0.90</w:t>
            </w:r>
          </w:p>
        </w:tc>
        <w:tc>
          <w:tcPr/>
          <w:p>
            <w:pPr>
              <w:pStyle w:val="Compact"/>
              <w:jc w:val="right"/>
            </w:pPr>
            <w:r>
              <w:t xml:space="preserve">0.92</w:t>
            </w:r>
          </w:p>
        </w:tc>
        <w:tc>
          <w:tcPr/>
          <w:p>
            <w:pPr>
              <w:pStyle w:val="Compact"/>
              <w:jc w:val="right"/>
            </w:pPr>
            <w:r>
              <w:t xml:space="preserve">0.86</w:t>
            </w:r>
          </w:p>
        </w:tc>
      </w:tr>
      <w:tr>
        <w:tc>
          <w:tcPr/>
          <w:p>
            <w:pPr>
              <w:pStyle w:val="Compact"/>
              <w:jc w:val="left"/>
            </w:pPr>
            <w:r>
              <w:t xml:space="preserve">200 mg (175 mg/mL) PKM14271 reference</w:t>
            </w:r>
          </w:p>
        </w:tc>
        <w:tc>
          <w:tcPr/>
          <w:p>
            <w:pPr>
              <w:pStyle w:val="Compact"/>
              <w:jc w:val="left"/>
            </w:pPr>
            <w:r>
              <w:t xml:space="preserve">external check (other presentation)</w:t>
            </w:r>
          </w:p>
        </w:tc>
        <w:tc>
          <w:tcPr/>
          <w:p>
            <w:pPr>
              <w:pStyle w:val="Compact"/>
              <w:jc w:val="right"/>
            </w:pPr>
            <w:r>
              <w:t xml:space="preserve">19</w:t>
            </w:r>
          </w:p>
        </w:tc>
        <w:tc>
          <w:tcPr/>
          <w:p>
            <w:pPr>
              <w:pStyle w:val="Compact"/>
              <w:jc w:val="right"/>
            </w:pPr>
            <w:r>
              <w:t xml:space="preserve">80</w:t>
            </w:r>
          </w:p>
        </w:tc>
        <w:tc>
          <w:tcPr/>
          <w:p>
            <w:pPr>
              <w:pStyle w:val="Compact"/>
              <w:jc w:val="right"/>
            </w:pPr>
            <w:r>
              <w:t xml:space="preserve">323</w:t>
            </w:r>
          </w:p>
        </w:tc>
        <w:tc>
          <w:tcPr/>
          <w:p>
            <w:pPr>
              <w:pStyle w:val="Compact"/>
              <w:jc w:val="right"/>
            </w:pPr>
            <w:r>
              <w:t xml:space="preserve">0.86</w:t>
            </w:r>
          </w:p>
        </w:tc>
        <w:tc>
          <w:tcPr/>
          <w:p>
            <w:pPr>
              <w:pStyle w:val="Compact"/>
              <w:jc w:val="right"/>
            </w:pPr>
            <w:r>
              <w:t xml:space="preserve">0.94</w:t>
            </w:r>
          </w:p>
        </w:tc>
        <w:tc>
          <w:tcPr/>
          <w:p>
            <w:pPr>
              <w:pStyle w:val="Compact"/>
              <w:jc w:val="right"/>
            </w:pPr>
            <w:r>
              <w:t xml:space="preserve">0.94</w:t>
            </w:r>
          </w:p>
        </w:tc>
        <w:tc>
          <w:tcPr/>
          <w:p>
            <w:pPr>
              <w:pStyle w:val="Compact"/>
              <w:jc w:val="right"/>
            </w:pPr>
            <w:r>
              <w:t xml:space="preserve">0.87</w:t>
            </w:r>
          </w:p>
        </w:tc>
      </w:tr>
      <w:tr>
        <w:tc>
          <w:tcPr/>
          <w:p>
            <w:pPr>
              <w:pStyle w:val="Compact"/>
              <w:jc w:val="left"/>
            </w:pPr>
            <w:r>
              <w:t xml:space="preserve">200 mg (175 mg/mL) Cohen 2022 autoinjector</w:t>
            </w:r>
          </w:p>
        </w:tc>
        <w:tc>
          <w:tcPr/>
          <w:p>
            <w:pPr>
              <w:pStyle w:val="Compact"/>
              <w:jc w:val="left"/>
            </w:pPr>
            <w:r>
              <w:t xml:space="preserve">external check (other presentation)</w:t>
            </w:r>
          </w:p>
        </w:tc>
        <w:tc>
          <w:tcPr/>
          <w:p>
            <w:pPr>
              <w:pStyle w:val="Compact"/>
              <w:jc w:val="right"/>
            </w:pPr>
            <w:r>
              <w:t xml:space="preserve">62</w:t>
            </w:r>
          </w:p>
        </w:tc>
        <w:tc>
          <w:tcPr/>
          <w:p>
            <w:pPr>
              <w:pStyle w:val="Compact"/>
              <w:jc w:val="right"/>
            </w:pPr>
            <w:r>
              <w:t xml:space="preserve">81</w:t>
            </w:r>
          </w:p>
        </w:tc>
        <w:tc>
          <w:tcPr/>
          <w:p>
            <w:pPr>
              <w:pStyle w:val="Compact"/>
              <w:jc w:val="right"/>
            </w:pPr>
            <w:r>
              <w:t xml:space="preserve">311</w:t>
            </w:r>
          </w:p>
        </w:tc>
        <w:tc>
          <w:tcPr/>
          <w:p>
            <w:pPr>
              <w:pStyle w:val="Compact"/>
              <w:jc w:val="right"/>
            </w:pPr>
            <w:r>
              <w:t xml:space="preserve">0.84</w:t>
            </w:r>
          </w:p>
        </w:tc>
        <w:tc>
          <w:tcPr/>
          <w:p>
            <w:pPr>
              <w:pStyle w:val="Compact"/>
              <w:jc w:val="right"/>
            </w:pPr>
            <w:r>
              <w:t xml:space="preserve">0.92</w:t>
            </w:r>
          </w:p>
        </w:tc>
        <w:tc>
          <w:tcPr/>
          <w:p>
            <w:pPr>
              <w:pStyle w:val="Compact"/>
              <w:jc w:val="right"/>
            </w:pPr>
            <w:r>
              <w:t xml:space="preserve">0.94</w:t>
            </w:r>
          </w:p>
        </w:tc>
        <w:tc>
          <w:tcPr/>
          <w:p>
            <w:pPr>
              <w:pStyle w:val="Compact"/>
              <w:jc w:val="right"/>
            </w:pPr>
            <w:r>
              <w:t xml:space="preserve">0.88</w:t>
            </w:r>
          </w:p>
        </w:tc>
      </w:tr>
      <w:tr>
        <w:tc>
          <w:tcPr/>
          <w:p>
            <w:pPr>
              <w:pStyle w:val="Compact"/>
              <w:jc w:val="left"/>
            </w:pPr>
            <w:r>
              <w:t xml:space="preserve">200 mg (175 mg/mL) Cohen 2022 prefilled syringe</w:t>
            </w:r>
          </w:p>
        </w:tc>
        <w:tc>
          <w:tcPr/>
          <w:p>
            <w:pPr>
              <w:pStyle w:val="Compact"/>
              <w:jc w:val="left"/>
            </w:pPr>
            <w:r>
              <w:t xml:space="preserve">external check (other presentation)</w:t>
            </w:r>
          </w:p>
        </w:tc>
        <w:tc>
          <w:tcPr/>
          <w:p>
            <w:pPr>
              <w:pStyle w:val="Compact"/>
              <w:jc w:val="right"/>
            </w:pPr>
            <w:r>
              <w:t xml:space="preserve">63</w:t>
            </w:r>
          </w:p>
        </w:tc>
        <w:tc>
          <w:tcPr/>
          <w:p>
            <w:pPr>
              <w:pStyle w:val="Compact"/>
              <w:jc w:val="right"/>
            </w:pPr>
            <w:r>
              <w:t xml:space="preserve">81</w:t>
            </w:r>
          </w:p>
        </w:tc>
        <w:tc>
          <w:tcPr/>
          <w:p>
            <w:pPr>
              <w:pStyle w:val="Compact"/>
              <w:jc w:val="right"/>
            </w:pPr>
            <w:r>
              <w:t xml:space="preserve">284</w:t>
            </w:r>
          </w:p>
        </w:tc>
        <w:tc>
          <w:tcPr/>
          <w:p>
            <w:pPr>
              <w:pStyle w:val="Compact"/>
              <w:jc w:val="right"/>
            </w:pPr>
            <w:r>
              <w:t xml:space="preserve">0.91</w:t>
            </w:r>
          </w:p>
        </w:tc>
        <w:tc>
          <w:tcPr/>
          <w:p>
            <w:pPr>
              <w:pStyle w:val="Compact"/>
              <w:jc w:val="right"/>
            </w:pPr>
            <w:r>
              <w:t xml:space="preserve">1.00</w:t>
            </w:r>
          </w:p>
        </w:tc>
        <w:tc>
          <w:tcPr/>
          <w:p>
            <w:pPr>
              <w:pStyle w:val="Compact"/>
              <w:jc w:val="right"/>
            </w:pPr>
            <w:r>
              <w:t xml:space="preserve">1.01</w:t>
            </w:r>
          </w:p>
        </w:tc>
        <w:tc>
          <w:tcPr/>
          <w:p>
            <w:pPr>
              <w:pStyle w:val="Compact"/>
              <w:jc w:val="right"/>
            </w:pPr>
            <w:r>
              <w:t xml:space="preserve">0.94</w:t>
            </w:r>
          </w:p>
        </w:tc>
      </w:tr>
    </w:tbl>
    <w:p>
      <w:pPr>
        <w:pStyle w:val="BodyText"/>
      </w:pPr>
      <w:r>
        <w:rPr>
          <w:bCs/>
          <w:b/>
        </w:rPr>
        <w:t xml:space="preserve">Results for the study presentation:</w:t>
      </w:r>
    </w:p>
    <w:p>
      <w:pPr>
        <w:numPr>
          <w:ilvl w:val="0"/>
          <w:numId w:val="1027"/>
        </w:numPr>
        <w:pStyle w:val="Compact"/>
      </w:pPr>
      <w:r>
        <w:t xml:space="preserve">Simulated/observed AUC0-last is 0.94 to 1.07 for the primary model and 1.02 to 1.13 for the 2020 model.</w:t>
      </w:r>
    </w:p>
    <w:p>
      <w:pPr>
        <w:numPr>
          <w:ilvl w:val="0"/>
          <w:numId w:val="1027"/>
        </w:numPr>
        <w:pStyle w:val="Compact"/>
      </w:pPr>
      <w:r>
        <w:t xml:space="preserve">The simulated log-scale coefficient of variation is 36 to 41% (primary model).</w:t>
      </w:r>
    </w:p>
    <w:p>
      <w:pPr>
        <w:numPr>
          <w:ilvl w:val="0"/>
          <w:numId w:val="1027"/>
        </w:numPr>
        <w:pStyle w:val="Compact"/>
      </w:pPr>
      <w:r>
        <w:t xml:space="preserve">Cmax is over-predicted: 1.08 to 1.27 (primary) and 1.00 to 1.17 (2020 model). Cmax is a co-primary endpoint, but the questions of this report concern the terminal phase and AUC. The over-prediction is listed as a limitation.</w:t>
      </w:r>
    </w:p>
    <w:p>
      <w:pPr>
        <w:pStyle w:val="FirstParagraph"/>
      </w:pPr>
      <w:r>
        <w:rPr>
          <w:bCs/>
          <w:b/>
        </w:rPr>
        <w:t xml:space="preserve">Re-judgement on fully external data only</w:t>
      </w:r>
      <w:r>
        <w:t xml:space="preserve"> </w:t>
      </w:r>
      <w:r>
        <w:t xml:space="preserve">(data sets that were not part of each model’s development data):</w:t>
      </w:r>
    </w:p>
    <w:p>
      <w:pPr>
        <w:numPr>
          <w:ilvl w:val="0"/>
          <w:numId w:val="1028"/>
        </w:numPr>
        <w:pStyle w:val="Compact"/>
      </w:pPr>
      <w:r>
        <w:t xml:space="preserve">The primary model fails one item: PKM12350 test 1.17.</w:t>
      </w:r>
    </w:p>
    <w:p>
      <w:pPr>
        <w:numPr>
          <w:ilvl w:val="0"/>
          <w:numId w:val="1028"/>
        </w:numPr>
        <w:pStyle w:val="Compact"/>
      </w:pPr>
      <w:r>
        <w:t xml:space="preserve">The 2020 model fails 3 items: PKM12350 test 1.27; PKM12350 reference 1.24; HV-1108 reference 1.17.</w:t>
      </w:r>
    </w:p>
    <w:p>
      <w:pPr>
        <w:numPr>
          <w:ilvl w:val="0"/>
          <w:numId w:val="1028"/>
        </w:numPr>
        <w:pStyle w:val="Compact"/>
      </w:pPr>
      <w:r>
        <w:t xml:space="preserve">These single-arm studies report no body weight and were simulated at an assumed 78 kg. The primary-model ratio for the PKM12350 test arm is 1.31 at 70 kg, 1.23 at 74 kg, 1.16 at 78 kg, 1.10 at 82 kg, 1.04 at 86 kg, 0.99 at 90 kg, so the failure depends on the assumed weight.</w:t>
      </w:r>
    </w:p>
    <w:bookmarkEnd w:id="43"/>
    <w:bookmarkStart w:id="44" w:name="X1a82e619c0a963dea182ea399bb5f5a055bdd28"/>
    <w:p>
      <w:pPr>
        <w:pStyle w:val="Heading2"/>
      </w:pPr>
      <w:r>
        <w:t xml:space="preserve">4.3 Consistency with published exposure coverage</w:t>
      </w:r>
    </w:p>
    <w:p>
      <w:pPr>
        <w:pStyle w:val="FirstParagraph"/>
      </w:pPr>
      <w:r>
        <w:t xml:space="preserve">In Clot 2021 (300 mg), the published NCA ratio of mean AUC0-last to mean AUC0-inf was 98.1%. The simulated NCA ratio was 96.7% (primary model), and the true simulated ratio (model integral) was 99.2%.</w:t>
      </w:r>
    </w:p>
    <w:p>
      <w:pPr>
        <w:pStyle w:val="BodyText"/>
      </w:pPr>
      <w:r>
        <w:t xml:space="preserve">At 600 mg, the simulated window coverage (96.8%) is below the published NCA value (98.1%). Published NCA coverage is a lower bound of true coverage because NCA overstates the tail, so the models under-estimate AUC0-last coverage at this dose. That is the conservative direction for the proposal.</w:t>
      </w:r>
    </w:p>
    <w:bookmarkEnd w:id="44"/>
    <w:bookmarkStart w:id="45" w:name="credibility-summary"/>
    <w:p>
      <w:pPr>
        <w:pStyle w:val="Heading2"/>
      </w:pPr>
      <w:r>
        <w:t xml:space="preserve">4.4 Credibility summary</w:t>
      </w:r>
    </w:p>
    <w:p>
      <w:pPr>
        <w:pStyle w:val="TableCaption"/>
      </w:pPr>
      <w:r>
        <w:t xml:space="preserve">Table 4-2. Credibility evidence (ICH M15).</w:t>
      </w:r>
    </w:p>
    <w:tbl>
      <w:tblPr>
        <w:tblStyle w:val="Table"/>
        <w:tblW w:type="pct" w:w="5000"/>
        <w:tblLook w:firstRow="1" w:lastRow="0" w:firstColumn="0" w:lastColumn="0" w:noHBand="0" w:noVBand="0" w:val="0020"/>
        <w:jc w:val="start"/>
        <w:tblCaption w:val="Table 4-2. Credibility evidence (ICH M15)."/>
      </w:tblPr>
      <w:tblGrid>
        <w:gridCol w:w="1763"/>
        <w:gridCol w:w="3008"/>
        <w:gridCol w:w="3147"/>
      </w:tblGrid>
      <w:tr>
        <w:trPr>
          <w:tblHeader w:val="true"/>
        </w:trPr>
        <w:tc>
          <w:tcPr/>
          <w:p>
            <w:pPr>
              <w:pStyle w:val="Compact"/>
              <w:jc w:val="left"/>
            </w:pPr>
            <w:r>
              <w:t xml:space="preserve">Aspect</w:t>
            </w:r>
          </w:p>
        </w:tc>
        <w:tc>
          <w:tcPr/>
          <w:p>
            <w:pPr>
              <w:pStyle w:val="Compact"/>
              <w:jc w:val="left"/>
            </w:pPr>
            <w:r>
              <w:t xml:space="preserve">Evidence</w:t>
            </w:r>
          </w:p>
        </w:tc>
        <w:tc>
          <w:tcPr/>
          <w:p>
            <w:pPr>
              <w:pStyle w:val="Compact"/>
              <w:jc w:val="left"/>
            </w:pPr>
            <w:r>
              <w:t xml:space="preserve">Outcome</w:t>
            </w:r>
          </w:p>
        </w:tc>
      </w:tr>
      <w:tr>
        <w:tc>
          <w:tcPr/>
          <w:p>
            <w:pPr>
              <w:pStyle w:val="Compact"/>
              <w:jc w:val="left"/>
            </w:pPr>
            <w:r>
              <w:t xml:space="preserve">Code verification</w:t>
            </w:r>
          </w:p>
        </w:tc>
        <w:tc>
          <w:tcPr/>
          <w:p>
            <w:pPr>
              <w:pStyle w:val="Compact"/>
              <w:jc w:val="left"/>
            </w:pPr>
            <w:r>
              <w:t xml:space="preserve">Automated tests (analytical solutions, mass balance, NCA rules, statistics)</w:t>
            </w:r>
          </w:p>
        </w:tc>
        <w:tc>
          <w:tcPr/>
          <w:p>
            <w:pPr>
              <w:pStyle w:val="Compact"/>
              <w:jc w:val="left"/>
            </w:pPr>
            <w:r>
              <w:t xml:space="preserve">All tests pass</w:t>
            </w:r>
          </w:p>
        </w:tc>
      </w:tr>
      <w:tr>
        <w:tc>
          <w:tcPr/>
          <w:p>
            <w:pPr>
              <w:pStyle w:val="Compact"/>
              <w:jc w:val="left"/>
            </w:pPr>
            <w:r>
              <w:t xml:space="preserve">NCA engine</w:t>
            </w:r>
          </w:p>
        </w:tc>
        <w:tc>
          <w:tcPr/>
          <w:p>
            <w:pPr>
              <w:pStyle w:val="Compact"/>
              <w:jc w:val="left"/>
            </w:pPr>
            <w:r>
              <w:t xml:space="preserve">Identical lambda-z windows and parameters versus NonCompart and PKNCA</w:t>
            </w:r>
          </w:p>
        </w:tc>
        <w:tc>
          <w:tcPr/>
          <w:p>
            <w:pPr>
              <w:pStyle w:val="Compact"/>
              <w:jc w:val="left"/>
            </w:pPr>
            <w:r>
              <w:t xml:space="preserve">Pass</w:t>
            </w:r>
          </w:p>
        </w:tc>
      </w:tr>
      <w:tr>
        <w:tc>
          <w:tcPr/>
          <w:p>
            <w:pPr>
              <w:pStyle w:val="Compact"/>
              <w:jc w:val="left"/>
            </w:pPr>
            <w:r>
              <w:t xml:space="preserve">Independent implementation</w:t>
            </w:r>
          </w:p>
        </w:tc>
        <w:tc>
          <w:tcPr/>
          <w:p>
            <w:pPr>
              <w:pStyle w:val="Compact"/>
              <w:jc w:val="left"/>
            </w:pPr>
            <w:r>
              <w:t xml:space="preserve">Reviewer’s Python implementation</w:t>
            </w:r>
          </w:p>
        </w:tc>
        <w:tc>
          <w:tcPr/>
          <w:p>
            <w:pPr>
              <w:pStyle w:val="Compact"/>
              <w:jc w:val="left"/>
            </w:pPr>
            <w:r>
              <w:t xml:space="preserve">Agreement (Section 4.1)</w:t>
            </w:r>
          </w:p>
        </w:tc>
      </w:tr>
      <w:tr>
        <w:tc>
          <w:tcPr/>
          <w:p>
            <w:pPr>
              <w:pStyle w:val="Compact"/>
              <w:jc w:val="left"/>
            </w:pPr>
            <w:r>
              <w:t xml:space="preserve">Reproducibility</w:t>
            </w:r>
          </w:p>
        </w:tc>
        <w:tc>
          <w:tcPr/>
          <w:p>
            <w:pPr>
              <w:pStyle w:val="Compact"/>
              <w:jc w:val="left"/>
            </w:pPr>
            <w:r>
              <w:t xml:space="preserve">Clean-environment rerun with locked versions</w:t>
            </w:r>
          </w:p>
        </w:tc>
        <w:tc>
          <w:tcPr/>
          <w:p>
            <w:pPr>
              <w:pStyle w:val="Compact"/>
              <w:jc w:val="left"/>
            </w:pPr>
            <w:r>
              <w:t xml:space="preserve">7 of 7 items within pre-specified tolerance; identical to 8 significant digits</w:t>
            </w:r>
          </w:p>
        </w:tc>
      </w:tr>
      <w:tr>
        <w:tc>
          <w:tcPr/>
          <w:p>
            <w:pPr>
              <w:pStyle w:val="Compact"/>
              <w:jc w:val="left"/>
            </w:pPr>
            <w:r>
              <w:t xml:space="preserve">External validation (study presentation)</w:t>
            </w:r>
          </w:p>
        </w:tc>
        <w:tc>
          <w:tcPr/>
          <w:p>
            <w:pPr>
              <w:pStyle w:val="Compact"/>
              <w:jc w:val="left"/>
            </w:pPr>
            <w:r>
              <w:t xml:space="preserve">Five data sets of the study presentation, two models</w:t>
            </w:r>
          </w:p>
        </w:tc>
        <w:tc>
          <w:tcPr/>
          <w:p>
            <w:pPr>
              <w:pStyle w:val="Compact"/>
              <w:jc w:val="left"/>
            </w:pPr>
            <w:r>
              <w:t xml:space="preserve">AUC0-last within plus or minus 15%; Cmax over-predicted</w:t>
            </w:r>
          </w:p>
        </w:tc>
      </w:tr>
      <w:tr>
        <w:tc>
          <w:tcPr/>
          <w:p>
            <w:pPr>
              <w:pStyle w:val="Compact"/>
              <w:jc w:val="left"/>
            </w:pPr>
            <w:r>
              <w:t xml:space="preserve">Structural uncertainty</w:t>
            </w:r>
          </w:p>
        </w:tc>
        <w:tc>
          <w:tcPr/>
          <w:p>
            <w:pPr>
              <w:pStyle w:val="Compact"/>
              <w:jc w:val="left"/>
            </w:pPr>
            <w:r>
              <w:t xml:space="preserve">Two published structural models (with and without transit absorption; own variability)</w:t>
            </w:r>
          </w:p>
        </w:tc>
        <w:tc>
          <w:tcPr/>
          <w:p>
            <w:pPr>
              <w:pStyle w:val="Compact"/>
              <w:jc w:val="left"/>
            </w:pPr>
            <w:r>
              <w:t xml:space="preserve">Conclusions identical in both models</w:t>
            </w:r>
          </w:p>
        </w:tc>
      </w:tr>
      <w:tr>
        <w:tc>
          <w:tcPr/>
          <w:p>
            <w:pPr>
              <w:pStyle w:val="Compact"/>
              <w:jc w:val="left"/>
            </w:pPr>
            <w:r>
              <w:t xml:space="preserve">Terminal curve shape (unobservable below the LLOQ)</w:t>
            </w:r>
          </w:p>
        </w:tc>
        <w:tc>
          <w:tcPr/>
          <w:p>
            <w:pPr>
              <w:pStyle w:val="Compact"/>
              <w:jc w:val="left"/>
            </w:pPr>
            <w:r>
              <w:t xml:space="preserve">Km x0.5 to x10 and Vmax x0.5 to x1.25 in both arms; Km x0.01 to x100 in the test arm</w:t>
            </w:r>
          </w:p>
        </w:tc>
        <w:tc>
          <w:tcPr/>
          <w:p>
            <w:pPr>
              <w:pStyle w:val="Compact"/>
              <w:jc w:val="left"/>
            </w:pPr>
            <w:r>
              <w:t xml:space="preserve">AUC0-last coverage and conclusions unchanged (Sections 5.2, 5.6)</w:t>
            </w:r>
          </w:p>
        </w:tc>
      </w:tr>
      <w:tr>
        <w:tc>
          <w:tcPr/>
          <w:p>
            <w:pPr>
              <w:pStyle w:val="Compact"/>
              <w:jc w:val="left"/>
            </w:pPr>
            <w:r>
              <w:t xml:space="preserve">Variability and residual error</w:t>
            </w:r>
          </w:p>
        </w:tc>
        <w:tc>
          <w:tcPr/>
          <w:p>
            <w:pPr>
              <w:pStyle w:val="Compact"/>
              <w:jc w:val="left"/>
            </w:pPr>
            <w:r>
              <w:t xml:space="preserve">Variances x1.5; proportional residual 12%</w:t>
            </w:r>
          </w:p>
        </w:tc>
        <w:tc>
          <w:tcPr/>
          <w:p>
            <w:pPr>
              <w:pStyle w:val="Compact"/>
              <w:jc w:val="left"/>
            </w:pPr>
            <w:r>
              <w:t xml:space="preserve">Schedule recommendation unchanged; reliability rates change (reported as two-model ranges)</w:t>
            </w:r>
          </w:p>
        </w:tc>
      </w:tr>
      <w:tr>
        <w:tc>
          <w:tcPr/>
          <w:p>
            <w:pPr>
              <w:pStyle w:val="Compact"/>
              <w:jc w:val="left"/>
            </w:pPr>
            <w:r>
              <w:t xml:space="preserve">Population</w:t>
            </w:r>
          </w:p>
        </w:tc>
        <w:tc>
          <w:tcPr/>
          <w:p>
            <w:pPr>
              <w:pStyle w:val="Compact"/>
              <w:jc w:val="left"/>
            </w:pPr>
            <w:r>
              <w:t xml:space="preserve">Body weight 40 to 150 kg bands; ADA-like subgroup (10%, ke x2 after Day 14)</w:t>
            </w:r>
          </w:p>
        </w:tc>
        <w:tc>
          <w:tcPr/>
          <w:p>
            <w:pPr>
              <w:pStyle w:val="Compact"/>
              <w:jc w:val="left"/>
            </w:pPr>
            <w:r>
              <w:t xml:space="preserve">Coverage preserved in every band and in the ADA-like subgroup</w:t>
            </w:r>
          </w:p>
        </w:tc>
      </w:tr>
      <w:tr>
        <w:tc>
          <w:tcPr/>
          <w:p>
            <w:pPr>
              <w:pStyle w:val="Compact"/>
              <w:jc w:val="left"/>
            </w:pPr>
            <w:r>
              <w:t xml:space="preserve">Pre-specification</w:t>
            </w:r>
          </w:p>
        </w:tc>
        <w:tc>
          <w:tcPr/>
          <w:p>
            <w:pPr>
              <w:pStyle w:val="Compact"/>
              <w:jc w:val="left"/>
            </w:pPr>
            <w:r>
              <w:t xml:space="preserve">Design committed before results; post hoc items listed (Appendix D)</w:t>
            </w:r>
          </w:p>
        </w:tc>
        <w:tc>
          <w:tcPr/>
          <w:p>
            <w:pPr>
              <w:pStyle w:val="Compact"/>
              <w:jc w:val="left"/>
            </w:pPr>
            <w:r>
              <w:t xml:space="preserve">Primary metric and configurations as pre-specified</w:t>
            </w:r>
          </w:p>
        </w:tc>
      </w:tr>
    </w:tbl>
    <w:bookmarkEnd w:id="45"/>
    <w:bookmarkEnd w:id="46"/>
    <w:bookmarkStart w:id="97" w:name="results"/>
    <w:p>
      <w:pPr>
        <w:pStyle w:val="Heading1"/>
      </w:pPr>
      <w:r>
        <w:t xml:space="preserve">5. Results</w:t>
      </w:r>
    </w:p>
    <w:bookmarkStart w:id="53" w:name="terminal-phase-the-cliff"/>
    <w:p>
      <w:pPr>
        <w:pStyle w:val="Heading2"/>
      </w:pPr>
      <w:r>
        <w:t xml:space="preserve">5.1 Terminal phase: the cliff</w:t>
      </w:r>
    </w:p>
    <w:p>
      <w:pPr>
        <w:pStyle w:val="FirstParagraph"/>
      </w:pPr>
      <w:r>
        <w:t xml:space="preserve">In the primary model, the true concentration reaches the LLOQ at a median of study Day 38.5 (5th to 95th percentile 27.2 to 54.2). Only 2.5% of subjects are still above the LLOQ after Day 58. The 2020 model gives Day 40.8 (28.7 to 57.6) and 4.6%.</w:t>
      </w:r>
    </w:p>
    <w:p>
      <w:pPr>
        <w:pStyle w:val="BodyText"/>
      </w:pPr>
      <w:r>
        <w:t xml:space="preserve">The cliff starts at a median true concentration of 0.88 mg/L. It lasts a median of 1.38 days (95th percentile 1.43) under the 1-day definition and 2.94 days under the 2-day definition, and the lengths are the same in both models.</w:t>
      </w:r>
    </w:p>
    <w:p>
      <w:pPr>
        <w:pStyle w:val="BodyText"/>
      </w:pPr>
      <w:r>
        <w:t xml:space="preserve">Consequences for sampling:</w:t>
      </w:r>
    </w:p>
    <w:p>
      <w:pPr>
        <w:numPr>
          <w:ilvl w:val="0"/>
          <w:numId w:val="1029"/>
        </w:numPr>
        <w:pStyle w:val="Compact"/>
      </w:pPr>
      <w:r>
        <w:t xml:space="preserve">Any schedule with added samples has a minimum visit interval of 3 days after Day 22.</w:t>
      </w:r>
    </w:p>
    <w:p>
      <w:pPr>
        <w:numPr>
          <w:ilvl w:val="0"/>
          <w:numId w:val="1029"/>
        </w:numPr>
        <w:pStyle w:val="Compact"/>
      </w:pPr>
      <w:r>
        <w:t xml:space="preserve">With a fixed schedule at nominal days, the share of subjects with two or more samples on the cliff is 0.0% at most.</w:t>
      </w:r>
    </w:p>
    <w:p>
      <w:pPr>
        <w:numPr>
          <w:ilvl w:val="0"/>
          <w:numId w:val="1029"/>
        </w:numPr>
        <w:pStyle w:val="Compact"/>
      </w:pPr>
      <w:r>
        <w:t xml:space="preserve">Even daily sampling from Day 29 to Day 57 gives three samples on the cliff (the minimum for lambda-z) in 0.0% of subjects.</w:t>
      </w:r>
    </w:p>
    <w:p>
      <w:pPr>
        <w:pStyle w:val="FirstParagraph"/>
      </w:pPr>
      <w:r>
        <w:t xml:space="preserve">Lambda-z is therefore always estimated on the decline before the cliff. Estimated on the cliff itself, it would give an extrapolated area close to zero, so AUC0-inf would tend to AUC0-last.</w:t>
      </w:r>
    </w:p>
    <w:p>
      <w:pPr>
        <w:pStyle w:val="CaptionedFigure"/>
      </w:pPr>
      <w:r>
        <w:drawing>
          <wp:inline>
            <wp:extent cx="5334000" cy="2800350"/>
            <wp:effectExtent b="0" l="0" r="0" t="0"/>
            <wp:docPr descr="Figure 5-1. Study day at which the true concentration reaches the LLOQ (primary model, 60 to 90 kg, 300 mg, 20,000 virtual subjects, nominal days). Analysis figure 2-1 (results/cliff/fig2_1_lloq_day_en.png)." title="" id="48" name="Picture"/>
            <a:graphic>
              <a:graphicData uri="http://schemas.openxmlformats.org/drawingml/2006/picture">
                <pic:pic>
                  <pic:nvPicPr>
                    <pic:cNvPr descr="../../results/cliff/fig2_1_lloq_day_en.png" id="49" name="Picture"/>
                    <pic:cNvPicPr>
                      <a:picLocks noChangeArrowheads="1" noChangeAspect="1"/>
                    </pic:cNvPicPr>
                  </pic:nvPicPr>
                  <pic:blipFill>
                    <a:blip r:embed="rId47"/>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pPr>
      <w:r>
        <w:t xml:space="preserve">Figure 5-1. Study day at which the true concentration reaches the LLOQ (primary model, 60 to 90 kg, 300 mg, 20,000 virtual subjects, nominal days). Analysis figure 2-1 (results/cliff/fig2_1_lloq_day_en.png).</w:t>
      </w:r>
    </w:p>
    <w:p>
      <w:pPr>
        <w:pStyle w:val="CaptionedFigure"/>
      </w:pPr>
      <w:r>
        <w:drawing>
          <wp:inline>
            <wp:extent cx="5334000" cy="2036618"/>
            <wp:effectExtent b="0" l="0" r="0" t="0"/>
            <wp:docPr descr="Figure 5-2. True concentration of three representative subjects with the cliff shaded (1-day definition), planned samples and the samples of the added-sampling schedules (primary model). Analysis figure 2-4 (results/cliff/fig2_4_representative_en.png)." title="" id="51" name="Picture"/>
            <a:graphic>
              <a:graphicData uri="http://schemas.openxmlformats.org/drawingml/2006/picture">
                <pic:pic>
                  <pic:nvPicPr>
                    <pic:cNvPr descr="../../results/cliff/fig2_4_representative_en.png" id="52" name="Picture"/>
                    <pic:cNvPicPr>
                      <a:picLocks noChangeArrowheads="1" noChangeAspect="1"/>
                    </pic:cNvPicPr>
                  </pic:nvPicPr>
                  <pic:blipFill>
                    <a:blip r:embed="rId50"/>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5-2. True concentration of three representative subjects with the cliff shaded (1-day definition), planned samples and the samples of the added-sampling schedules (primary model). Analysis figure 2-4 (results/cliff/fig2_4_representative_en.png).</w:t>
      </w:r>
    </w:p>
    <w:bookmarkEnd w:id="53"/>
    <w:bookmarkStart w:id="54" w:name="coverage-of-total-exposure-by-auc0-last"/>
    <w:p>
      <w:pPr>
        <w:pStyle w:val="Heading2"/>
      </w:pPr>
      <w:r>
        <w:t xml:space="preserve">5.2 Coverage of total exposure by AUC0-last</w:t>
      </w:r>
    </w:p>
    <w:p>
      <w:pPr>
        <w:pStyle w:val="FirstParagraph"/>
      </w:pPr>
      <w:r>
        <w:t xml:space="preserve">Two quantities are kept apart throughout this report.</w:t>
      </w:r>
      <w:r>
        <w:t xml:space="preserve"> </w:t>
      </w:r>
      <w:r>
        <w:rPr>
          <w:bCs/>
          <w:b/>
        </w:rPr>
        <w:t xml:space="preserve">Window coverage</w:t>
      </w:r>
      <w:r>
        <w:t xml:space="preserve"> </w:t>
      </w:r>
      <w:r>
        <w:t xml:space="preserve">is the true AUC from dosing to the last quantifiable sample divided by the true AUC0-inf; it states how much of total exposure lies inside the interval that AUC0-last measures, and</w:t>
      </w:r>
      <w:r>
        <w:t xml:space="preserve"> </w:t>
      </w:r>
      <w:r>
        <w:t xml:space="preserve">“</w:t>
      </w:r>
      <w:r>
        <w:t xml:space="preserve">coverage</w:t>
      </w:r>
      <w:r>
        <w:t xml:space="preserve">”</w:t>
      </w:r>
      <w:r>
        <w:t xml:space="preserve"> </w:t>
      </w:r>
      <w:r>
        <w:t xml:space="preserve">means only this. The</w:t>
      </w:r>
      <w:r>
        <w:t xml:space="preserve"> </w:t>
      </w:r>
      <w:r>
        <w:rPr>
          <w:bCs/>
          <w:b/>
        </w:rPr>
        <w:t xml:space="preserve">observed-to-true ratio</w:t>
      </w:r>
      <w:r>
        <w:t xml:space="preserve"> </w:t>
      </w:r>
      <w:r>
        <w:t xml:space="preserve">is the observed AUC0-last (or NCA AUC0-inf) divided by the true AUC0-inf; it also contains the assay (residual) error and the trapezoidal approximation (Table 5-3).</w:t>
      </w:r>
    </w:p>
    <w:p>
      <w:pPr>
        <w:pStyle w:val="TableCaption"/>
      </w:pPr>
      <w:r>
        <w:t xml:space="preserve">Table 5-1. True extrapolated fraction beyond the last quantifiable sample (model integral) and NCA-estimated extrapolation, planned schedule, 60 to 90 kg.</w:t>
      </w:r>
    </w:p>
    <w:tbl>
      <w:tblPr>
        <w:tblStyle w:val="Table"/>
        <w:tblW w:type="pct" w:w="5000"/>
        <w:tblLook w:firstRow="1" w:lastRow="0" w:firstColumn="0" w:lastColumn="0" w:noHBand="0" w:noVBand="0" w:val="0020"/>
        <w:jc w:val="start"/>
        <w:tblCaption w:val="Table 5-1. True extrapolated fraction beyond the last quantifiable sample (model integral) and NCA-estimated extrapolation, planned schedule, 60 to 90 kg."/>
      </w:tblPr>
      <w:tblGrid>
        <w:gridCol w:w="1944"/>
        <w:gridCol w:w="324"/>
        <w:gridCol w:w="1007"/>
        <w:gridCol w:w="576"/>
        <w:gridCol w:w="288"/>
        <w:gridCol w:w="1368"/>
        <w:gridCol w:w="972"/>
        <w:gridCol w:w="1440"/>
      </w:tblGrid>
      <w:tr>
        <w:trPr>
          <w:tblHeader w:val="true"/>
        </w:trPr>
        <w:tc>
          <w:tcPr/>
          <w:p>
            <w:pPr>
              <w:pStyle w:val="Compact"/>
              <w:jc w:val="left"/>
            </w:pPr>
            <w:r>
              <w:t xml:space="preserve">Model</w:t>
            </w:r>
          </w:p>
        </w:tc>
        <w:tc>
          <w:tcPr/>
          <w:p>
            <w:pPr>
              <w:pStyle w:val="Compact"/>
              <w:jc w:val="right"/>
            </w:pPr>
            <w:r>
              <w:t xml:space="preserve">Subjects</w:t>
            </w:r>
          </w:p>
        </w:tc>
        <w:tc>
          <w:tcPr/>
          <w:p>
            <w:pPr>
              <w:pStyle w:val="Compact"/>
              <w:jc w:val="right"/>
            </w:pPr>
            <w:r>
              <w:t xml:space="preserve">True extrapolated %, median</w:t>
            </w:r>
          </w:p>
        </w:tc>
        <w:tc>
          <w:tcPr/>
          <w:p>
            <w:pPr>
              <w:pStyle w:val="Compact"/>
              <w:jc w:val="right"/>
            </w:pPr>
            <w:r>
              <w:t xml:space="preserve">95th percentile</w:t>
            </w:r>
          </w:p>
        </w:tc>
        <w:tc>
          <w:tcPr/>
          <w:p>
            <w:pPr>
              <w:pStyle w:val="Compact"/>
              <w:jc w:val="right"/>
            </w:pPr>
            <w:r>
              <w:t xml:space="preserve">Maximum</w:t>
            </w:r>
          </w:p>
        </w:tc>
        <w:tc>
          <w:tcPr/>
          <w:p>
            <w:pPr>
              <w:pStyle w:val="Compact"/>
              <w:jc w:val="right"/>
            </w:pPr>
            <w:r>
              <w:t xml:space="preserve">Window coverage below 80%, % [95% CI]</w:t>
            </w:r>
          </w:p>
        </w:tc>
        <w:tc>
          <w:tcPr/>
          <w:p>
            <w:pPr>
              <w:pStyle w:val="Compact"/>
              <w:jc w:val="right"/>
            </w:pPr>
            <w:r>
              <w:t xml:space="preserve">NCA extrapolated %, median</w:t>
            </w:r>
          </w:p>
        </w:tc>
        <w:tc>
          <w:tcPr/>
          <w:p>
            <w:pPr>
              <w:pStyle w:val="Compact"/>
              <w:jc w:val="right"/>
            </w:pPr>
            <w:r>
              <w:t xml:space="preserve">NCA extrapolation above 20%, % [95% CI]</w:t>
            </w:r>
          </w:p>
        </w:tc>
      </w:tr>
      <w:tr>
        <w:tc>
          <w:tcPr/>
          <w:p>
            <w:pPr>
              <w:pStyle w:val="Compact"/>
              <w:jc w:val="left"/>
            </w:pPr>
            <w:r>
              <w:t xml:space="preserve">Kovalenko 2016 (primary model)</w:t>
            </w:r>
          </w:p>
        </w:tc>
        <w:tc>
          <w:tcPr/>
          <w:p>
            <w:pPr>
              <w:pStyle w:val="Compact"/>
              <w:jc w:val="right"/>
            </w:pPr>
            <w:r>
              <w:t xml:space="preserve">20,000</w:t>
            </w:r>
          </w:p>
        </w:tc>
        <w:tc>
          <w:tcPr/>
          <w:p>
            <w:pPr>
              <w:pStyle w:val="Compact"/>
              <w:jc w:val="right"/>
            </w:pPr>
            <w:r>
              <w:t xml:space="preserve">0.65</w:t>
            </w:r>
          </w:p>
        </w:tc>
        <w:tc>
          <w:tcPr/>
          <w:p>
            <w:pPr>
              <w:pStyle w:val="Compact"/>
              <w:jc w:val="right"/>
            </w:pPr>
            <w:r>
              <w:t xml:space="preserve">3.63</w:t>
            </w:r>
          </w:p>
        </w:tc>
        <w:tc>
          <w:tcPr/>
          <w:p>
            <w:pPr>
              <w:pStyle w:val="Compact"/>
              <w:jc w:val="right"/>
            </w:pPr>
            <w:r>
              <w:t xml:space="preserve">15.2</w:t>
            </w:r>
          </w:p>
        </w:tc>
        <w:tc>
          <w:tcPr/>
          <w:p>
            <w:pPr>
              <w:pStyle w:val="Compact"/>
              <w:jc w:val="right"/>
            </w:pPr>
            <w:r>
              <w:t xml:space="preserve">0.00 [0.00, 0.02]</w:t>
            </w:r>
          </w:p>
        </w:tc>
        <w:tc>
          <w:tcPr/>
          <w:p>
            <w:pPr>
              <w:pStyle w:val="Compact"/>
              <w:jc w:val="right"/>
            </w:pPr>
            <w:r>
              <w:t xml:space="preserve">2.7</w:t>
            </w:r>
          </w:p>
        </w:tc>
        <w:tc>
          <w:tcPr/>
          <w:p>
            <w:pPr>
              <w:pStyle w:val="Compact"/>
              <w:jc w:val="right"/>
            </w:pPr>
            <w:r>
              <w:t xml:space="preserve">1.10 [0.96, 1.25]</w:t>
            </w:r>
          </w:p>
        </w:tc>
      </w:tr>
      <w:tr>
        <w:tc>
          <w:tcPr/>
          <w:p>
            <w:pPr>
              <w:pStyle w:val="Compact"/>
              <w:jc w:val="left"/>
            </w:pPr>
            <w:r>
              <w:t xml:space="preserve">Kovalenko 2020 Model 1 (structural sensitivity model)</w:t>
            </w:r>
          </w:p>
        </w:tc>
        <w:tc>
          <w:tcPr/>
          <w:p>
            <w:pPr>
              <w:pStyle w:val="Compact"/>
              <w:jc w:val="right"/>
            </w:pPr>
            <w:r>
              <w:t xml:space="preserve">20,000</w:t>
            </w:r>
          </w:p>
        </w:tc>
        <w:tc>
          <w:tcPr/>
          <w:p>
            <w:pPr>
              <w:pStyle w:val="Compact"/>
              <w:jc w:val="right"/>
            </w:pPr>
            <w:r>
              <w:t xml:space="preserve">0.64</w:t>
            </w:r>
          </w:p>
        </w:tc>
        <w:tc>
          <w:tcPr/>
          <w:p>
            <w:pPr>
              <w:pStyle w:val="Compact"/>
              <w:jc w:val="right"/>
            </w:pPr>
            <w:r>
              <w:t xml:space="preserve">3.54</w:t>
            </w:r>
          </w:p>
        </w:tc>
        <w:tc>
          <w:tcPr/>
          <w:p>
            <w:pPr>
              <w:pStyle w:val="Compact"/>
              <w:jc w:val="right"/>
            </w:pPr>
            <w:r>
              <w:t xml:space="preserve">15.7</w:t>
            </w:r>
          </w:p>
        </w:tc>
        <w:tc>
          <w:tcPr/>
          <w:p>
            <w:pPr>
              <w:pStyle w:val="Compact"/>
              <w:jc w:val="right"/>
            </w:pPr>
            <w:r>
              <w:t xml:space="preserve">0.00 [0.00, 0.02]</w:t>
            </w:r>
          </w:p>
        </w:tc>
        <w:tc>
          <w:tcPr/>
          <w:p>
            <w:pPr>
              <w:pStyle w:val="Compact"/>
              <w:jc w:val="right"/>
            </w:pPr>
            <w:r>
              <w:t xml:space="preserve">2.9</w:t>
            </w:r>
          </w:p>
        </w:tc>
        <w:tc>
          <w:tcPr/>
          <w:p>
            <w:pPr>
              <w:pStyle w:val="Compact"/>
              <w:jc w:val="right"/>
            </w:pPr>
            <w:r>
              <w:t xml:space="preserve">0.80 [0.69, 0.94]</w:t>
            </w:r>
          </w:p>
        </w:tc>
      </w:tr>
    </w:tbl>
    <w:p/>
    <w:p>
      <w:pPr>
        <w:pStyle w:val="TableCaption"/>
      </w:pPr>
      <w:r>
        <w:t xml:space="preserve">Table 5-2. Sensitivity of coverage to the unobservable curve shape (multipliers applied to both arms; primary model, 20,000 subjects each). These runs use an independent draw of subjects, sampling times and residual errors, so the primary-model row differs slightly from Tables 5-1 and 5-3.</w:t>
      </w:r>
    </w:p>
    <w:tbl>
      <w:tblPr>
        <w:tblStyle w:val="Table"/>
        <w:tblW w:type="pct" w:w="5000"/>
        <w:tblLook w:firstRow="1" w:lastRow="0" w:firstColumn="0" w:lastColumn="0" w:noHBand="0" w:noVBand="0" w:val="0020"/>
        <w:jc w:val="start"/>
        <w:tblCaption w:val="Table 5-2. Sensitivity of coverage to the unobservable curve shape (multipliers applied to both arms; primary model, 20,000 subjects each). These runs use an independent draw of subjects, sampling times and residual errors, so the primary-model row differs slightly from Tables 5-1 and 5-3."/>
      </w:tblPr>
      <w:tblGrid>
        <w:gridCol w:w="1433"/>
        <w:gridCol w:w="955"/>
        <w:gridCol w:w="546"/>
        <w:gridCol w:w="273"/>
        <w:gridCol w:w="1024"/>
        <w:gridCol w:w="921"/>
        <w:gridCol w:w="785"/>
        <w:gridCol w:w="648"/>
        <w:gridCol w:w="1331"/>
      </w:tblGrid>
      <w:tr>
        <w:trPr>
          <w:tblHeader w:val="true"/>
        </w:trPr>
        <w:tc>
          <w:tcPr/>
          <w:p>
            <w:pPr>
              <w:pStyle w:val="Compact"/>
              <w:jc w:val="left"/>
            </w:pPr>
            <w:r>
              <w:t xml:space="preserve">Variant</w:t>
            </w:r>
          </w:p>
        </w:tc>
        <w:tc>
          <w:tcPr/>
          <w:p>
            <w:pPr>
              <w:pStyle w:val="Compact"/>
              <w:jc w:val="right"/>
            </w:pPr>
            <w:r>
              <w:t xml:space="preserve">True extrapolated %, median</w:t>
            </w:r>
          </w:p>
        </w:tc>
        <w:tc>
          <w:tcPr/>
          <w:p>
            <w:pPr>
              <w:pStyle w:val="Compact"/>
              <w:jc w:val="right"/>
            </w:pPr>
            <w:r>
              <w:t xml:space="preserve">95th percentile</w:t>
            </w:r>
          </w:p>
        </w:tc>
        <w:tc>
          <w:tcPr/>
          <w:p>
            <w:pPr>
              <w:pStyle w:val="Compact"/>
              <w:jc w:val="right"/>
            </w:pPr>
            <w:r>
              <w:t xml:space="preserve">Maximum</w:t>
            </w:r>
          </w:p>
        </w:tc>
        <w:tc>
          <w:tcPr/>
          <w:p>
            <w:pPr>
              <w:pStyle w:val="Compact"/>
              <w:jc w:val="right"/>
            </w:pPr>
            <w:r>
              <w:t xml:space="preserve">Window coverage below 80% (%)</w:t>
            </w:r>
          </w:p>
        </w:tc>
        <w:tc>
          <w:tcPr/>
          <w:p>
            <w:pPr>
              <w:pStyle w:val="Compact"/>
              <w:jc w:val="right"/>
            </w:pPr>
            <w:r>
              <w:t xml:space="preserve">NCA extrapolated %, median</w:t>
            </w:r>
          </w:p>
        </w:tc>
        <w:tc>
          <w:tcPr/>
          <w:p>
            <w:pPr>
              <w:pStyle w:val="Compact"/>
              <w:jc w:val="right"/>
            </w:pPr>
            <w:r>
              <w:t xml:space="preserve">Reliable, (i) [(ii)] %</w:t>
            </w:r>
          </w:p>
        </w:tc>
        <w:tc>
          <w:tcPr/>
          <w:p>
            <w:pPr>
              <w:pStyle w:val="Compact"/>
              <w:jc w:val="right"/>
            </w:pPr>
            <w:r>
              <w:t xml:space="preserve">Median tlast (day)</w:t>
            </w:r>
          </w:p>
        </w:tc>
        <w:tc>
          <w:tcPr/>
          <w:p>
            <w:pPr>
              <w:pStyle w:val="Compact"/>
              <w:jc w:val="right"/>
            </w:pPr>
            <w:r>
              <w:t xml:space="preserve">AUC0-last vs observed (300 mg, ~78 kg)</w:t>
            </w:r>
          </w:p>
        </w:tc>
      </w:tr>
      <w:tr>
        <w:tc>
          <w:tcPr/>
          <w:p>
            <w:pPr>
              <w:pStyle w:val="Compact"/>
              <w:jc w:val="left"/>
            </w:pPr>
            <w:r>
              <w:t xml:space="preserve">Primary model</w:t>
            </w:r>
          </w:p>
        </w:tc>
        <w:tc>
          <w:tcPr/>
          <w:p>
            <w:pPr>
              <w:pStyle w:val="Compact"/>
              <w:jc w:val="right"/>
            </w:pPr>
            <w:r>
              <w:t xml:space="preserve">0.65</w:t>
            </w:r>
          </w:p>
        </w:tc>
        <w:tc>
          <w:tcPr/>
          <w:p>
            <w:pPr>
              <w:pStyle w:val="Compact"/>
              <w:jc w:val="right"/>
            </w:pPr>
            <w:r>
              <w:t xml:space="preserve">3.59</w:t>
            </w:r>
          </w:p>
        </w:tc>
        <w:tc>
          <w:tcPr/>
          <w:p>
            <w:pPr>
              <w:pStyle w:val="Compact"/>
              <w:jc w:val="right"/>
            </w:pPr>
            <w:r>
              <w:t xml:space="preserve">16.6</w:t>
            </w:r>
          </w:p>
        </w:tc>
        <w:tc>
          <w:tcPr/>
          <w:p>
            <w:pPr>
              <w:pStyle w:val="Compact"/>
              <w:jc w:val="right"/>
            </w:pPr>
            <w:r>
              <w:t xml:space="preserve">0.00</w:t>
            </w:r>
          </w:p>
        </w:tc>
        <w:tc>
          <w:tcPr/>
          <w:p>
            <w:pPr>
              <w:pStyle w:val="Compact"/>
              <w:jc w:val="right"/>
            </w:pPr>
            <w:r>
              <w:t xml:space="preserve">2.7</w:t>
            </w:r>
          </w:p>
        </w:tc>
        <w:tc>
          <w:tcPr/>
          <w:p>
            <w:pPr>
              <w:pStyle w:val="Compact"/>
              <w:jc w:val="right"/>
            </w:pPr>
            <w:r>
              <w:t xml:space="preserve">86.0 [80.8]</w:t>
            </w:r>
          </w:p>
        </w:tc>
        <w:tc>
          <w:tcPr/>
          <w:p>
            <w:pPr>
              <w:pStyle w:val="Compact"/>
              <w:jc w:val="right"/>
            </w:pPr>
            <w:r>
              <w:t xml:space="preserve">34.7</w:t>
            </w:r>
          </w:p>
        </w:tc>
        <w:tc>
          <w:tcPr/>
          <w:p>
            <w:pPr>
              <w:pStyle w:val="Compact"/>
              <w:jc w:val="right"/>
            </w:pPr>
            <w:r>
              <w:t xml:space="preserve">1.04</w:t>
            </w:r>
          </w:p>
        </w:tc>
      </w:tr>
      <w:tr>
        <w:tc>
          <w:tcPr/>
          <w:p>
            <w:pPr>
              <w:pStyle w:val="Compact"/>
              <w:jc w:val="left"/>
            </w:pPr>
            <w:r>
              <w:t xml:space="preserve">Km x0.5</w:t>
            </w:r>
          </w:p>
        </w:tc>
        <w:tc>
          <w:tcPr/>
          <w:p>
            <w:pPr>
              <w:pStyle w:val="Compact"/>
              <w:jc w:val="right"/>
            </w:pPr>
            <w:r>
              <w:t xml:space="preserve">0.67</w:t>
            </w:r>
          </w:p>
        </w:tc>
        <w:tc>
          <w:tcPr/>
          <w:p>
            <w:pPr>
              <w:pStyle w:val="Compact"/>
              <w:jc w:val="right"/>
            </w:pPr>
            <w:r>
              <w:t xml:space="preserve">3.67</w:t>
            </w:r>
          </w:p>
        </w:tc>
        <w:tc>
          <w:tcPr/>
          <w:p>
            <w:pPr>
              <w:pStyle w:val="Compact"/>
              <w:jc w:val="right"/>
            </w:pPr>
            <w:r>
              <w:t xml:space="preserve">17.6</w:t>
            </w:r>
          </w:p>
        </w:tc>
        <w:tc>
          <w:tcPr/>
          <w:p>
            <w:pPr>
              <w:pStyle w:val="Compact"/>
              <w:jc w:val="right"/>
            </w:pPr>
            <w:r>
              <w:t xml:space="preserve">0.00</w:t>
            </w:r>
          </w:p>
        </w:tc>
        <w:tc>
          <w:tcPr/>
          <w:p>
            <w:pPr>
              <w:pStyle w:val="Compact"/>
              <w:jc w:val="right"/>
            </w:pPr>
            <w:r>
              <w:t xml:space="preserve">2.8</w:t>
            </w:r>
          </w:p>
        </w:tc>
        <w:tc>
          <w:tcPr/>
          <w:p>
            <w:pPr>
              <w:pStyle w:val="Compact"/>
              <w:jc w:val="right"/>
            </w:pPr>
            <w:r>
              <w:t xml:space="preserve">86.3 [80.3]</w:t>
            </w:r>
          </w:p>
        </w:tc>
        <w:tc>
          <w:tcPr/>
          <w:p>
            <w:pPr>
              <w:pStyle w:val="Compact"/>
              <w:jc w:val="right"/>
            </w:pPr>
            <w:r>
              <w:t xml:space="preserve">34.7</w:t>
            </w:r>
          </w:p>
        </w:tc>
        <w:tc>
          <w:tcPr/>
          <w:p>
            <w:pPr>
              <w:pStyle w:val="Compact"/>
              <w:jc w:val="right"/>
            </w:pPr>
            <w:r>
              <w:t xml:space="preserve">1.03</w:t>
            </w:r>
          </w:p>
        </w:tc>
      </w:tr>
      <w:tr>
        <w:tc>
          <w:tcPr/>
          <w:p>
            <w:pPr>
              <w:pStyle w:val="Compact"/>
              <w:jc w:val="left"/>
            </w:pPr>
            <w:r>
              <w:t xml:space="preserve">Km x2</w:t>
            </w:r>
          </w:p>
        </w:tc>
        <w:tc>
          <w:tcPr/>
          <w:p>
            <w:pPr>
              <w:pStyle w:val="Compact"/>
              <w:jc w:val="right"/>
            </w:pPr>
            <w:r>
              <w:t xml:space="preserve">0.65</w:t>
            </w:r>
          </w:p>
        </w:tc>
        <w:tc>
          <w:tcPr/>
          <w:p>
            <w:pPr>
              <w:pStyle w:val="Compact"/>
              <w:jc w:val="right"/>
            </w:pPr>
            <w:r>
              <w:t xml:space="preserve">3.56</w:t>
            </w:r>
          </w:p>
        </w:tc>
        <w:tc>
          <w:tcPr/>
          <w:p>
            <w:pPr>
              <w:pStyle w:val="Compact"/>
              <w:jc w:val="right"/>
            </w:pPr>
            <w:r>
              <w:t xml:space="preserve">17.7</w:t>
            </w:r>
          </w:p>
        </w:tc>
        <w:tc>
          <w:tcPr/>
          <w:p>
            <w:pPr>
              <w:pStyle w:val="Compact"/>
              <w:jc w:val="right"/>
            </w:pPr>
            <w:r>
              <w:t xml:space="preserve">0.00</w:t>
            </w:r>
          </w:p>
        </w:tc>
        <w:tc>
          <w:tcPr/>
          <w:p>
            <w:pPr>
              <w:pStyle w:val="Compact"/>
              <w:jc w:val="right"/>
            </w:pPr>
            <w:r>
              <w:t xml:space="preserve">2.7</w:t>
            </w:r>
          </w:p>
        </w:tc>
        <w:tc>
          <w:tcPr/>
          <w:p>
            <w:pPr>
              <w:pStyle w:val="Compact"/>
              <w:jc w:val="right"/>
            </w:pPr>
            <w:r>
              <w:t xml:space="preserve">86.3 [81.0]</w:t>
            </w:r>
          </w:p>
        </w:tc>
        <w:tc>
          <w:tcPr/>
          <w:p>
            <w:pPr>
              <w:pStyle w:val="Compact"/>
              <w:jc w:val="right"/>
            </w:pPr>
            <w:r>
              <w:t xml:space="preserve">34.8</w:t>
            </w:r>
          </w:p>
        </w:tc>
        <w:tc>
          <w:tcPr/>
          <w:p>
            <w:pPr>
              <w:pStyle w:val="Compact"/>
              <w:jc w:val="right"/>
            </w:pPr>
            <w:r>
              <w:t xml:space="preserve">1.04</w:t>
            </w:r>
          </w:p>
        </w:tc>
      </w:tr>
      <w:tr>
        <w:tc>
          <w:tcPr/>
          <w:p>
            <w:pPr>
              <w:pStyle w:val="Compact"/>
              <w:jc w:val="left"/>
            </w:pPr>
            <w:r>
              <w:t xml:space="preserve">Km x5</w:t>
            </w:r>
          </w:p>
        </w:tc>
        <w:tc>
          <w:tcPr/>
          <w:p>
            <w:pPr>
              <w:pStyle w:val="Compact"/>
              <w:jc w:val="right"/>
            </w:pPr>
            <w:r>
              <w:t xml:space="preserve">0.55</w:t>
            </w:r>
          </w:p>
        </w:tc>
        <w:tc>
          <w:tcPr/>
          <w:p>
            <w:pPr>
              <w:pStyle w:val="Compact"/>
              <w:jc w:val="right"/>
            </w:pPr>
            <w:r>
              <w:t xml:space="preserve">3.26</w:t>
            </w:r>
          </w:p>
        </w:tc>
        <w:tc>
          <w:tcPr/>
          <w:p>
            <w:pPr>
              <w:pStyle w:val="Compact"/>
              <w:jc w:val="right"/>
            </w:pPr>
            <w:r>
              <w:t xml:space="preserve">16.4</w:t>
            </w:r>
          </w:p>
        </w:tc>
        <w:tc>
          <w:tcPr/>
          <w:p>
            <w:pPr>
              <w:pStyle w:val="Compact"/>
              <w:jc w:val="right"/>
            </w:pPr>
            <w:r>
              <w:t xml:space="preserve">0.00</w:t>
            </w:r>
          </w:p>
        </w:tc>
        <w:tc>
          <w:tcPr/>
          <w:p>
            <w:pPr>
              <w:pStyle w:val="Compact"/>
              <w:jc w:val="right"/>
            </w:pPr>
            <w:r>
              <w:t xml:space="preserve">2.3</w:t>
            </w:r>
          </w:p>
        </w:tc>
        <w:tc>
          <w:tcPr/>
          <w:p>
            <w:pPr>
              <w:pStyle w:val="Compact"/>
              <w:jc w:val="right"/>
            </w:pPr>
            <w:r>
              <w:t xml:space="preserve">86.1 [81.1]</w:t>
            </w:r>
          </w:p>
        </w:tc>
        <w:tc>
          <w:tcPr/>
          <w:p>
            <w:pPr>
              <w:pStyle w:val="Compact"/>
              <w:jc w:val="right"/>
            </w:pPr>
            <w:r>
              <w:t xml:space="preserve">34.9</w:t>
            </w:r>
          </w:p>
        </w:tc>
        <w:tc>
          <w:tcPr/>
          <w:p>
            <w:pPr>
              <w:pStyle w:val="Compact"/>
              <w:jc w:val="right"/>
            </w:pPr>
            <w:r>
              <w:t xml:space="preserve">1.04</w:t>
            </w:r>
          </w:p>
        </w:tc>
      </w:tr>
      <w:tr>
        <w:tc>
          <w:tcPr/>
          <w:p>
            <w:pPr>
              <w:pStyle w:val="Compact"/>
              <w:jc w:val="left"/>
            </w:pPr>
            <w:r>
              <w:t xml:space="preserve">Km x10</w:t>
            </w:r>
          </w:p>
        </w:tc>
        <w:tc>
          <w:tcPr/>
          <w:p>
            <w:pPr>
              <w:pStyle w:val="Compact"/>
              <w:jc w:val="right"/>
            </w:pPr>
            <w:r>
              <w:t xml:space="preserve">0.40</w:t>
            </w:r>
          </w:p>
        </w:tc>
        <w:tc>
          <w:tcPr/>
          <w:p>
            <w:pPr>
              <w:pStyle w:val="Compact"/>
              <w:jc w:val="right"/>
            </w:pPr>
            <w:r>
              <w:t xml:space="preserve">2.79</w:t>
            </w:r>
          </w:p>
        </w:tc>
        <w:tc>
          <w:tcPr/>
          <w:p>
            <w:pPr>
              <w:pStyle w:val="Compact"/>
              <w:jc w:val="right"/>
            </w:pPr>
            <w:r>
              <w:t xml:space="preserve">14.0</w:t>
            </w:r>
          </w:p>
        </w:tc>
        <w:tc>
          <w:tcPr/>
          <w:p>
            <w:pPr>
              <w:pStyle w:val="Compact"/>
              <w:jc w:val="right"/>
            </w:pPr>
            <w:r>
              <w:t xml:space="preserve">0.00</w:t>
            </w:r>
          </w:p>
        </w:tc>
        <w:tc>
          <w:tcPr/>
          <w:p>
            <w:pPr>
              <w:pStyle w:val="Compact"/>
              <w:jc w:val="right"/>
            </w:pPr>
            <w:r>
              <w:t xml:space="preserve">1.6</w:t>
            </w:r>
          </w:p>
        </w:tc>
        <w:tc>
          <w:tcPr/>
          <w:p>
            <w:pPr>
              <w:pStyle w:val="Compact"/>
              <w:jc w:val="right"/>
            </w:pPr>
            <w:r>
              <w:t xml:space="preserve">86.1 [82.6]</w:t>
            </w:r>
          </w:p>
        </w:tc>
        <w:tc>
          <w:tcPr/>
          <w:p>
            <w:pPr>
              <w:pStyle w:val="Compact"/>
              <w:jc w:val="right"/>
            </w:pPr>
            <w:r>
              <w:t xml:space="preserve">35.2</w:t>
            </w:r>
          </w:p>
        </w:tc>
        <w:tc>
          <w:tcPr/>
          <w:p>
            <w:pPr>
              <w:pStyle w:val="Compact"/>
              <w:jc w:val="right"/>
            </w:pPr>
            <w:r>
              <w:t xml:space="preserve">1.06</w:t>
            </w:r>
          </w:p>
        </w:tc>
      </w:tr>
      <w:tr>
        <w:tc>
          <w:tcPr/>
          <w:p>
            <w:pPr>
              <w:pStyle w:val="Compact"/>
              <w:jc w:val="left"/>
            </w:pPr>
            <w:r>
              <w:t xml:space="preserve">Vmax x0.8</w:t>
            </w:r>
          </w:p>
        </w:tc>
        <w:tc>
          <w:tcPr/>
          <w:p>
            <w:pPr>
              <w:pStyle w:val="Compact"/>
              <w:jc w:val="right"/>
            </w:pPr>
            <w:r>
              <w:t xml:space="preserve">0.53</w:t>
            </w:r>
          </w:p>
        </w:tc>
        <w:tc>
          <w:tcPr/>
          <w:p>
            <w:pPr>
              <w:pStyle w:val="Compact"/>
              <w:jc w:val="right"/>
            </w:pPr>
            <w:r>
              <w:t xml:space="preserve">2.80</w:t>
            </w:r>
          </w:p>
        </w:tc>
        <w:tc>
          <w:tcPr/>
          <w:p>
            <w:pPr>
              <w:pStyle w:val="Compact"/>
              <w:jc w:val="right"/>
            </w:pPr>
            <w:r>
              <w:t xml:space="preserve">14.2</w:t>
            </w:r>
          </w:p>
        </w:tc>
        <w:tc>
          <w:tcPr/>
          <w:p>
            <w:pPr>
              <w:pStyle w:val="Compact"/>
              <w:jc w:val="right"/>
            </w:pPr>
            <w:r>
              <w:t xml:space="preserve">0.00</w:t>
            </w:r>
          </w:p>
        </w:tc>
        <w:tc>
          <w:tcPr/>
          <w:p>
            <w:pPr>
              <w:pStyle w:val="Compact"/>
              <w:jc w:val="right"/>
            </w:pPr>
            <w:r>
              <w:t xml:space="preserve">2.2</w:t>
            </w:r>
          </w:p>
        </w:tc>
        <w:tc>
          <w:tcPr/>
          <w:p>
            <w:pPr>
              <w:pStyle w:val="Compact"/>
              <w:jc w:val="right"/>
            </w:pPr>
            <w:r>
              <w:t xml:space="preserve">90.5 [85.0]</w:t>
            </w:r>
          </w:p>
        </w:tc>
        <w:tc>
          <w:tcPr/>
          <w:p>
            <w:pPr>
              <w:pStyle w:val="Compact"/>
              <w:jc w:val="right"/>
            </w:pPr>
            <w:r>
              <w:t xml:space="preserve">41.3</w:t>
            </w:r>
          </w:p>
        </w:tc>
        <w:tc>
          <w:tcPr/>
          <w:p>
            <w:pPr>
              <w:pStyle w:val="Compact"/>
              <w:jc w:val="right"/>
            </w:pPr>
            <w:r>
              <w:t xml:space="preserve">1.18</w:t>
            </w:r>
          </w:p>
        </w:tc>
      </w:tr>
      <w:tr>
        <w:tc>
          <w:tcPr/>
          <w:p>
            <w:pPr>
              <w:pStyle w:val="Compact"/>
              <w:jc w:val="left"/>
            </w:pPr>
            <w:r>
              <w:t xml:space="preserve">Vmax x1.25</w:t>
            </w:r>
          </w:p>
        </w:tc>
        <w:tc>
          <w:tcPr/>
          <w:p>
            <w:pPr>
              <w:pStyle w:val="Compact"/>
              <w:jc w:val="right"/>
            </w:pPr>
            <w:r>
              <w:t xml:space="preserve">0.93</w:t>
            </w:r>
          </w:p>
        </w:tc>
        <w:tc>
          <w:tcPr/>
          <w:p>
            <w:pPr>
              <w:pStyle w:val="Compact"/>
              <w:jc w:val="right"/>
            </w:pPr>
            <w:r>
              <w:t xml:space="preserve">5.29</w:t>
            </w:r>
          </w:p>
        </w:tc>
        <w:tc>
          <w:tcPr/>
          <w:p>
            <w:pPr>
              <w:pStyle w:val="Compact"/>
              <w:jc w:val="right"/>
            </w:pPr>
            <w:r>
              <w:t xml:space="preserve">19.9</w:t>
            </w:r>
          </w:p>
        </w:tc>
        <w:tc>
          <w:tcPr/>
          <w:p>
            <w:pPr>
              <w:pStyle w:val="Compact"/>
              <w:jc w:val="right"/>
            </w:pPr>
            <w:r>
              <w:t xml:space="preserve">0.00</w:t>
            </w:r>
          </w:p>
        </w:tc>
        <w:tc>
          <w:tcPr/>
          <w:p>
            <w:pPr>
              <w:pStyle w:val="Compact"/>
              <w:jc w:val="right"/>
            </w:pPr>
            <w:r>
              <w:t xml:space="preserve">3.6</w:t>
            </w:r>
          </w:p>
        </w:tc>
        <w:tc>
          <w:tcPr/>
          <w:p>
            <w:pPr>
              <w:pStyle w:val="Compact"/>
              <w:jc w:val="right"/>
            </w:pPr>
            <w:r>
              <w:t xml:space="preserve">79.4 [72.5]</w:t>
            </w:r>
          </w:p>
        </w:tc>
        <w:tc>
          <w:tcPr/>
          <w:p>
            <w:pPr>
              <w:pStyle w:val="Compact"/>
              <w:jc w:val="right"/>
            </w:pPr>
            <w:r>
              <w:t xml:space="preserve">28.2</w:t>
            </w:r>
          </w:p>
        </w:tc>
        <w:tc>
          <w:tcPr/>
          <w:p>
            <w:pPr>
              <w:pStyle w:val="Compact"/>
              <w:jc w:val="right"/>
            </w:pPr>
            <w:r>
              <w:t xml:space="preserve">0.89</w:t>
            </w:r>
          </w:p>
        </w:tc>
      </w:tr>
      <w:tr>
        <w:tc>
          <w:tcPr/>
          <w:p>
            <w:pPr>
              <w:pStyle w:val="Compact"/>
              <w:jc w:val="left"/>
            </w:pPr>
            <w:r>
              <w:t xml:space="preserve">Vmax x0.5 (stress test; fails validation)</w:t>
            </w:r>
          </w:p>
        </w:tc>
        <w:tc>
          <w:tcPr/>
          <w:p>
            <w:pPr>
              <w:pStyle w:val="Compact"/>
              <w:jc w:val="right"/>
            </w:pPr>
            <w:r>
              <w:t xml:space="preserve">0.63</w:t>
            </w:r>
          </w:p>
        </w:tc>
        <w:tc>
          <w:tcPr/>
          <w:p>
            <w:pPr>
              <w:pStyle w:val="Compact"/>
              <w:jc w:val="right"/>
            </w:pPr>
            <w:r>
              <w:t xml:space="preserve">6.41</w:t>
            </w:r>
          </w:p>
        </w:tc>
        <w:tc>
          <w:tcPr/>
          <w:p>
            <w:pPr>
              <w:pStyle w:val="Compact"/>
              <w:jc w:val="right"/>
            </w:pPr>
            <w:r>
              <w:t xml:space="preserve">23.1</w:t>
            </w:r>
          </w:p>
        </w:tc>
        <w:tc>
          <w:tcPr/>
          <w:p>
            <w:pPr>
              <w:pStyle w:val="Compact"/>
              <w:jc w:val="right"/>
            </w:pPr>
            <w:r>
              <w:t xml:space="preserve">0.04</w:t>
            </w:r>
          </w:p>
        </w:tc>
        <w:tc>
          <w:tcPr/>
          <w:p>
            <w:pPr>
              <w:pStyle w:val="Compact"/>
              <w:jc w:val="right"/>
            </w:pPr>
            <w:r>
              <w:t xml:space="preserve">2.3</w:t>
            </w:r>
          </w:p>
        </w:tc>
        <w:tc>
          <w:tcPr/>
          <w:p>
            <w:pPr>
              <w:pStyle w:val="Compact"/>
              <w:jc w:val="right"/>
            </w:pPr>
            <w:r>
              <w:t xml:space="preserve">92.9 [80.9]</w:t>
            </w:r>
          </w:p>
        </w:tc>
        <w:tc>
          <w:tcPr/>
          <w:p>
            <w:pPr>
              <w:pStyle w:val="Compact"/>
              <w:jc w:val="right"/>
            </w:pPr>
            <w:r>
              <w:t xml:space="preserve">55.0</w:t>
            </w:r>
          </w:p>
        </w:tc>
        <w:tc>
          <w:tcPr/>
          <w:p>
            <w:pPr>
              <w:pStyle w:val="Compact"/>
              <w:jc w:val="right"/>
            </w:pPr>
            <w:r>
              <w:t xml:space="preserve">1.48</w:t>
            </w:r>
          </w:p>
        </w:tc>
      </w:tr>
    </w:tbl>
    <w:p>
      <w:pPr>
        <w:pStyle w:val="BodyText"/>
      </w:pPr>
      <w:r>
        <w:rPr>
          <w:bCs/>
          <w:b/>
        </w:rPr>
        <w:t xml:space="preserve">Coverage:</w:t>
      </w:r>
    </w:p>
    <w:p>
      <w:pPr>
        <w:numPr>
          <w:ilvl w:val="0"/>
          <w:numId w:val="1030"/>
        </w:numPr>
        <w:pStyle w:val="Compact"/>
      </w:pPr>
      <w:r>
        <w:t xml:space="preserve">In 95% of subjects the window coverage is at least 94.7%. This holds under both models and all curve-shape variants that remain consistent with the observed data (the lowest value is for Vmax x1.25).</w:t>
      </w:r>
    </w:p>
    <w:p>
      <w:pPr>
        <w:numPr>
          <w:ilvl w:val="0"/>
          <w:numId w:val="1030"/>
        </w:numPr>
        <w:pStyle w:val="Compact"/>
      </w:pPr>
      <w:r>
        <w:t xml:space="preserve">No subject has a window coverage below 80% in these variants.</w:t>
      </w:r>
    </w:p>
    <w:p>
      <w:pPr>
        <w:numPr>
          <w:ilvl w:val="0"/>
          <w:numId w:val="1030"/>
        </w:numPr>
        <w:pStyle w:val="Compact"/>
      </w:pPr>
      <w:r>
        <w:t xml:space="preserve">In the Vmax x0.5 stress test, which does not match the observed exposure, the 95th percentile rises to 6.41%.</w:t>
      </w:r>
    </w:p>
    <w:p>
      <w:pPr>
        <w:pStyle w:val="FirstParagraph"/>
      </w:pPr>
      <w:r>
        <w:rPr>
          <w:bCs/>
          <w:b/>
        </w:rPr>
        <w:t xml:space="preserve">NCA extrapolation overstates the tail.</w:t>
      </w:r>
      <w:r>
        <w:t xml:space="preserve"> </w:t>
      </w:r>
      <w:r>
        <w:t xml:space="preserve">The NCA-estimated extrapolation is about 4.2 times the true value at the median: 2.7% against 0.65% in the primary model. This is the direct consequence of estimating lambda-z before the cliff.</w:t>
      </w:r>
    </w:p>
    <w:p>
      <w:pPr>
        <w:pStyle w:val="BodyText"/>
      </w:pPr>
      <w:r>
        <w:rPr>
          <w:bCs/>
          <w:b/>
        </w:rPr>
        <w:t xml:space="preserve">ADA-like subgroup.</w:t>
      </w:r>
      <w:r>
        <w:t xml:space="preserve"> </w:t>
      </w:r>
      <w:r>
        <w:t xml:space="preserve">In the subgroup whose linear clearance doubles after Day 14 (10% of subjects), the median true extrapolation is 0.65% (0.68% in the remaining subjects), and window coverage below 80% is 0.00%.</w:t>
      </w:r>
    </w:p>
    <w:p>
      <w:pPr>
        <w:pStyle w:val="BodyText"/>
      </w:pPr>
      <w:r>
        <w:rPr>
          <w:bCs/>
          <w:b/>
        </w:rPr>
        <w:t xml:space="preserve">Observed-to-true ratio.</w:t>
      </w:r>
      <w:r>
        <w:t xml:space="preserve"> </w:t>
      </w:r>
      <w:r>
        <w:t xml:space="preserve">The observed AUC0-last and the NCA AUC0-inf of each subject can be compared with the true AUC0-inf of the same subject (Table 5-3; trial population, 20,000 subjects per model).</w:t>
      </w:r>
    </w:p>
    <w:p>
      <w:pPr>
        <w:pStyle w:val="TableCaption"/>
      </w:pPr>
      <w:r>
        <w:t xml:space="preserve">Table 5-3. Trial population: window coverage and observed-to-true ratios of AUC0-last and NCA AUC0-inf at the subject level (planned schedule, 300 mg, 20,000 subjects per model).</w:t>
      </w:r>
    </w:p>
    <w:tbl>
      <w:tblPr>
        <w:tblStyle w:val="Table"/>
        <w:tblW w:type="pct" w:w="5000"/>
        <w:tblLook w:firstRow="1" w:lastRow="0" w:firstColumn="0" w:lastColumn="0" w:noHBand="0" w:noVBand="0" w:val="0020"/>
        <w:jc w:val="start"/>
        <w:tblCaption w:val="Table 5-3. Trial population: window coverage and observed-to-true ratios of AUC0-last and NCA AUC0-inf at the subject level (planned schedule, 300 mg, 20,000 subjects per model)."/>
      </w:tblPr>
      <w:tblGrid>
        <w:gridCol w:w="639"/>
        <w:gridCol w:w="3689"/>
        <w:gridCol w:w="442"/>
        <w:gridCol w:w="344"/>
        <w:gridCol w:w="737"/>
        <w:gridCol w:w="787"/>
        <w:gridCol w:w="393"/>
        <w:gridCol w:w="393"/>
        <w:gridCol w:w="491"/>
      </w:tblGrid>
      <w:tr>
        <w:trPr>
          <w:tblHeader w:val="true"/>
        </w:trPr>
        <w:tc>
          <w:tcPr/>
          <w:p>
            <w:pPr>
              <w:pStyle w:val="Compact"/>
              <w:jc w:val="left"/>
            </w:pPr>
            <w:r>
              <w:t xml:space="preserve">Model</w:t>
            </w:r>
          </w:p>
        </w:tc>
        <w:tc>
          <w:tcPr/>
          <w:p>
            <w:pPr>
              <w:pStyle w:val="Compact"/>
              <w:jc w:val="left"/>
            </w:pPr>
            <w:r>
              <w:t xml:space="preserve">Quantity</w:t>
            </w:r>
          </w:p>
        </w:tc>
        <w:tc>
          <w:tcPr/>
          <w:p>
            <w:pPr>
              <w:pStyle w:val="Compact"/>
              <w:jc w:val="right"/>
            </w:pPr>
            <w:r>
              <w:t xml:space="preserve">Subjects</w:t>
            </w:r>
          </w:p>
        </w:tc>
        <w:tc>
          <w:tcPr/>
          <w:p>
            <w:pPr>
              <w:pStyle w:val="Compact"/>
              <w:jc w:val="right"/>
            </w:pPr>
            <w:r>
              <w:t xml:space="preserve">Median</w:t>
            </w:r>
          </w:p>
        </w:tc>
        <w:tc>
          <w:tcPr/>
          <w:p>
            <w:pPr>
              <w:pStyle w:val="Compact"/>
              <w:jc w:val="right"/>
            </w:pPr>
            <w:r>
              <w:t xml:space="preserve">5th percentile</w:t>
            </w:r>
          </w:p>
        </w:tc>
        <w:tc>
          <w:tcPr/>
          <w:p>
            <w:pPr>
              <w:pStyle w:val="Compact"/>
              <w:jc w:val="right"/>
            </w:pPr>
            <w:r>
              <w:t xml:space="preserve">95th percentile</w:t>
            </w:r>
          </w:p>
        </w:tc>
        <w:tc>
          <w:tcPr/>
          <w:p>
            <w:pPr>
              <w:pStyle w:val="Compact"/>
              <w:jc w:val="right"/>
            </w:pPr>
            <w:r>
              <w:t xml:space="preserve">Minimum</w:t>
            </w:r>
          </w:p>
        </w:tc>
        <w:tc>
          <w:tcPr/>
          <w:p>
            <w:pPr>
              <w:pStyle w:val="Compact"/>
              <w:jc w:val="right"/>
            </w:pPr>
            <w:r>
              <w:t xml:space="preserve">Maximum</w:t>
            </w:r>
          </w:p>
        </w:tc>
        <w:tc>
          <w:tcPr/>
          <w:p>
            <w:pPr>
              <w:pStyle w:val="Compact"/>
              <w:jc w:val="right"/>
            </w:pPr>
            <w:r>
              <w:t xml:space="preserve">SD of log</w:t>
            </w:r>
          </w:p>
        </w:tc>
      </w:tr>
      <w:tr>
        <w:tc>
          <w:tcPr/>
          <w:p>
            <w:pPr>
              <w:pStyle w:val="Compact"/>
              <w:jc w:val="left"/>
            </w:pPr>
            <w:r>
              <w:t xml:space="preserve">2016 model</w:t>
            </w:r>
          </w:p>
        </w:tc>
        <w:tc>
          <w:tcPr/>
          <w:p>
            <w:pPr>
              <w:pStyle w:val="Compact"/>
              <w:jc w:val="left"/>
            </w:pPr>
            <w:r>
              <w:t xml:space="preserve">Window coverage (true AUC0-tlast / true AUC0-inf), all subjects</w:t>
            </w:r>
          </w:p>
        </w:tc>
        <w:tc>
          <w:tcPr/>
          <w:p>
            <w:pPr>
              <w:pStyle w:val="Compact"/>
              <w:jc w:val="right"/>
            </w:pPr>
            <w:r>
              <w:t xml:space="preserve">20,000</w:t>
            </w:r>
          </w:p>
        </w:tc>
        <w:tc>
          <w:tcPr/>
          <w:p>
            <w:pPr>
              <w:pStyle w:val="Compact"/>
              <w:jc w:val="right"/>
            </w:pPr>
            <w:r>
              <w:t xml:space="preserve">0.993</w:t>
            </w:r>
          </w:p>
        </w:tc>
        <w:tc>
          <w:tcPr/>
          <w:p>
            <w:pPr>
              <w:pStyle w:val="Compact"/>
              <w:jc w:val="right"/>
            </w:pPr>
            <w:r>
              <w:t xml:space="preserve">0.964</w:t>
            </w:r>
          </w:p>
        </w:tc>
        <w:tc>
          <w:tcPr/>
          <w:p>
            <w:pPr>
              <w:pStyle w:val="Compact"/>
              <w:jc w:val="right"/>
            </w:pPr>
            <w:r>
              <w:t xml:space="preserve">1.000</w:t>
            </w:r>
          </w:p>
        </w:tc>
        <w:tc>
          <w:tcPr/>
          <w:p>
            <w:pPr>
              <w:pStyle w:val="Compact"/>
              <w:jc w:val="right"/>
            </w:pPr>
            <w:r>
              <w:t xml:space="preserve">0.848</w:t>
            </w:r>
          </w:p>
        </w:tc>
        <w:tc>
          <w:tcPr/>
          <w:p>
            <w:pPr>
              <w:pStyle w:val="Compact"/>
              <w:jc w:val="right"/>
            </w:pPr>
            <w:r>
              <w:t xml:space="preserve">1.000</w:t>
            </w:r>
          </w:p>
        </w:tc>
        <w:tc>
          <w:tcPr/>
          <w:p>
            <w:pPr>
              <w:pStyle w:val="Compact"/>
              <w:jc w:val="right"/>
            </w:pPr>
            <w:r>
              <w:t xml:space="preserve">0.013</w:t>
            </w:r>
          </w:p>
        </w:tc>
      </w:tr>
      <w:tr>
        <w:tc>
          <w:tcPr/>
          <w:p>
            <w:pPr>
              <w:pStyle w:val="Compact"/>
              <w:jc w:val="left"/>
            </w:pPr>
            <w:r>
              <w:t xml:space="preserve">2016 model</w:t>
            </w:r>
          </w:p>
        </w:tc>
        <w:tc>
          <w:tcPr/>
          <w:p>
            <w:pPr>
              <w:pStyle w:val="Compact"/>
              <w:jc w:val="left"/>
            </w:pPr>
            <w:r>
              <w:t xml:space="preserve">Observed AUC0-last / true AUC0-inf, all subjects</w:t>
            </w:r>
          </w:p>
        </w:tc>
        <w:tc>
          <w:tcPr/>
          <w:p>
            <w:pPr>
              <w:pStyle w:val="Compact"/>
              <w:jc w:val="right"/>
            </w:pPr>
            <w:r>
              <w:t xml:space="preserve">20,000</w:t>
            </w:r>
          </w:p>
        </w:tc>
        <w:tc>
          <w:tcPr/>
          <w:p>
            <w:pPr>
              <w:pStyle w:val="Compact"/>
              <w:jc w:val="right"/>
            </w:pPr>
            <w:r>
              <w:t xml:space="preserve">0.962</w:t>
            </w:r>
          </w:p>
        </w:tc>
        <w:tc>
          <w:tcPr/>
          <w:p>
            <w:pPr>
              <w:pStyle w:val="Compact"/>
              <w:jc w:val="right"/>
            </w:pPr>
            <w:r>
              <w:t xml:space="preserve">0.811</w:t>
            </w:r>
          </w:p>
        </w:tc>
        <w:tc>
          <w:tcPr/>
          <w:p>
            <w:pPr>
              <w:pStyle w:val="Compact"/>
              <w:jc w:val="right"/>
            </w:pPr>
            <w:r>
              <w:t xml:space="preserve">1.111</w:t>
            </w:r>
          </w:p>
        </w:tc>
        <w:tc>
          <w:tcPr/>
          <w:p>
            <w:pPr>
              <w:pStyle w:val="Compact"/>
              <w:jc w:val="right"/>
            </w:pPr>
            <w:r>
              <w:t xml:space="preserve">0.598</w:t>
            </w:r>
          </w:p>
        </w:tc>
        <w:tc>
          <w:tcPr/>
          <w:p>
            <w:pPr>
              <w:pStyle w:val="Compact"/>
              <w:jc w:val="right"/>
            </w:pPr>
            <w:r>
              <w:t xml:space="preserve">1.316</w:t>
            </w:r>
          </w:p>
        </w:tc>
        <w:tc>
          <w:tcPr/>
          <w:p>
            <w:pPr>
              <w:pStyle w:val="Compact"/>
              <w:jc w:val="right"/>
            </w:pPr>
            <w:r>
              <w:t xml:space="preserve">0.096</w:t>
            </w:r>
          </w:p>
        </w:tc>
      </w:tr>
      <w:tr>
        <w:tc>
          <w:tcPr/>
          <w:p>
            <w:pPr>
              <w:pStyle w:val="Compact"/>
              <w:jc w:val="left"/>
            </w:pPr>
            <w:r>
              <w:t xml:space="preserve">2016 model</w:t>
            </w:r>
          </w:p>
        </w:tc>
        <w:tc>
          <w:tcPr/>
          <w:p>
            <w:pPr>
              <w:pStyle w:val="Compact"/>
              <w:jc w:val="left"/>
            </w:pPr>
            <w:r>
              <w:t xml:space="preserve">Observed AUC0-last / true AUC0-inf, lambda-z estimable</w:t>
            </w:r>
          </w:p>
        </w:tc>
        <w:tc>
          <w:tcPr/>
          <w:p>
            <w:pPr>
              <w:pStyle w:val="Compact"/>
              <w:jc w:val="right"/>
            </w:pPr>
            <w:r>
              <w:t xml:space="preserve">19,708</w:t>
            </w:r>
          </w:p>
        </w:tc>
        <w:tc>
          <w:tcPr/>
          <w:p>
            <w:pPr>
              <w:pStyle w:val="Compact"/>
              <w:jc w:val="right"/>
            </w:pPr>
            <w:r>
              <w:t xml:space="preserve">0.963</w:t>
            </w:r>
          </w:p>
        </w:tc>
        <w:tc>
          <w:tcPr/>
          <w:p>
            <w:pPr>
              <w:pStyle w:val="Compact"/>
              <w:jc w:val="right"/>
            </w:pPr>
            <w:r>
              <w:t xml:space="preserve">0.811</w:t>
            </w:r>
          </w:p>
        </w:tc>
        <w:tc>
          <w:tcPr/>
          <w:p>
            <w:pPr>
              <w:pStyle w:val="Compact"/>
              <w:jc w:val="right"/>
            </w:pPr>
            <w:r>
              <w:t xml:space="preserve">1.112</w:t>
            </w:r>
          </w:p>
        </w:tc>
        <w:tc>
          <w:tcPr/>
          <w:p>
            <w:pPr>
              <w:pStyle w:val="Compact"/>
              <w:jc w:val="right"/>
            </w:pPr>
            <w:r>
              <w:t xml:space="preserve">0.598</w:t>
            </w:r>
          </w:p>
        </w:tc>
        <w:tc>
          <w:tcPr/>
          <w:p>
            <w:pPr>
              <w:pStyle w:val="Compact"/>
              <w:jc w:val="right"/>
            </w:pPr>
            <w:r>
              <w:t xml:space="preserve">1.316</w:t>
            </w:r>
          </w:p>
        </w:tc>
        <w:tc>
          <w:tcPr/>
          <w:p>
            <w:pPr>
              <w:pStyle w:val="Compact"/>
              <w:jc w:val="right"/>
            </w:pPr>
            <w:r>
              <w:t xml:space="preserve">0.096</w:t>
            </w:r>
          </w:p>
        </w:tc>
      </w:tr>
      <w:tr>
        <w:tc>
          <w:tcPr/>
          <w:p>
            <w:pPr>
              <w:pStyle w:val="Compact"/>
              <w:jc w:val="left"/>
            </w:pPr>
            <w:r>
              <w:t xml:space="preserve">2016 model</w:t>
            </w:r>
          </w:p>
        </w:tc>
        <w:tc>
          <w:tcPr/>
          <w:p>
            <w:pPr>
              <w:pStyle w:val="Compact"/>
              <w:jc w:val="left"/>
            </w:pPr>
            <w:r>
              <w:t xml:space="preserve">NCA AUC0-inf / true AUC0-inf, lambda-z estimable (rule B)</w:t>
            </w:r>
          </w:p>
        </w:tc>
        <w:tc>
          <w:tcPr/>
          <w:p>
            <w:pPr>
              <w:pStyle w:val="Compact"/>
              <w:jc w:val="right"/>
            </w:pPr>
            <w:r>
              <w:t xml:space="preserve">19,708</w:t>
            </w:r>
          </w:p>
        </w:tc>
        <w:tc>
          <w:tcPr/>
          <w:p>
            <w:pPr>
              <w:pStyle w:val="Compact"/>
              <w:jc w:val="right"/>
            </w:pPr>
            <w:r>
              <w:t xml:space="preserve">1.003</w:t>
            </w:r>
          </w:p>
        </w:tc>
        <w:tc>
          <w:tcPr/>
          <w:p>
            <w:pPr>
              <w:pStyle w:val="Compact"/>
              <w:jc w:val="right"/>
            </w:pPr>
            <w:r>
              <w:t xml:space="preserve">0.847</w:t>
            </w:r>
          </w:p>
        </w:tc>
        <w:tc>
          <w:tcPr/>
          <w:p>
            <w:pPr>
              <w:pStyle w:val="Compact"/>
              <w:jc w:val="right"/>
            </w:pPr>
            <w:r>
              <w:t xml:space="preserve">1.165</w:t>
            </w:r>
          </w:p>
        </w:tc>
        <w:tc>
          <w:tcPr/>
          <w:p>
            <w:pPr>
              <w:pStyle w:val="Compact"/>
              <w:jc w:val="right"/>
            </w:pPr>
            <w:r>
              <w:t xml:space="preserve">0.622</w:t>
            </w:r>
          </w:p>
        </w:tc>
        <w:tc>
          <w:tcPr/>
          <w:p>
            <w:pPr>
              <w:pStyle w:val="Compact"/>
              <w:jc w:val="right"/>
            </w:pPr>
            <w:r>
              <w:t xml:space="preserve">5.281</w:t>
            </w:r>
          </w:p>
        </w:tc>
        <w:tc>
          <w:tcPr/>
          <w:p>
            <w:pPr>
              <w:pStyle w:val="Compact"/>
              <w:jc w:val="right"/>
            </w:pPr>
            <w:r>
              <w:t xml:space="preserve">0.101</w:t>
            </w:r>
          </w:p>
        </w:tc>
      </w:tr>
      <w:tr>
        <w:tc>
          <w:tcPr/>
          <w:p>
            <w:pPr>
              <w:pStyle w:val="Compact"/>
              <w:jc w:val="left"/>
            </w:pPr>
            <w:r>
              <w:t xml:space="preserve">2016 model</w:t>
            </w:r>
          </w:p>
        </w:tc>
        <w:tc>
          <w:tcPr/>
          <w:p>
            <w:pPr>
              <w:pStyle w:val="Compact"/>
              <w:jc w:val="left"/>
            </w:pPr>
            <w:r>
              <w:t xml:space="preserve">Observed AUC0-last / true AUC0-inf, meeting set (i)</w:t>
            </w:r>
          </w:p>
        </w:tc>
        <w:tc>
          <w:tcPr/>
          <w:p>
            <w:pPr>
              <w:pStyle w:val="Compact"/>
              <w:jc w:val="right"/>
            </w:pPr>
            <w:r>
              <w:t xml:space="preserve">17,313</w:t>
            </w:r>
          </w:p>
        </w:tc>
        <w:tc>
          <w:tcPr/>
          <w:p>
            <w:pPr>
              <w:pStyle w:val="Compact"/>
              <w:jc w:val="right"/>
            </w:pPr>
            <w:r>
              <w:t xml:space="preserve">0.967</w:t>
            </w:r>
          </w:p>
        </w:tc>
        <w:tc>
          <w:tcPr/>
          <w:p>
            <w:pPr>
              <w:pStyle w:val="Compact"/>
              <w:jc w:val="right"/>
            </w:pPr>
            <w:r>
              <w:t xml:space="preserve">0.819</w:t>
            </w:r>
          </w:p>
        </w:tc>
        <w:tc>
          <w:tcPr/>
          <w:p>
            <w:pPr>
              <w:pStyle w:val="Compact"/>
              <w:jc w:val="right"/>
            </w:pPr>
            <w:r>
              <w:t xml:space="preserve">1.115</w:t>
            </w:r>
          </w:p>
        </w:tc>
        <w:tc>
          <w:tcPr/>
          <w:p>
            <w:pPr>
              <w:pStyle w:val="Compact"/>
              <w:jc w:val="right"/>
            </w:pPr>
            <w:r>
              <w:t xml:space="preserve">0.614</w:t>
            </w:r>
          </w:p>
        </w:tc>
        <w:tc>
          <w:tcPr/>
          <w:p>
            <w:pPr>
              <w:pStyle w:val="Compact"/>
              <w:jc w:val="right"/>
            </w:pPr>
            <w:r>
              <w:t xml:space="preserve">1.316</w:t>
            </w:r>
          </w:p>
        </w:tc>
        <w:tc>
          <w:tcPr/>
          <w:p>
            <w:pPr>
              <w:pStyle w:val="Compact"/>
              <w:jc w:val="right"/>
            </w:pPr>
            <w:r>
              <w:t xml:space="preserve">0.094</w:t>
            </w:r>
          </w:p>
        </w:tc>
      </w:tr>
      <w:tr>
        <w:tc>
          <w:tcPr/>
          <w:p>
            <w:pPr>
              <w:pStyle w:val="Compact"/>
              <w:jc w:val="left"/>
            </w:pPr>
            <w:r>
              <w:t xml:space="preserve">2016 model</w:t>
            </w:r>
          </w:p>
        </w:tc>
        <w:tc>
          <w:tcPr/>
          <w:p>
            <w:pPr>
              <w:pStyle w:val="Compact"/>
              <w:jc w:val="left"/>
            </w:pPr>
            <w:r>
              <w:t xml:space="preserve">NCA AUC0-inf / true AUC0-inf, meeting set (i) (rule A)</w:t>
            </w:r>
          </w:p>
        </w:tc>
        <w:tc>
          <w:tcPr/>
          <w:p>
            <w:pPr>
              <w:pStyle w:val="Compact"/>
              <w:jc w:val="right"/>
            </w:pPr>
            <w:r>
              <w:t xml:space="preserve">17,313</w:t>
            </w:r>
          </w:p>
        </w:tc>
        <w:tc>
          <w:tcPr/>
          <w:p>
            <w:pPr>
              <w:pStyle w:val="Compact"/>
              <w:jc w:val="right"/>
            </w:pPr>
            <w:r>
              <w:t xml:space="preserve">1.005</w:t>
            </w:r>
          </w:p>
        </w:tc>
        <w:tc>
          <w:tcPr/>
          <w:p>
            <w:pPr>
              <w:pStyle w:val="Compact"/>
              <w:jc w:val="right"/>
            </w:pPr>
            <w:r>
              <w:t xml:space="preserve">0.852</w:t>
            </w:r>
          </w:p>
        </w:tc>
        <w:tc>
          <w:tcPr/>
          <w:p>
            <w:pPr>
              <w:pStyle w:val="Compact"/>
              <w:jc w:val="right"/>
            </w:pPr>
            <w:r>
              <w:t xml:space="preserve">1.160</w:t>
            </w:r>
          </w:p>
        </w:tc>
        <w:tc>
          <w:tcPr/>
          <w:p>
            <w:pPr>
              <w:pStyle w:val="Compact"/>
              <w:jc w:val="right"/>
            </w:pPr>
            <w:r>
              <w:t xml:space="preserve">0.622</w:t>
            </w:r>
          </w:p>
        </w:tc>
        <w:tc>
          <w:tcPr/>
          <w:p>
            <w:pPr>
              <w:pStyle w:val="Compact"/>
              <w:jc w:val="right"/>
            </w:pPr>
            <w:r>
              <w:t xml:space="preserve">1.401</w:t>
            </w:r>
          </w:p>
        </w:tc>
        <w:tc>
          <w:tcPr/>
          <w:p>
            <w:pPr>
              <w:pStyle w:val="Compact"/>
              <w:jc w:val="right"/>
            </w:pPr>
            <w:r>
              <w:t xml:space="preserve">0.094</w:t>
            </w:r>
          </w:p>
        </w:tc>
      </w:tr>
      <w:tr>
        <w:tc>
          <w:tcPr/>
          <w:p>
            <w:pPr>
              <w:pStyle w:val="Compact"/>
              <w:jc w:val="left"/>
            </w:pPr>
            <w:r>
              <w:t xml:space="preserve">2016 model</w:t>
            </w:r>
          </w:p>
        </w:tc>
        <w:tc>
          <w:tcPr/>
          <w:p>
            <w:pPr>
              <w:pStyle w:val="Compact"/>
              <w:jc w:val="left"/>
            </w:pPr>
            <w:r>
              <w:t xml:space="preserve">Extrapolation factor NCA AUC0-inf / observed AUC0-last, lambda-z estimable</w:t>
            </w:r>
          </w:p>
        </w:tc>
        <w:tc>
          <w:tcPr/>
          <w:p>
            <w:pPr>
              <w:pStyle w:val="Compact"/>
              <w:jc w:val="right"/>
            </w:pPr>
            <w:r>
              <w:t xml:space="preserve">19,708</w:t>
            </w:r>
          </w:p>
        </w:tc>
        <w:tc>
          <w:tcPr/>
          <w:p>
            <w:pPr>
              <w:pStyle w:val="Compact"/>
              <w:jc w:val="right"/>
            </w:pPr>
            <w:r>
              <w:t xml:space="preserve">1.028</w:t>
            </w:r>
          </w:p>
        </w:tc>
        <w:tc>
          <w:tcPr/>
          <w:p>
            <w:pPr>
              <w:pStyle w:val="Compact"/>
              <w:jc w:val="right"/>
            </w:pPr>
            <w:r>
              <w:t xml:space="preserve">1.002</w:t>
            </w:r>
          </w:p>
        </w:tc>
        <w:tc>
          <w:tcPr/>
          <w:p>
            <w:pPr>
              <w:pStyle w:val="Compact"/>
              <w:jc w:val="right"/>
            </w:pPr>
            <w:r>
              <w:t xml:space="preserve">1.138</w:t>
            </w:r>
          </w:p>
        </w:tc>
        <w:tc>
          <w:tcPr/>
          <w:p>
            <w:pPr>
              <w:pStyle w:val="Compact"/>
              <w:jc w:val="right"/>
            </w:pPr>
            <w:r>
              <w:t xml:space="preserve">1.000</w:t>
            </w:r>
          </w:p>
        </w:tc>
        <w:tc>
          <w:tcPr/>
          <w:p>
            <w:pPr>
              <w:pStyle w:val="Compact"/>
              <w:jc w:val="right"/>
            </w:pPr>
            <w:r>
              <w:t xml:space="preserve">7.192</w:t>
            </w:r>
          </w:p>
        </w:tc>
        <w:tc>
          <w:tcPr/>
          <w:p>
            <w:pPr>
              <w:pStyle w:val="Compact"/>
              <w:jc w:val="right"/>
            </w:pPr>
            <w:r>
              <w:t xml:space="preserve">0.057</w:t>
            </w:r>
          </w:p>
        </w:tc>
      </w:tr>
      <w:tr>
        <w:tc>
          <w:tcPr/>
          <w:p>
            <w:pPr>
              <w:pStyle w:val="Compact"/>
              <w:jc w:val="left"/>
            </w:pPr>
            <w:r>
              <w:t xml:space="preserve">2020 Model 1</w:t>
            </w:r>
          </w:p>
        </w:tc>
        <w:tc>
          <w:tcPr/>
          <w:p>
            <w:pPr>
              <w:pStyle w:val="Compact"/>
              <w:jc w:val="left"/>
            </w:pPr>
            <w:r>
              <w:t xml:space="preserve">Window coverage (true AUC0-tlast / true AUC0-inf), all subjects</w:t>
            </w:r>
          </w:p>
        </w:tc>
        <w:tc>
          <w:tcPr/>
          <w:p>
            <w:pPr>
              <w:pStyle w:val="Compact"/>
              <w:jc w:val="right"/>
            </w:pPr>
            <w:r>
              <w:t xml:space="preserve">20,000</w:t>
            </w:r>
          </w:p>
        </w:tc>
        <w:tc>
          <w:tcPr/>
          <w:p>
            <w:pPr>
              <w:pStyle w:val="Compact"/>
              <w:jc w:val="right"/>
            </w:pPr>
            <w:r>
              <w:t xml:space="preserve">0.994</w:t>
            </w:r>
          </w:p>
        </w:tc>
        <w:tc>
          <w:tcPr/>
          <w:p>
            <w:pPr>
              <w:pStyle w:val="Compact"/>
              <w:jc w:val="right"/>
            </w:pPr>
            <w:r>
              <w:t xml:space="preserve">0.965</w:t>
            </w:r>
          </w:p>
        </w:tc>
        <w:tc>
          <w:tcPr/>
          <w:p>
            <w:pPr>
              <w:pStyle w:val="Compact"/>
              <w:jc w:val="right"/>
            </w:pPr>
            <w:r>
              <w:t xml:space="preserve">1.000</w:t>
            </w:r>
          </w:p>
        </w:tc>
        <w:tc>
          <w:tcPr/>
          <w:p>
            <w:pPr>
              <w:pStyle w:val="Compact"/>
              <w:jc w:val="right"/>
            </w:pPr>
            <w:r>
              <w:t xml:space="preserve">0.843</w:t>
            </w:r>
          </w:p>
        </w:tc>
        <w:tc>
          <w:tcPr/>
          <w:p>
            <w:pPr>
              <w:pStyle w:val="Compact"/>
              <w:jc w:val="right"/>
            </w:pPr>
            <w:r>
              <w:t xml:space="preserve">1.000</w:t>
            </w:r>
          </w:p>
        </w:tc>
        <w:tc>
          <w:tcPr/>
          <w:p>
            <w:pPr>
              <w:pStyle w:val="Compact"/>
              <w:jc w:val="right"/>
            </w:pPr>
            <w:r>
              <w:t xml:space="preserve">0.013</w:t>
            </w:r>
          </w:p>
        </w:tc>
      </w:tr>
      <w:tr>
        <w:tc>
          <w:tcPr/>
          <w:p>
            <w:pPr>
              <w:pStyle w:val="Compact"/>
              <w:jc w:val="left"/>
            </w:pPr>
            <w:r>
              <w:t xml:space="preserve">2020 Model 1</w:t>
            </w:r>
          </w:p>
        </w:tc>
        <w:tc>
          <w:tcPr/>
          <w:p>
            <w:pPr>
              <w:pStyle w:val="Compact"/>
              <w:jc w:val="left"/>
            </w:pPr>
            <w:r>
              <w:t xml:space="preserve">Observed AUC0-last / true AUC0-inf, all subjects</w:t>
            </w:r>
          </w:p>
        </w:tc>
        <w:tc>
          <w:tcPr/>
          <w:p>
            <w:pPr>
              <w:pStyle w:val="Compact"/>
              <w:jc w:val="right"/>
            </w:pPr>
            <w:r>
              <w:t xml:space="preserve">20,000</w:t>
            </w:r>
          </w:p>
        </w:tc>
        <w:tc>
          <w:tcPr/>
          <w:p>
            <w:pPr>
              <w:pStyle w:val="Compact"/>
              <w:jc w:val="right"/>
            </w:pPr>
            <w:r>
              <w:t xml:space="preserve">0.967</w:t>
            </w:r>
          </w:p>
        </w:tc>
        <w:tc>
          <w:tcPr/>
          <w:p>
            <w:pPr>
              <w:pStyle w:val="Compact"/>
              <w:jc w:val="right"/>
            </w:pPr>
            <w:r>
              <w:t xml:space="preserve">0.873</w:t>
            </w:r>
          </w:p>
        </w:tc>
        <w:tc>
          <w:tcPr/>
          <w:p>
            <w:pPr>
              <w:pStyle w:val="Compact"/>
              <w:jc w:val="right"/>
            </w:pPr>
            <w:r>
              <w:t xml:space="preserve">1.058</w:t>
            </w:r>
          </w:p>
        </w:tc>
        <w:tc>
          <w:tcPr/>
          <w:p>
            <w:pPr>
              <w:pStyle w:val="Compact"/>
              <w:jc w:val="right"/>
            </w:pPr>
            <w:r>
              <w:t xml:space="preserve">0.742</w:t>
            </w:r>
          </w:p>
        </w:tc>
        <w:tc>
          <w:tcPr/>
          <w:p>
            <w:pPr>
              <w:pStyle w:val="Compact"/>
              <w:jc w:val="right"/>
            </w:pPr>
            <w:r>
              <w:t xml:space="preserve">1.185</w:t>
            </w:r>
          </w:p>
        </w:tc>
        <w:tc>
          <w:tcPr/>
          <w:p>
            <w:pPr>
              <w:pStyle w:val="Compact"/>
              <w:jc w:val="right"/>
            </w:pPr>
            <w:r>
              <w:t xml:space="preserve">0.058</w:t>
            </w:r>
          </w:p>
        </w:tc>
      </w:tr>
      <w:tr>
        <w:tc>
          <w:tcPr/>
          <w:p>
            <w:pPr>
              <w:pStyle w:val="Compact"/>
              <w:jc w:val="left"/>
            </w:pPr>
            <w:r>
              <w:t xml:space="preserve">2020 Model 1</w:t>
            </w:r>
          </w:p>
        </w:tc>
        <w:tc>
          <w:tcPr/>
          <w:p>
            <w:pPr>
              <w:pStyle w:val="Compact"/>
              <w:jc w:val="left"/>
            </w:pPr>
            <w:r>
              <w:t xml:space="preserve">Observed AUC0-last / true AUC0-inf, lambda-z estimable</w:t>
            </w:r>
          </w:p>
        </w:tc>
        <w:tc>
          <w:tcPr/>
          <w:p>
            <w:pPr>
              <w:pStyle w:val="Compact"/>
              <w:jc w:val="right"/>
            </w:pPr>
            <w:r>
              <w:t xml:space="preserve">19,877</w:t>
            </w:r>
          </w:p>
        </w:tc>
        <w:tc>
          <w:tcPr/>
          <w:p>
            <w:pPr>
              <w:pStyle w:val="Compact"/>
              <w:jc w:val="right"/>
            </w:pPr>
            <w:r>
              <w:t xml:space="preserve">0.967</w:t>
            </w:r>
          </w:p>
        </w:tc>
        <w:tc>
          <w:tcPr/>
          <w:p>
            <w:pPr>
              <w:pStyle w:val="Compact"/>
              <w:jc w:val="right"/>
            </w:pPr>
            <w:r>
              <w:t xml:space="preserve">0.874</w:t>
            </w:r>
          </w:p>
        </w:tc>
        <w:tc>
          <w:tcPr/>
          <w:p>
            <w:pPr>
              <w:pStyle w:val="Compact"/>
              <w:jc w:val="right"/>
            </w:pPr>
            <w:r>
              <w:t xml:space="preserve">1.058</w:t>
            </w:r>
          </w:p>
        </w:tc>
        <w:tc>
          <w:tcPr/>
          <w:p>
            <w:pPr>
              <w:pStyle w:val="Compact"/>
              <w:jc w:val="right"/>
            </w:pPr>
            <w:r>
              <w:t xml:space="preserve">0.742</w:t>
            </w:r>
          </w:p>
        </w:tc>
        <w:tc>
          <w:tcPr/>
          <w:p>
            <w:pPr>
              <w:pStyle w:val="Compact"/>
              <w:jc w:val="right"/>
            </w:pPr>
            <w:r>
              <w:t xml:space="preserve">1.185</w:t>
            </w:r>
          </w:p>
        </w:tc>
        <w:tc>
          <w:tcPr/>
          <w:p>
            <w:pPr>
              <w:pStyle w:val="Compact"/>
              <w:jc w:val="right"/>
            </w:pPr>
            <w:r>
              <w:t xml:space="preserve">0.058</w:t>
            </w:r>
          </w:p>
        </w:tc>
      </w:tr>
      <w:tr>
        <w:tc>
          <w:tcPr/>
          <w:p>
            <w:pPr>
              <w:pStyle w:val="Compact"/>
              <w:jc w:val="left"/>
            </w:pPr>
            <w:r>
              <w:t xml:space="preserve">2020 Model 1</w:t>
            </w:r>
          </w:p>
        </w:tc>
        <w:tc>
          <w:tcPr/>
          <w:p>
            <w:pPr>
              <w:pStyle w:val="Compact"/>
              <w:jc w:val="left"/>
            </w:pPr>
            <w:r>
              <w:t xml:space="preserve">NCA AUC0-inf / true AUC0-inf, lambda-z estimable (rule B)</w:t>
            </w:r>
          </w:p>
        </w:tc>
        <w:tc>
          <w:tcPr/>
          <w:p>
            <w:pPr>
              <w:pStyle w:val="Compact"/>
              <w:jc w:val="right"/>
            </w:pPr>
            <w:r>
              <w:t xml:space="preserve">19,877</w:t>
            </w:r>
          </w:p>
        </w:tc>
        <w:tc>
          <w:tcPr/>
          <w:p>
            <w:pPr>
              <w:pStyle w:val="Compact"/>
              <w:jc w:val="right"/>
            </w:pPr>
            <w:r>
              <w:t xml:space="preserve">1.007</w:t>
            </w:r>
          </w:p>
        </w:tc>
        <w:tc>
          <w:tcPr/>
          <w:p>
            <w:pPr>
              <w:pStyle w:val="Compact"/>
              <w:jc w:val="right"/>
            </w:pPr>
            <w:r>
              <w:t xml:space="preserve">0.909</w:t>
            </w:r>
          </w:p>
        </w:tc>
        <w:tc>
          <w:tcPr/>
          <w:p>
            <w:pPr>
              <w:pStyle w:val="Compact"/>
              <w:jc w:val="right"/>
            </w:pPr>
            <w:r>
              <w:t xml:space="preserve">1.117</w:t>
            </w:r>
          </w:p>
        </w:tc>
        <w:tc>
          <w:tcPr/>
          <w:p>
            <w:pPr>
              <w:pStyle w:val="Compact"/>
              <w:jc w:val="right"/>
            </w:pPr>
            <w:r>
              <w:t xml:space="preserve">0.779</w:t>
            </w:r>
          </w:p>
        </w:tc>
        <w:tc>
          <w:tcPr/>
          <w:p>
            <w:pPr>
              <w:pStyle w:val="Compact"/>
              <w:jc w:val="right"/>
            </w:pPr>
            <w:r>
              <w:t xml:space="preserve">1.866</w:t>
            </w:r>
          </w:p>
        </w:tc>
        <w:tc>
          <w:tcPr/>
          <w:p>
            <w:pPr>
              <w:pStyle w:val="Compact"/>
              <w:jc w:val="right"/>
            </w:pPr>
            <w:r>
              <w:t xml:space="preserve">0.063</w:t>
            </w:r>
          </w:p>
        </w:tc>
      </w:tr>
      <w:tr>
        <w:tc>
          <w:tcPr/>
          <w:p>
            <w:pPr>
              <w:pStyle w:val="Compact"/>
              <w:jc w:val="left"/>
            </w:pPr>
            <w:r>
              <w:t xml:space="preserve">2020 Model 1</w:t>
            </w:r>
          </w:p>
        </w:tc>
        <w:tc>
          <w:tcPr/>
          <w:p>
            <w:pPr>
              <w:pStyle w:val="Compact"/>
              <w:jc w:val="left"/>
            </w:pPr>
            <w:r>
              <w:t xml:space="preserve">Observed AUC0-last / true AUC0-inf, meeting set (i)</w:t>
            </w:r>
          </w:p>
        </w:tc>
        <w:tc>
          <w:tcPr/>
          <w:p>
            <w:pPr>
              <w:pStyle w:val="Compact"/>
              <w:jc w:val="right"/>
            </w:pPr>
            <w:r>
              <w:t xml:space="preserve">18,367</w:t>
            </w:r>
          </w:p>
        </w:tc>
        <w:tc>
          <w:tcPr/>
          <w:p>
            <w:pPr>
              <w:pStyle w:val="Compact"/>
              <w:jc w:val="right"/>
            </w:pPr>
            <w:r>
              <w:t xml:space="preserve">0.968</w:t>
            </w:r>
          </w:p>
        </w:tc>
        <w:tc>
          <w:tcPr/>
          <w:p>
            <w:pPr>
              <w:pStyle w:val="Compact"/>
              <w:jc w:val="right"/>
            </w:pPr>
            <w:r>
              <w:t xml:space="preserve">0.876</w:t>
            </w:r>
          </w:p>
        </w:tc>
        <w:tc>
          <w:tcPr/>
          <w:p>
            <w:pPr>
              <w:pStyle w:val="Compact"/>
              <w:jc w:val="right"/>
            </w:pPr>
            <w:r>
              <w:t xml:space="preserve">1.059</w:t>
            </w:r>
          </w:p>
        </w:tc>
        <w:tc>
          <w:tcPr/>
          <w:p>
            <w:pPr>
              <w:pStyle w:val="Compact"/>
              <w:jc w:val="right"/>
            </w:pPr>
            <w:r>
              <w:t xml:space="preserve">0.742</w:t>
            </w:r>
          </w:p>
        </w:tc>
        <w:tc>
          <w:tcPr/>
          <w:p>
            <w:pPr>
              <w:pStyle w:val="Compact"/>
              <w:jc w:val="right"/>
            </w:pPr>
            <w:r>
              <w:t xml:space="preserve">1.185</w:t>
            </w:r>
          </w:p>
        </w:tc>
        <w:tc>
          <w:tcPr/>
          <w:p>
            <w:pPr>
              <w:pStyle w:val="Compact"/>
              <w:jc w:val="right"/>
            </w:pPr>
            <w:r>
              <w:t xml:space="preserve">0.058</w:t>
            </w:r>
          </w:p>
        </w:tc>
      </w:tr>
      <w:tr>
        <w:tc>
          <w:tcPr/>
          <w:p>
            <w:pPr>
              <w:pStyle w:val="Compact"/>
              <w:jc w:val="left"/>
            </w:pPr>
            <w:r>
              <w:t xml:space="preserve">2020 Model 1</w:t>
            </w:r>
          </w:p>
        </w:tc>
        <w:tc>
          <w:tcPr/>
          <w:p>
            <w:pPr>
              <w:pStyle w:val="Compact"/>
              <w:jc w:val="left"/>
            </w:pPr>
            <w:r>
              <w:t xml:space="preserve">NCA AUC0-inf / true AUC0-inf, meeting set (i) (rule A)</w:t>
            </w:r>
          </w:p>
        </w:tc>
        <w:tc>
          <w:tcPr/>
          <w:p>
            <w:pPr>
              <w:pStyle w:val="Compact"/>
              <w:jc w:val="right"/>
            </w:pPr>
            <w:r>
              <w:t xml:space="preserve">18,367</w:t>
            </w:r>
          </w:p>
        </w:tc>
        <w:tc>
          <w:tcPr/>
          <w:p>
            <w:pPr>
              <w:pStyle w:val="Compact"/>
              <w:jc w:val="right"/>
            </w:pPr>
            <w:r>
              <w:t xml:space="preserve">1.009</w:t>
            </w:r>
          </w:p>
        </w:tc>
        <w:tc>
          <w:tcPr/>
          <w:p>
            <w:pPr>
              <w:pStyle w:val="Compact"/>
              <w:jc w:val="right"/>
            </w:pPr>
            <w:r>
              <w:t xml:space="preserve">0.912</w:t>
            </w:r>
          </w:p>
        </w:tc>
        <w:tc>
          <w:tcPr/>
          <w:p>
            <w:pPr>
              <w:pStyle w:val="Compact"/>
              <w:jc w:val="right"/>
            </w:pPr>
            <w:r>
              <w:t xml:space="preserve">1.113</w:t>
            </w:r>
          </w:p>
        </w:tc>
        <w:tc>
          <w:tcPr/>
          <w:p>
            <w:pPr>
              <w:pStyle w:val="Compact"/>
              <w:jc w:val="right"/>
            </w:pPr>
            <w:r>
              <w:t xml:space="preserve">0.802</w:t>
            </w:r>
          </w:p>
        </w:tc>
        <w:tc>
          <w:tcPr/>
          <w:p>
            <w:pPr>
              <w:pStyle w:val="Compact"/>
              <w:jc w:val="right"/>
            </w:pPr>
            <w:r>
              <w:t xml:space="preserve">1.288</w:t>
            </w:r>
          </w:p>
        </w:tc>
        <w:tc>
          <w:tcPr/>
          <w:p>
            <w:pPr>
              <w:pStyle w:val="Compact"/>
              <w:jc w:val="right"/>
            </w:pPr>
            <w:r>
              <w:t xml:space="preserve">0.061</w:t>
            </w:r>
          </w:p>
        </w:tc>
      </w:tr>
      <w:tr>
        <w:tc>
          <w:tcPr/>
          <w:p>
            <w:pPr>
              <w:pStyle w:val="Compact"/>
              <w:jc w:val="left"/>
            </w:pPr>
            <w:r>
              <w:t xml:space="preserve">2020 Model 1</w:t>
            </w:r>
          </w:p>
        </w:tc>
        <w:tc>
          <w:tcPr/>
          <w:p>
            <w:pPr>
              <w:pStyle w:val="Compact"/>
              <w:jc w:val="left"/>
            </w:pPr>
            <w:r>
              <w:t xml:space="preserve">Extrapolation factor NCA AUC0-inf / observed AUC0-last, lambda-z estimable</w:t>
            </w:r>
          </w:p>
        </w:tc>
        <w:tc>
          <w:tcPr/>
          <w:p>
            <w:pPr>
              <w:pStyle w:val="Compact"/>
              <w:jc w:val="right"/>
            </w:pPr>
            <w:r>
              <w:t xml:space="preserve">19,877</w:t>
            </w:r>
          </w:p>
        </w:tc>
        <w:tc>
          <w:tcPr/>
          <w:p>
            <w:pPr>
              <w:pStyle w:val="Compact"/>
              <w:jc w:val="right"/>
            </w:pPr>
            <w:r>
              <w:t xml:space="preserve">1.030</w:t>
            </w:r>
          </w:p>
        </w:tc>
        <w:tc>
          <w:tcPr/>
          <w:p>
            <w:pPr>
              <w:pStyle w:val="Compact"/>
              <w:jc w:val="right"/>
            </w:pPr>
            <w:r>
              <w:t xml:space="preserve">1.002</w:t>
            </w:r>
          </w:p>
        </w:tc>
        <w:tc>
          <w:tcPr/>
          <w:p>
            <w:pPr>
              <w:pStyle w:val="Compact"/>
              <w:jc w:val="right"/>
            </w:pPr>
            <w:r>
              <w:t xml:space="preserve">1.136</w:t>
            </w:r>
          </w:p>
        </w:tc>
        <w:tc>
          <w:tcPr/>
          <w:p>
            <w:pPr>
              <w:pStyle w:val="Compact"/>
              <w:jc w:val="right"/>
            </w:pPr>
            <w:r>
              <w:t xml:space="preserve">1.000</w:t>
            </w:r>
          </w:p>
        </w:tc>
        <w:tc>
          <w:tcPr/>
          <w:p>
            <w:pPr>
              <w:pStyle w:val="Compact"/>
              <w:jc w:val="right"/>
            </w:pPr>
            <w:r>
              <w:t xml:space="preserve">2.315</w:t>
            </w:r>
          </w:p>
        </w:tc>
        <w:tc>
          <w:tcPr/>
          <w:p>
            <w:pPr>
              <w:pStyle w:val="Compact"/>
              <w:jc w:val="right"/>
            </w:pPr>
            <w:r>
              <w:t xml:space="preserve">0.045</w:t>
            </w:r>
          </w:p>
        </w:tc>
      </w:tr>
    </w:tbl>
    <w:p>
      <w:pPr>
        <w:numPr>
          <w:ilvl w:val="0"/>
          <w:numId w:val="1031"/>
        </w:numPr>
        <w:pStyle w:val="Compact"/>
      </w:pPr>
      <w:r>
        <w:t xml:space="preserve">The residual (assay) error enters AUC0-last and NCA AUC0-inf in the same way, because NCA AUC0-inf is AUC0-last plus an extrapolated area. NCA AUC0-inf adds an extrapolation error on top: its largest subject-level observed-to-true ratio is 1.87 to 5.28 (two models) against 1.19 to 1.32 for AUC0-last, and the SD of its log ratio is 0.063 to 0.101 against 0.058 to 0.096 (subjects with an estimable lambda-z).</w:t>
      </w:r>
    </w:p>
    <w:p>
      <w:pPr>
        <w:numPr>
          <w:ilvl w:val="0"/>
          <w:numId w:val="1031"/>
        </w:numPr>
        <w:pStyle w:val="Compact"/>
      </w:pPr>
      <w:r>
        <w:t xml:space="preserve">The lowest subject-level values of the observed AUC0-last / true AUC0-inf (59.8% to 74.2%) come from the proportional residual error on sparse samples, not from the sampling window, whose coverage is at least 84.3% in every subject. The residual error model is the same in both arms, so these deviations are symmetric between arms.</w:t>
      </w:r>
    </w:p>
    <w:p>
      <w:pPr>
        <w:numPr>
          <w:ilvl w:val="0"/>
          <w:numId w:val="1031"/>
        </w:numPr>
        <w:pStyle w:val="Compact"/>
      </w:pPr>
      <w:r>
        <w:t xml:space="preserve">In the quantity that is compared, the geometric mean of the trial GMRs, AUC0-last agrees with the true AUC0-inf ratio to within 0.012 in every scenario examined (the 8 boundary scenarios, identical products and bioavailability x0.97 in each model; pooled t-test).</w:t>
      </w:r>
    </w:p>
    <w:bookmarkEnd w:id="54"/>
    <w:bookmarkStart w:id="67" w:name="reliability-of-nca-auc0-inf"/>
    <w:p>
      <w:pPr>
        <w:pStyle w:val="Heading2"/>
      </w:pPr>
      <w:r>
        <w:t xml:space="preserve">5.3 Reliability of NCA AUC0-inf</w:t>
      </w:r>
    </w:p>
    <w:p>
      <w:pPr>
        <w:pStyle w:val="TableCaption"/>
      </w:pPr>
      <w:r>
        <w:t xml:space="preserve">Table 5-4. Reliability of NCA AUC0-inf under the planned schedule (20,000 subjects per model; flags overlap).</w:t>
      </w:r>
    </w:p>
    <w:tbl>
      <w:tblPr>
        <w:tblStyle w:val="Table"/>
        <w:tblW w:type="pct" w:w="5000"/>
        <w:tblLook w:firstRow="1" w:lastRow="0" w:firstColumn="0" w:lastColumn="0" w:noHBand="0" w:noVBand="0" w:val="0020"/>
        <w:jc w:val="start"/>
        <w:tblCaption w:val="Table 5-4. Reliability of NCA AUC0-inf under the planned schedule (20,000 subjects per model; flags overlap)."/>
      </w:tblPr>
      <w:tblGrid>
        <w:gridCol w:w="1884"/>
        <w:gridCol w:w="1046"/>
        <w:gridCol w:w="1081"/>
        <w:gridCol w:w="942"/>
        <w:gridCol w:w="1186"/>
        <w:gridCol w:w="976"/>
        <w:gridCol w:w="802"/>
      </w:tblGrid>
      <w:tr>
        <w:trPr>
          <w:tblHeader w:val="true"/>
        </w:trPr>
        <w:tc>
          <w:tcPr/>
          <w:p>
            <w:pPr>
              <w:pStyle w:val="Compact"/>
              <w:jc w:val="left"/>
            </w:pPr>
            <w:r>
              <w:t xml:space="preserve">Model</w:t>
            </w:r>
          </w:p>
        </w:tc>
        <w:tc>
          <w:tcPr/>
          <w:p>
            <w:pPr>
              <w:pStyle w:val="Compact"/>
              <w:jc w:val="right"/>
            </w:pPr>
            <w:r>
              <w:t xml:space="preserve">Reliable, set (i), % (95% CI)</w:t>
            </w:r>
          </w:p>
        </w:tc>
        <w:tc>
          <w:tcPr/>
          <w:p>
            <w:pPr>
              <w:pStyle w:val="Compact"/>
              <w:jc w:val="right"/>
            </w:pPr>
            <w:r>
              <w:t xml:space="preserve">Reliable, set (ii), % (95% CI)</w:t>
            </w:r>
          </w:p>
        </w:tc>
        <w:tc>
          <w:tcPr/>
          <w:p>
            <w:pPr>
              <w:pStyle w:val="Compact"/>
              <w:jc w:val="right"/>
            </w:pPr>
            <w:r>
              <w:t xml:space="preserve">lambda-z not estimable (%)</w:t>
            </w:r>
          </w:p>
        </w:tc>
        <w:tc>
          <w:tcPr/>
          <w:p>
            <w:pPr>
              <w:pStyle w:val="Compact"/>
              <w:jc w:val="right"/>
            </w:pPr>
            <w:r>
              <w:t xml:space="preserve">adjusted R-squared below 0.80 (%)</w:t>
            </w:r>
          </w:p>
        </w:tc>
        <w:tc>
          <w:tcPr/>
          <w:p>
            <w:pPr>
              <w:pStyle w:val="Compact"/>
              <w:jc w:val="right"/>
            </w:pPr>
            <w:r>
              <w:t xml:space="preserve">extrapolation above 20% (%)</w:t>
            </w:r>
          </w:p>
        </w:tc>
        <w:tc>
          <w:tcPr/>
          <w:p>
            <w:pPr>
              <w:pStyle w:val="Compact"/>
              <w:jc w:val="right"/>
            </w:pPr>
            <w:r>
              <w:t xml:space="preserve">span ratio below 2 (%)</w:t>
            </w:r>
          </w:p>
        </w:tc>
      </w:tr>
      <w:tr>
        <w:tc>
          <w:tcPr/>
          <w:p>
            <w:pPr>
              <w:pStyle w:val="Compact"/>
              <w:jc w:val="left"/>
            </w:pPr>
            <w:r>
              <w:t xml:space="preserve">Kovalenko 2016 (primary model)</w:t>
            </w:r>
          </w:p>
        </w:tc>
        <w:tc>
          <w:tcPr/>
          <w:p>
            <w:pPr>
              <w:pStyle w:val="Compact"/>
              <w:jc w:val="right"/>
            </w:pPr>
            <w:r>
              <w:t xml:space="preserve">86.6 (86.1 to 87.0)</w:t>
            </w:r>
          </w:p>
        </w:tc>
        <w:tc>
          <w:tcPr/>
          <w:p>
            <w:pPr>
              <w:pStyle w:val="Compact"/>
              <w:jc w:val="right"/>
            </w:pPr>
            <w:r>
              <w:t xml:space="preserve">80.7 (80.2 to 81.3)</w:t>
            </w:r>
          </w:p>
        </w:tc>
        <w:tc>
          <w:tcPr/>
          <w:p>
            <w:pPr>
              <w:pStyle w:val="Compact"/>
              <w:jc w:val="right"/>
            </w:pPr>
            <w:r>
              <w:t xml:space="preserve">1.5</w:t>
            </w:r>
          </w:p>
        </w:tc>
        <w:tc>
          <w:tcPr/>
          <w:p>
            <w:pPr>
              <w:pStyle w:val="Compact"/>
              <w:jc w:val="right"/>
            </w:pPr>
            <w:r>
              <w:t xml:space="preserve">11.4</w:t>
            </w:r>
          </w:p>
        </w:tc>
        <w:tc>
          <w:tcPr/>
          <w:p>
            <w:pPr>
              <w:pStyle w:val="Compact"/>
              <w:jc w:val="right"/>
            </w:pPr>
            <w:r>
              <w:t xml:space="preserve">1.1</w:t>
            </w:r>
          </w:p>
        </w:tc>
        <w:tc>
          <w:tcPr/>
          <w:p>
            <w:pPr>
              <w:pStyle w:val="Compact"/>
              <w:jc w:val="right"/>
            </w:pPr>
            <w:r>
              <w:t xml:space="preserve">8.3</w:t>
            </w:r>
          </w:p>
        </w:tc>
      </w:tr>
      <w:tr>
        <w:tc>
          <w:tcPr/>
          <w:p>
            <w:pPr>
              <w:pStyle w:val="Compact"/>
              <w:jc w:val="left"/>
            </w:pPr>
            <w:r>
              <w:t xml:space="preserve">Kovalenko 2020 Model 1 (structural sensitivity model)</w:t>
            </w:r>
          </w:p>
        </w:tc>
        <w:tc>
          <w:tcPr/>
          <w:p>
            <w:pPr>
              <w:pStyle w:val="Compact"/>
              <w:jc w:val="right"/>
            </w:pPr>
            <w:r>
              <w:t xml:space="preserve">91.8 (91.4 to 92.2)</w:t>
            </w:r>
          </w:p>
        </w:tc>
        <w:tc>
          <w:tcPr/>
          <w:p>
            <w:pPr>
              <w:pStyle w:val="Compact"/>
              <w:jc w:val="right"/>
            </w:pPr>
            <w:r>
              <w:t xml:space="preserve">83.9 (83.4 to 84.4)</w:t>
            </w:r>
          </w:p>
        </w:tc>
        <w:tc>
          <w:tcPr/>
          <w:p>
            <w:pPr>
              <w:pStyle w:val="Compact"/>
              <w:jc w:val="right"/>
            </w:pPr>
            <w:r>
              <w:t xml:space="preserve">0.6</w:t>
            </w:r>
          </w:p>
        </w:tc>
        <w:tc>
          <w:tcPr/>
          <w:p>
            <w:pPr>
              <w:pStyle w:val="Compact"/>
              <w:jc w:val="right"/>
            </w:pPr>
            <w:r>
              <w:t xml:space="preserve">7.0</w:t>
            </w:r>
          </w:p>
        </w:tc>
        <w:tc>
          <w:tcPr/>
          <w:p>
            <w:pPr>
              <w:pStyle w:val="Compact"/>
              <w:jc w:val="right"/>
            </w:pPr>
            <w:r>
              <w:t xml:space="preserve">0.8</w:t>
            </w:r>
          </w:p>
        </w:tc>
        <w:tc>
          <w:tcPr/>
          <w:p>
            <w:pPr>
              <w:pStyle w:val="Compact"/>
              <w:jc w:val="right"/>
            </w:pPr>
            <w:r>
              <w:t xml:space="preserve">9.2</w:t>
            </w:r>
          </w:p>
        </w:tc>
      </w:tr>
    </w:tbl>
    <w:p>
      <w:pPr>
        <w:pStyle w:val="BodyText"/>
      </w:pPr>
      <w:r>
        <w:rPr>
          <w:bCs/>
          <w:b/>
        </w:rPr>
        <w:t xml:space="preserve">Denser late sampling does not improve reliability.</w:t>
      </w:r>
      <w:r>
        <w:t xml:space="preserve"> </w:t>
      </w:r>
      <w:r>
        <w:t xml:space="preserve">Best Fit selects a later and shorter window (usually the last three samples, including the added days). A span ratio of at least 2 then requires a half-life of at most 3.5 days, instead of 7 days under the planned schedule. The span flag therefore increases, and reliability under set (ii) falls in 26 of 32 added-sampling schedule and model-variant combinations (Figure 5-3). Section 5.7 reports the changes.</w:t>
      </w:r>
    </w:p>
    <w:p>
      <w:pPr>
        <w:pStyle w:val="CaptionedFigure"/>
      </w:pPr>
      <w:r>
        <w:drawing>
          <wp:inline>
            <wp:extent cx="5334000" cy="5778500"/>
            <wp:effectExtent b="0" l="0" r="0" t="0"/>
            <wp:docPr descr="Figure 5-3. Why denser late sampling adds span-ratio flags: lambda-z window length and span ratio by schedule, and the change in window and half-life in subjects who lose reliability with added samples (both models, 20,000 subjects each). In the figure, B0 is the planned schedule, D1 to D4 the added-sampling schedules and B minus the schedule without Day 50 (Section 3.9); flag set (ii) is criteria set (ii). Analysis figure (results/reliability/fig_reliability_mechanism_en.png)." title="" id="56" name="Picture"/>
            <a:graphic>
              <a:graphicData uri="http://schemas.openxmlformats.org/drawingml/2006/picture">
                <pic:pic>
                  <pic:nvPicPr>
                    <pic:cNvPr descr="../../results/reliability/fig_reliability_mechanism_en.png" id="57" name="Picture"/>
                    <pic:cNvPicPr>
                      <a:picLocks noChangeArrowheads="1" noChangeAspect="1"/>
                    </pic:cNvPicPr>
                  </pic:nvPicPr>
                  <pic:blipFill>
                    <a:blip r:embed="rId55"/>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pPr>
      <w:r>
        <w:t xml:space="preserve">Figure 5-3. Why denser late sampling adds span-ratio flags: lambda-z window length and span ratio by schedule, and the change in window and half-life in subjects who lose reliability with added samples (both models, 20,000 subjects each). In the figure, B0 is the planned schedule, D1 to D4 the added-sampling schedules and B minus the schedule without Day 50 (Section 3.9); flag set (ii) is criteria set (ii). Analysis figure (results/reliability/fig_reliability_mechanism_en.png).</w:t>
      </w:r>
    </w:p>
    <w:p>
      <w:pPr>
        <w:pStyle w:val="BodyText"/>
      </w:pPr>
      <w:r>
        <w:rPr>
          <w:bCs/>
          <w:b/>
        </w:rPr>
        <w:t xml:space="preserve">The trial population is the basis of the proposal.</w:t>
      </w:r>
      <w:r>
        <w:t xml:space="preserve"> </w:t>
      </w:r>
      <w:r>
        <w:t xml:space="preserve">The analyses below use only the population in which similarity is tested: healthy adults of 60 to 90 kg, randomized 1:1 within two body-weight strata, planned schedule, 300 mg (pre-registered, Section 3.13). Subject-level results use 20,000 subjects per model; trial-level results use the regenerated trials with the operating-characteristic seeds (117 subjects per arm).</w:t>
      </w:r>
    </w:p>
    <w:p>
      <w:pPr>
        <w:pStyle w:val="TableCaption"/>
      </w:pPr>
      <w:r>
        <w:t xml:space="preserve">Table 5-5. Trial population: subjects without a reliable AUC0-inf by criteria set (20,000 subjects per model, Wilson 95% intervals); reasons in hierarchical order (lambda-z not estimable, then adjusted R-squared below the threshold, then extrapolation above 20%, then span ratio below the threshold); retained subjects per arm under rule A in simulated trials of identical products (both arms of each trial).</w:t>
      </w:r>
    </w:p>
    <w:tbl>
      <w:tblPr>
        <w:tblStyle w:val="Table"/>
        <w:tblW w:type="pct" w:w="5000"/>
        <w:tblLook w:firstRow="1" w:lastRow="0" w:firstColumn="0" w:lastColumn="0" w:noHBand="0" w:noVBand="0" w:val="0020"/>
        <w:jc w:val="start"/>
        <w:tblCaption w:val="Table 5-5. Trial population: subjects without a reliable AUC0-inf by criteria set (20,000 subjects per model, Wilson 95% intervals); reasons in hierarchical order (lambda-z not estimable, then adjusted R-squared below the threshold, then extrapolation above 20%, then span ratio below the threshold); retained subjects per arm under rule A in simulated trials of identical products (both arms of each trial)."/>
      </w:tblPr>
      <w:tblGrid>
        <w:gridCol w:w="399"/>
        <w:gridCol w:w="399"/>
        <w:gridCol w:w="613"/>
        <w:gridCol w:w="798"/>
        <w:gridCol w:w="1043"/>
        <w:gridCol w:w="1166"/>
        <w:gridCol w:w="828"/>
        <w:gridCol w:w="920"/>
        <w:gridCol w:w="1749"/>
      </w:tblGrid>
      <w:tr>
        <w:trPr>
          <w:tblHeader w:val="true"/>
        </w:trPr>
        <w:tc>
          <w:tcPr/>
          <w:p>
            <w:pPr>
              <w:pStyle w:val="Compact"/>
              <w:jc w:val="left"/>
            </w:pPr>
            <w:r>
              <w:t xml:space="preserve">Model</w:t>
            </w:r>
          </w:p>
        </w:tc>
        <w:tc>
          <w:tcPr/>
          <w:p>
            <w:pPr>
              <w:pStyle w:val="Compact"/>
              <w:jc w:val="left"/>
            </w:pPr>
            <w:r>
              <w:t xml:space="preserve">Criteria set</w:t>
            </w:r>
          </w:p>
        </w:tc>
        <w:tc>
          <w:tcPr/>
          <w:p>
            <w:pPr>
              <w:pStyle w:val="Compact"/>
              <w:jc w:val="right"/>
            </w:pPr>
            <w:r>
              <w:t xml:space="preserve">Failing, % [95% CI]</w:t>
            </w:r>
          </w:p>
        </w:tc>
        <w:tc>
          <w:tcPr/>
          <w:p>
            <w:pPr>
              <w:pStyle w:val="Compact"/>
              <w:jc w:val="right"/>
            </w:pPr>
            <w:r>
              <w:t xml:space="preserve">Lambda-z not estimable, %</w:t>
            </w:r>
          </w:p>
        </w:tc>
        <w:tc>
          <w:tcPr/>
          <w:p>
            <w:pPr>
              <w:pStyle w:val="Compact"/>
              <w:jc w:val="right"/>
            </w:pPr>
            <w:r>
              <w:t xml:space="preserve">Estimable but failing, % [95% CI]</w:t>
            </w:r>
          </w:p>
        </w:tc>
        <w:tc>
          <w:tcPr/>
          <w:p>
            <w:pPr>
              <w:pStyle w:val="Compact"/>
              <w:jc w:val="right"/>
            </w:pPr>
            <w:r>
              <w:t xml:space="preserve">Adjusted R-squared below threshold, %</w:t>
            </w:r>
          </w:p>
        </w:tc>
        <w:tc>
          <w:tcPr/>
          <w:p>
            <w:pPr>
              <w:pStyle w:val="Compact"/>
              <w:jc w:val="right"/>
            </w:pPr>
            <w:r>
              <w:t xml:space="preserve">Extrapolation above 20%, %</w:t>
            </w:r>
          </w:p>
        </w:tc>
        <w:tc>
          <w:tcPr/>
          <w:p>
            <w:pPr>
              <w:pStyle w:val="Compact"/>
              <w:jc w:val="right"/>
            </w:pPr>
            <w:r>
              <w:t xml:space="preserve">Span ratio below threshold, %</w:t>
            </w:r>
          </w:p>
        </w:tc>
        <w:tc>
          <w:tcPr/>
          <w:p>
            <w:pPr>
              <w:pStyle w:val="Compact"/>
              <w:jc w:val="right"/>
            </w:pPr>
            <w:r>
              <w:t xml:space="preserve">Retained per arm of 117, median (5th to 95th percentile)</w:t>
            </w:r>
          </w:p>
        </w:tc>
      </w:tr>
      <w:tr>
        <w:tc>
          <w:tcPr/>
          <w:p>
            <w:pPr>
              <w:pStyle w:val="Compact"/>
              <w:jc w:val="left"/>
            </w:pPr>
            <w:r>
              <w:t xml:space="preserve">2016 model</w:t>
            </w:r>
          </w:p>
        </w:tc>
        <w:tc>
          <w:tcPr/>
          <w:p>
            <w:pPr>
              <w:pStyle w:val="Compact"/>
              <w:jc w:val="left"/>
            </w:pPr>
            <w:r>
              <w:t xml:space="preserve">(i)</w:t>
            </w:r>
          </w:p>
        </w:tc>
        <w:tc>
          <w:tcPr/>
          <w:p>
            <w:pPr>
              <w:pStyle w:val="Compact"/>
              <w:jc w:val="right"/>
            </w:pPr>
            <w:r>
              <w:t xml:space="preserve">13.4 [13.0, 13.9]</w:t>
            </w:r>
          </w:p>
        </w:tc>
        <w:tc>
          <w:tcPr/>
          <w:p>
            <w:pPr>
              <w:pStyle w:val="Compact"/>
              <w:jc w:val="right"/>
            </w:pPr>
            <w:r>
              <w:t xml:space="preserve">1.46</w:t>
            </w:r>
          </w:p>
        </w:tc>
        <w:tc>
          <w:tcPr/>
          <w:p>
            <w:pPr>
              <w:pStyle w:val="Compact"/>
              <w:jc w:val="right"/>
            </w:pPr>
            <w:r>
              <w:t xml:space="preserve">12.0 [11.5, 12.4]</w:t>
            </w:r>
          </w:p>
        </w:tc>
        <w:tc>
          <w:tcPr/>
          <w:p>
            <w:pPr>
              <w:pStyle w:val="Compact"/>
              <w:jc w:val="right"/>
            </w:pPr>
            <w:r>
              <w:t xml:space="preserve">11.4</w:t>
            </w:r>
          </w:p>
        </w:tc>
        <w:tc>
          <w:tcPr/>
          <w:p>
            <w:pPr>
              <w:pStyle w:val="Compact"/>
              <w:jc w:val="right"/>
            </w:pPr>
            <w:r>
              <w:t xml:space="preserve">0.6</w:t>
            </w:r>
          </w:p>
        </w:tc>
        <w:tc>
          <w:tcPr/>
          <w:p>
            <w:pPr>
              <w:pStyle w:val="Compact"/>
              <w:jc w:val="right"/>
            </w:pPr>
            <w:r>
              <w:t xml:space="preserve">0.0</w:t>
            </w:r>
          </w:p>
        </w:tc>
        <w:tc>
          <w:tcPr/>
          <w:p>
            <w:pPr>
              <w:pStyle w:val="Compact"/>
              <w:jc w:val="right"/>
            </w:pPr>
            <w:r>
              <w:t xml:space="preserve">101 (95 to 107)</w:t>
            </w:r>
          </w:p>
        </w:tc>
      </w:tr>
      <w:tr>
        <w:tc>
          <w:tcPr/>
          <w:p>
            <w:pPr>
              <w:pStyle w:val="Compact"/>
              <w:jc w:val="left"/>
            </w:pPr>
            <w:r>
              <w:t xml:space="preserve">2016 model</w:t>
            </w:r>
          </w:p>
        </w:tc>
        <w:tc>
          <w:tcPr/>
          <w:p>
            <w:pPr>
              <w:pStyle w:val="Compact"/>
              <w:jc w:val="left"/>
            </w:pPr>
            <w:r>
              <w:t xml:space="preserve">(ii)</w:t>
            </w:r>
          </w:p>
        </w:tc>
        <w:tc>
          <w:tcPr/>
          <w:p>
            <w:pPr>
              <w:pStyle w:val="Compact"/>
              <w:jc w:val="right"/>
            </w:pPr>
            <w:r>
              <w:t xml:space="preserve">19.3 [18.7, 19.8]</w:t>
            </w:r>
          </w:p>
        </w:tc>
        <w:tc>
          <w:tcPr/>
          <w:p>
            <w:pPr>
              <w:pStyle w:val="Compact"/>
              <w:jc w:val="right"/>
            </w:pPr>
            <w:r>
              <w:t xml:space="preserve">1.46</w:t>
            </w:r>
          </w:p>
        </w:tc>
        <w:tc>
          <w:tcPr/>
          <w:p>
            <w:pPr>
              <w:pStyle w:val="Compact"/>
              <w:jc w:val="right"/>
            </w:pPr>
            <w:r>
              <w:t xml:space="preserve">17.8 [17.3, 18.3]</w:t>
            </w:r>
          </w:p>
        </w:tc>
        <w:tc>
          <w:tcPr/>
          <w:p>
            <w:pPr>
              <w:pStyle w:val="Compact"/>
              <w:jc w:val="right"/>
            </w:pPr>
            <w:r>
              <w:t xml:space="preserve">11.4</w:t>
            </w:r>
          </w:p>
        </w:tc>
        <w:tc>
          <w:tcPr/>
          <w:p>
            <w:pPr>
              <w:pStyle w:val="Compact"/>
              <w:jc w:val="right"/>
            </w:pPr>
            <w:r>
              <w:t xml:space="preserve">0.6</w:t>
            </w:r>
          </w:p>
        </w:tc>
        <w:tc>
          <w:tcPr/>
          <w:p>
            <w:pPr>
              <w:pStyle w:val="Compact"/>
              <w:jc w:val="right"/>
            </w:pPr>
            <w:r>
              <w:t xml:space="preserve">5.8</w:t>
            </w:r>
          </w:p>
        </w:tc>
        <w:tc>
          <w:tcPr/>
          <w:p>
            <w:pPr>
              <w:pStyle w:val="Compact"/>
              <w:jc w:val="right"/>
            </w:pPr>
            <w:r>
              <w:t xml:space="preserve">94 (87 to 101)</w:t>
            </w:r>
          </w:p>
        </w:tc>
      </w:tr>
      <w:tr>
        <w:tc>
          <w:tcPr/>
          <w:p>
            <w:pPr>
              <w:pStyle w:val="Compact"/>
              <w:jc w:val="left"/>
            </w:pPr>
            <w:r>
              <w:t xml:space="preserve">2016 model</w:t>
            </w:r>
          </w:p>
        </w:tc>
        <w:tc>
          <w:tcPr/>
          <w:p>
            <w:pPr>
              <w:pStyle w:val="Compact"/>
              <w:jc w:val="left"/>
            </w:pPr>
            <w:r>
              <w:t xml:space="preserve">(iii)</w:t>
            </w:r>
          </w:p>
        </w:tc>
        <w:tc>
          <w:tcPr/>
          <w:p>
            <w:pPr>
              <w:pStyle w:val="Compact"/>
              <w:jc w:val="right"/>
            </w:pPr>
            <w:r>
              <w:t xml:space="preserve">38.8 [38.1, 39.4]</w:t>
            </w:r>
          </w:p>
        </w:tc>
        <w:tc>
          <w:tcPr/>
          <w:p>
            <w:pPr>
              <w:pStyle w:val="Compact"/>
              <w:jc w:val="right"/>
            </w:pPr>
            <w:r>
              <w:t xml:space="preserve">1.46</w:t>
            </w:r>
          </w:p>
        </w:tc>
        <w:tc>
          <w:tcPr/>
          <w:p>
            <w:pPr>
              <w:pStyle w:val="Compact"/>
              <w:jc w:val="right"/>
            </w:pPr>
            <w:r>
              <w:t xml:space="preserve">37.3 [36.6, 38.0]</w:t>
            </w:r>
          </w:p>
        </w:tc>
        <w:tc>
          <w:tcPr/>
          <w:p>
            <w:pPr>
              <w:pStyle w:val="Compact"/>
              <w:jc w:val="right"/>
            </w:pPr>
            <w:r>
              <w:t xml:space="preserve">36.8</w:t>
            </w:r>
          </w:p>
        </w:tc>
        <w:tc>
          <w:tcPr/>
          <w:p>
            <w:pPr>
              <w:pStyle w:val="Compact"/>
              <w:jc w:val="right"/>
            </w:pPr>
            <w:r>
              <w:t xml:space="preserve">0.5</w:t>
            </w:r>
          </w:p>
        </w:tc>
        <w:tc>
          <w:tcPr/>
          <w:p>
            <w:pPr>
              <w:pStyle w:val="Compact"/>
              <w:jc w:val="right"/>
            </w:pPr>
            <w:r>
              <w:t xml:space="preserve">0.0</w:t>
            </w:r>
          </w:p>
        </w:tc>
        <w:tc>
          <w:tcPr/>
          <w:p>
            <w:pPr>
              <w:pStyle w:val="Compact"/>
              <w:jc w:val="right"/>
            </w:pPr>
            <w:r>
              <w:t xml:space="preserve">72 (63 to 80)</w:t>
            </w:r>
          </w:p>
        </w:tc>
      </w:tr>
      <w:tr>
        <w:tc>
          <w:tcPr/>
          <w:p>
            <w:pPr>
              <w:pStyle w:val="Compact"/>
              <w:jc w:val="left"/>
            </w:pPr>
            <w:r>
              <w:t xml:space="preserve">2016 model</w:t>
            </w:r>
          </w:p>
        </w:tc>
        <w:tc>
          <w:tcPr/>
          <w:p>
            <w:pPr>
              <w:pStyle w:val="Compact"/>
              <w:jc w:val="left"/>
            </w:pPr>
            <w:r>
              <w:t xml:space="preserve">(iv)</w:t>
            </w:r>
          </w:p>
        </w:tc>
        <w:tc>
          <w:tcPr/>
          <w:p>
            <w:pPr>
              <w:pStyle w:val="Compact"/>
              <w:jc w:val="right"/>
            </w:pPr>
            <w:r>
              <w:t xml:space="preserve">65.9 [65.2, 66.5]</w:t>
            </w:r>
          </w:p>
        </w:tc>
        <w:tc>
          <w:tcPr/>
          <w:p>
            <w:pPr>
              <w:pStyle w:val="Compact"/>
              <w:jc w:val="right"/>
            </w:pPr>
            <w:r>
              <w:t xml:space="preserve">1.46</w:t>
            </w:r>
          </w:p>
        </w:tc>
        <w:tc>
          <w:tcPr/>
          <w:p>
            <w:pPr>
              <w:pStyle w:val="Compact"/>
              <w:jc w:val="right"/>
            </w:pPr>
            <w:r>
              <w:t xml:space="preserve">64.4 [63.7, 65.1]</w:t>
            </w:r>
          </w:p>
        </w:tc>
        <w:tc>
          <w:tcPr/>
          <w:p>
            <w:pPr>
              <w:pStyle w:val="Compact"/>
              <w:jc w:val="right"/>
            </w:pPr>
            <w:r>
              <w:t xml:space="preserve">36.8</w:t>
            </w:r>
          </w:p>
        </w:tc>
        <w:tc>
          <w:tcPr/>
          <w:p>
            <w:pPr>
              <w:pStyle w:val="Compact"/>
              <w:jc w:val="right"/>
            </w:pPr>
            <w:r>
              <w:t xml:space="preserve">0.5</w:t>
            </w:r>
          </w:p>
        </w:tc>
        <w:tc>
          <w:tcPr/>
          <w:p>
            <w:pPr>
              <w:pStyle w:val="Compact"/>
              <w:jc w:val="right"/>
            </w:pPr>
            <w:r>
              <w:t xml:space="preserve">27.1</w:t>
            </w:r>
          </w:p>
        </w:tc>
        <w:tc>
          <w:tcPr/>
          <w:p>
            <w:pPr>
              <w:pStyle w:val="Compact"/>
              <w:jc w:val="right"/>
            </w:pPr>
            <w:r>
              <w:t xml:space="preserve">40 (31 to 48)</w:t>
            </w:r>
          </w:p>
        </w:tc>
      </w:tr>
      <w:tr>
        <w:tc>
          <w:tcPr/>
          <w:p>
            <w:pPr>
              <w:pStyle w:val="Compact"/>
              <w:jc w:val="left"/>
            </w:pPr>
            <w:r>
              <w:t xml:space="preserve">2020 Model 1</w:t>
            </w:r>
          </w:p>
        </w:tc>
        <w:tc>
          <w:tcPr/>
          <w:p>
            <w:pPr>
              <w:pStyle w:val="Compact"/>
              <w:jc w:val="left"/>
            </w:pPr>
            <w:r>
              <w:t xml:space="preserve">(i)</w:t>
            </w:r>
          </w:p>
        </w:tc>
        <w:tc>
          <w:tcPr/>
          <w:p>
            <w:pPr>
              <w:pStyle w:val="Compact"/>
              <w:jc w:val="right"/>
            </w:pPr>
            <w:r>
              <w:t xml:space="preserve">8.2 [7.8, 8.6]</w:t>
            </w:r>
          </w:p>
        </w:tc>
        <w:tc>
          <w:tcPr/>
          <w:p>
            <w:pPr>
              <w:pStyle w:val="Compact"/>
              <w:jc w:val="right"/>
            </w:pPr>
            <w:r>
              <w:t xml:space="preserve">0.62</w:t>
            </w:r>
          </w:p>
        </w:tc>
        <w:tc>
          <w:tcPr/>
          <w:p>
            <w:pPr>
              <w:pStyle w:val="Compact"/>
              <w:jc w:val="right"/>
            </w:pPr>
            <w:r>
              <w:t xml:space="preserve">7.6 [7.2, 7.9]</w:t>
            </w:r>
          </w:p>
        </w:tc>
        <w:tc>
          <w:tcPr/>
          <w:p>
            <w:pPr>
              <w:pStyle w:val="Compact"/>
              <w:jc w:val="right"/>
            </w:pPr>
            <w:r>
              <w:t xml:space="preserve">7.0</w:t>
            </w:r>
          </w:p>
        </w:tc>
        <w:tc>
          <w:tcPr/>
          <w:p>
            <w:pPr>
              <w:pStyle w:val="Compact"/>
              <w:jc w:val="right"/>
            </w:pPr>
            <w:r>
              <w:t xml:space="preserve">0.6</w:t>
            </w:r>
          </w:p>
        </w:tc>
        <w:tc>
          <w:tcPr/>
          <w:p>
            <w:pPr>
              <w:pStyle w:val="Compact"/>
              <w:jc w:val="right"/>
            </w:pPr>
            <w:r>
              <w:t xml:space="preserve">0.0</w:t>
            </w:r>
          </w:p>
        </w:tc>
        <w:tc>
          <w:tcPr/>
          <w:p>
            <w:pPr>
              <w:pStyle w:val="Compact"/>
              <w:jc w:val="right"/>
            </w:pPr>
            <w:r>
              <w:t xml:space="preserve">107 (102 to 112)</w:t>
            </w:r>
          </w:p>
        </w:tc>
      </w:tr>
      <w:tr>
        <w:tc>
          <w:tcPr/>
          <w:p>
            <w:pPr>
              <w:pStyle w:val="Compact"/>
              <w:jc w:val="left"/>
            </w:pPr>
            <w:r>
              <w:t xml:space="preserve">2020 Model 1</w:t>
            </w:r>
          </w:p>
        </w:tc>
        <w:tc>
          <w:tcPr/>
          <w:p>
            <w:pPr>
              <w:pStyle w:val="Compact"/>
              <w:jc w:val="left"/>
            </w:pPr>
            <w:r>
              <w:t xml:space="preserve">(ii)</w:t>
            </w:r>
          </w:p>
        </w:tc>
        <w:tc>
          <w:tcPr/>
          <w:p>
            <w:pPr>
              <w:pStyle w:val="Compact"/>
              <w:jc w:val="right"/>
            </w:pPr>
            <w:r>
              <w:t xml:space="preserve">16.1 [15.6, 16.6]</w:t>
            </w:r>
          </w:p>
        </w:tc>
        <w:tc>
          <w:tcPr/>
          <w:p>
            <w:pPr>
              <w:pStyle w:val="Compact"/>
              <w:jc w:val="right"/>
            </w:pPr>
            <w:r>
              <w:t xml:space="preserve">0.62</w:t>
            </w:r>
          </w:p>
        </w:tc>
        <w:tc>
          <w:tcPr/>
          <w:p>
            <w:pPr>
              <w:pStyle w:val="Compact"/>
              <w:jc w:val="right"/>
            </w:pPr>
            <w:r>
              <w:t xml:space="preserve">15.5 [15.0, 16.0]</w:t>
            </w:r>
          </w:p>
        </w:tc>
        <w:tc>
          <w:tcPr/>
          <w:p>
            <w:pPr>
              <w:pStyle w:val="Compact"/>
              <w:jc w:val="right"/>
            </w:pPr>
            <w:r>
              <w:t xml:space="preserve">7.0</w:t>
            </w:r>
          </w:p>
        </w:tc>
        <w:tc>
          <w:tcPr/>
          <w:p>
            <w:pPr>
              <w:pStyle w:val="Compact"/>
              <w:jc w:val="right"/>
            </w:pPr>
            <w:r>
              <w:t xml:space="preserve">0.6</w:t>
            </w:r>
          </w:p>
        </w:tc>
        <w:tc>
          <w:tcPr/>
          <w:p>
            <w:pPr>
              <w:pStyle w:val="Compact"/>
              <w:jc w:val="right"/>
            </w:pPr>
            <w:r>
              <w:t xml:space="preserve">7.9</w:t>
            </w:r>
          </w:p>
        </w:tc>
        <w:tc>
          <w:tcPr/>
          <w:p>
            <w:pPr>
              <w:pStyle w:val="Compact"/>
              <w:jc w:val="right"/>
            </w:pPr>
            <w:r>
              <w:t xml:space="preserve">98 (91 to 104)</w:t>
            </w:r>
          </w:p>
        </w:tc>
      </w:tr>
      <w:tr>
        <w:tc>
          <w:tcPr/>
          <w:p>
            <w:pPr>
              <w:pStyle w:val="Compact"/>
              <w:jc w:val="left"/>
            </w:pPr>
            <w:r>
              <w:t xml:space="preserve">2020 Model 1</w:t>
            </w:r>
          </w:p>
        </w:tc>
        <w:tc>
          <w:tcPr/>
          <w:p>
            <w:pPr>
              <w:pStyle w:val="Compact"/>
              <w:jc w:val="left"/>
            </w:pPr>
            <w:r>
              <w:t xml:space="preserve">(iii)</w:t>
            </w:r>
          </w:p>
        </w:tc>
        <w:tc>
          <w:tcPr/>
          <w:p>
            <w:pPr>
              <w:pStyle w:val="Compact"/>
              <w:jc w:val="right"/>
            </w:pPr>
            <w:r>
              <w:t xml:space="preserve">33.2 [32.6, 33.9]</w:t>
            </w:r>
          </w:p>
        </w:tc>
        <w:tc>
          <w:tcPr/>
          <w:p>
            <w:pPr>
              <w:pStyle w:val="Compact"/>
              <w:jc w:val="right"/>
            </w:pPr>
            <w:r>
              <w:t xml:space="preserve">0.62</w:t>
            </w:r>
          </w:p>
        </w:tc>
        <w:tc>
          <w:tcPr/>
          <w:p>
            <w:pPr>
              <w:pStyle w:val="Compact"/>
              <w:jc w:val="right"/>
            </w:pPr>
            <w:r>
              <w:t xml:space="preserve">32.6 [32.0, 33.3]</w:t>
            </w:r>
          </w:p>
        </w:tc>
        <w:tc>
          <w:tcPr/>
          <w:p>
            <w:pPr>
              <w:pStyle w:val="Compact"/>
              <w:jc w:val="right"/>
            </w:pPr>
            <w:r>
              <w:t xml:space="preserve">32.1</w:t>
            </w:r>
          </w:p>
        </w:tc>
        <w:tc>
          <w:tcPr/>
          <w:p>
            <w:pPr>
              <w:pStyle w:val="Compact"/>
              <w:jc w:val="right"/>
            </w:pPr>
            <w:r>
              <w:t xml:space="preserve">0.5</w:t>
            </w:r>
          </w:p>
        </w:tc>
        <w:tc>
          <w:tcPr/>
          <w:p>
            <w:pPr>
              <w:pStyle w:val="Compact"/>
              <w:jc w:val="right"/>
            </w:pPr>
            <w:r>
              <w:t xml:space="preserve">0.0</w:t>
            </w:r>
          </w:p>
        </w:tc>
        <w:tc>
          <w:tcPr/>
          <w:p>
            <w:pPr>
              <w:pStyle w:val="Compact"/>
              <w:jc w:val="right"/>
            </w:pPr>
            <w:r>
              <w:t xml:space="preserve">78 (69 to 86)</w:t>
            </w:r>
          </w:p>
        </w:tc>
      </w:tr>
      <w:tr>
        <w:tc>
          <w:tcPr/>
          <w:p>
            <w:pPr>
              <w:pStyle w:val="Compact"/>
              <w:jc w:val="left"/>
            </w:pPr>
            <w:r>
              <w:t xml:space="preserve">2020 Model 1</w:t>
            </w:r>
          </w:p>
        </w:tc>
        <w:tc>
          <w:tcPr/>
          <w:p>
            <w:pPr>
              <w:pStyle w:val="Compact"/>
              <w:jc w:val="left"/>
            </w:pPr>
            <w:r>
              <w:t xml:space="preserve">(iv)</w:t>
            </w:r>
          </w:p>
        </w:tc>
        <w:tc>
          <w:tcPr/>
          <w:p>
            <w:pPr>
              <w:pStyle w:val="Compact"/>
              <w:jc w:val="right"/>
            </w:pPr>
            <w:r>
              <w:t xml:space="preserve">72.5 [71.8, 73.1]</w:t>
            </w:r>
          </w:p>
        </w:tc>
        <w:tc>
          <w:tcPr/>
          <w:p>
            <w:pPr>
              <w:pStyle w:val="Compact"/>
              <w:jc w:val="right"/>
            </w:pPr>
            <w:r>
              <w:t xml:space="preserve">0.62</w:t>
            </w:r>
          </w:p>
        </w:tc>
        <w:tc>
          <w:tcPr/>
          <w:p>
            <w:pPr>
              <w:pStyle w:val="Compact"/>
              <w:jc w:val="right"/>
            </w:pPr>
            <w:r>
              <w:t xml:space="preserve">71.8 [71.2, 72.5]</w:t>
            </w:r>
          </w:p>
        </w:tc>
        <w:tc>
          <w:tcPr/>
          <w:p>
            <w:pPr>
              <w:pStyle w:val="Compact"/>
              <w:jc w:val="right"/>
            </w:pPr>
            <w:r>
              <w:t xml:space="preserve">32.1</w:t>
            </w:r>
          </w:p>
        </w:tc>
        <w:tc>
          <w:tcPr/>
          <w:p>
            <w:pPr>
              <w:pStyle w:val="Compact"/>
              <w:jc w:val="right"/>
            </w:pPr>
            <w:r>
              <w:t xml:space="preserve">0.5</w:t>
            </w:r>
          </w:p>
        </w:tc>
        <w:tc>
          <w:tcPr/>
          <w:p>
            <w:pPr>
              <w:pStyle w:val="Compact"/>
              <w:jc w:val="right"/>
            </w:pPr>
            <w:r>
              <w:t xml:space="preserve">39.2</w:t>
            </w:r>
          </w:p>
        </w:tc>
        <w:tc>
          <w:tcPr/>
          <w:p>
            <w:pPr>
              <w:pStyle w:val="Compact"/>
              <w:jc w:val="right"/>
            </w:pPr>
            <w:r>
              <w:t xml:space="preserve">32 (24 to 40)</w:t>
            </w:r>
          </w:p>
        </w:tc>
      </w:tr>
    </w:tbl>
    <w:p>
      <w:pPr>
        <w:numPr>
          <w:ilvl w:val="0"/>
          <w:numId w:val="1032"/>
        </w:numPr>
        <w:pStyle w:val="Compact"/>
      </w:pPr>
      <w:r>
        <w:t xml:space="preserve">The share failing criteria set (i) (adjusted R-squared at least 0.80) is 8.2% to 13.4% in the two models, and a median of 101 to 107 (5th to 95th percentile 95 to 112) of 117 subjects per arm remain in the analysis under rule A. With the adjusted R-squared of at least 0.90 used in public statistical analysis plans (set (iii); Section 3.4) the share is 33.2% to 38.8%, leaving a median of 72 to 78 (5th to 95th percentile 63 to 86); adding a span of at least 3 half-lives (set (iv)) gives 65.9% to 72.5% and a median of 32 to 40 (5th to 95th percentile 24 to 48). Set (i) is therefore the lower end of the conventional range.</w:t>
      </w:r>
    </w:p>
    <w:p>
      <w:pPr>
        <w:numPr>
          <w:ilvl w:val="0"/>
          <w:numId w:val="1032"/>
        </w:numPr>
        <w:pStyle w:val="Compact"/>
      </w:pPr>
      <w:r>
        <w:t xml:space="preserve">Lambda-z is not estimable in 0.62% to 1.46% of subjects; the rest of the failures have an estimable lambda-z that does not meet the criteria, mostly because of the adjusted R-squared.</w:t>
      </w:r>
    </w:p>
    <w:p>
      <w:pPr>
        <w:numPr>
          <w:ilvl w:val="0"/>
          <w:numId w:val="1032"/>
        </w:numPr>
        <w:pStyle w:val="Compact"/>
      </w:pPr>
      <w:r>
        <w:rPr>
          <w:bCs/>
          <w:b/>
        </w:rPr>
        <w:t xml:space="preserve">Residual error.</w:t>
      </w:r>
      <w:r>
        <w:t xml:space="preserve"> </w:t>
      </w:r>
      <w:r>
        <w:t xml:space="preserve">The failure share under sets (iii) and (iv) is the two-model range because it depends on the size of the residual error: the 2016 model has a proportional residual of 24.2% and Model 1 of 15.0%. A larger proportional residual scatters the terminal log concentrations around the regression line and lowers the adjusted R-squared, so a stricter threshold removes more subjects. With the 2016 model and a residual of 12.0%, the set (iii) share falls from 38.8% to 27.2%, whereas the set (iv) share stays at 66.0% because the span requirement fails for a structural reason: the lambda-z window lies before the cliff and cannot span 3 half-lives.</w:t>
      </w:r>
    </w:p>
    <w:p>
      <w:pPr>
        <w:pStyle w:val="CaptionedFigure"/>
      </w:pPr>
      <w:r>
        <w:drawing>
          <wp:inline>
            <wp:extent cx="5334000" cy="2844800"/>
            <wp:effectExtent b="0" l="0" r="0" t="0"/>
            <wp:docPr descr="Figure 5-4. Trial population: share of subjects without a reliable AUC0-inf by criteria set, split into lambda-z not estimable and estimable but not meeting the criteria (planned schedule, 300 mg, 20,000 subjects per model; bars: Wilson 95% intervals of the total). Analysis figure results/trialpop/fig_tp_failure_by_set.png." title="" id="59" name="Picture"/>
            <a:graphic>
              <a:graphicData uri="http://schemas.openxmlformats.org/drawingml/2006/picture">
                <pic:pic>
                  <pic:nvPicPr>
                    <pic:cNvPr descr="../../results/trialpop/fig_tp_failure_by_set.png" id="60" name="Picture"/>
                    <pic:cNvPicPr>
                      <a:picLocks noChangeArrowheads="1" noChangeAspect="1"/>
                    </pic:cNvPicPr>
                  </pic:nvPicPr>
                  <pic:blipFill>
                    <a:blip r:embed="rId58"/>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Figure 5-4. Trial population: share of subjects without a reliable AUC0-inf by criteria set, split into lambda-z not estimable and estimable but not meeting the criteria (planned schedule, 300 mg, 20,000 subjects per model; bars: Wilson 95% intervals of the total). Analysis figure results/trialpop/fig_tp_failure_by_set.png.</w:t>
      </w:r>
    </w:p>
    <w:p>
      <w:pPr>
        <w:pStyle w:val="BodyText"/>
      </w:pPr>
      <w:r>
        <w:rPr>
          <w:bCs/>
          <w:b/>
        </w:rPr>
        <w:t xml:space="preserve">Failures are not random within the trial population.</w:t>
      </w:r>
    </w:p>
    <w:p>
      <w:pPr>
        <w:pStyle w:val="TableCaption"/>
      </w:pPr>
      <w:r>
        <w:t xml:space="preserve">Table 5-6. Trial population: characteristics of subjects failing each criteria set (20,000 subjects per model; Welch 95% intervals, geometric mean ratios on the log scale) and the share failing by randomization stratum (Newcombe 95% interval of the difference).</w:t>
      </w:r>
    </w:p>
    <w:tbl>
      <w:tblPr>
        <w:tblStyle w:val="Table"/>
        <w:tblW w:type="pct" w:w="5000"/>
        <w:tblLook w:firstRow="1" w:lastRow="0" w:firstColumn="0" w:lastColumn="0" w:noHBand="0" w:noVBand="0" w:val="0020"/>
        <w:jc w:val="start"/>
        <w:tblCaption w:val="Table 5-6. Trial population: characteristics of subjects failing each criteria set (20,000 subjects per model; Welch 95% intervals, geometric mean ratios on the log scale) and the share failing by randomization stratum (Newcombe 95% interval of the difference)."/>
      </w:tblPr>
      <w:tblGrid>
        <w:gridCol w:w="322"/>
        <w:gridCol w:w="322"/>
        <w:gridCol w:w="422"/>
        <w:gridCol w:w="1216"/>
        <w:gridCol w:w="1613"/>
        <w:gridCol w:w="1017"/>
        <w:gridCol w:w="794"/>
        <w:gridCol w:w="943"/>
        <w:gridCol w:w="1266"/>
      </w:tblGrid>
      <w:tr>
        <w:trPr>
          <w:tblHeader w:val="true"/>
        </w:trPr>
        <w:tc>
          <w:tcPr/>
          <w:p>
            <w:pPr>
              <w:pStyle w:val="Compact"/>
              <w:jc w:val="left"/>
            </w:pPr>
            <w:r>
              <w:t xml:space="preserve">Model</w:t>
            </w:r>
          </w:p>
        </w:tc>
        <w:tc>
          <w:tcPr/>
          <w:p>
            <w:pPr>
              <w:pStyle w:val="Compact"/>
              <w:jc w:val="left"/>
            </w:pPr>
            <w:r>
              <w:t xml:space="preserve">Criteria set</w:t>
            </w:r>
          </w:p>
        </w:tc>
        <w:tc>
          <w:tcPr/>
          <w:p>
            <w:pPr>
              <w:pStyle w:val="Compact"/>
              <w:jc w:val="right"/>
            </w:pPr>
            <w:r>
              <w:t xml:space="preserve">Failing subjects</w:t>
            </w:r>
          </w:p>
        </w:tc>
        <w:tc>
          <w:tcPr/>
          <w:p>
            <w:pPr>
              <w:pStyle w:val="Compact"/>
              <w:jc w:val="right"/>
            </w:pPr>
            <w:r>
              <w:t xml:space="preserve">Body weight, failing minus retained, kg [95% CI]</w:t>
            </w:r>
          </w:p>
        </w:tc>
        <w:tc>
          <w:tcPr/>
          <w:p>
            <w:pPr>
              <w:pStyle w:val="Compact"/>
              <w:jc w:val="right"/>
            </w:pPr>
            <w:r>
              <w:t xml:space="preserve">True AUC0-inf, geometric mean ratio failing to retained [95% CI]</w:t>
            </w:r>
          </w:p>
        </w:tc>
        <w:tc>
          <w:tcPr/>
          <w:p>
            <w:pPr>
              <w:pStyle w:val="Compact"/>
              <w:jc w:val="right"/>
            </w:pPr>
            <w:r>
              <w:t xml:space="preserve">AUC0-last, geometric mean ratio [95% CI]</w:t>
            </w:r>
          </w:p>
        </w:tc>
        <w:tc>
          <w:tcPr/>
          <w:p>
            <w:pPr>
              <w:pStyle w:val="Compact"/>
              <w:jc w:val="right"/>
            </w:pPr>
            <w:r>
              <w:t xml:space="preserve">Failing, 60 to 75 kg stratum, %</w:t>
            </w:r>
          </w:p>
        </w:tc>
        <w:tc>
          <w:tcPr/>
          <w:p>
            <w:pPr>
              <w:pStyle w:val="Compact"/>
              <w:jc w:val="right"/>
            </w:pPr>
            <w:r>
              <w:t xml:space="preserve">Failing, above 75 to 90 kg stratum, %</w:t>
            </w:r>
          </w:p>
        </w:tc>
        <w:tc>
          <w:tcPr/>
          <w:p>
            <w:pPr>
              <w:pStyle w:val="Compact"/>
              <w:jc w:val="right"/>
            </w:pPr>
            <w:r>
              <w:t xml:space="preserve">Difference, heavier minus lighter, points [95% CI]</w:t>
            </w:r>
          </w:p>
        </w:tc>
      </w:tr>
      <w:tr>
        <w:tc>
          <w:tcPr/>
          <w:p>
            <w:pPr>
              <w:pStyle w:val="Compact"/>
              <w:jc w:val="left"/>
            </w:pPr>
            <w:r>
              <w:t xml:space="preserve">2016 model</w:t>
            </w:r>
          </w:p>
        </w:tc>
        <w:tc>
          <w:tcPr/>
          <w:p>
            <w:pPr>
              <w:pStyle w:val="Compact"/>
              <w:jc w:val="left"/>
            </w:pPr>
            <w:r>
              <w:t xml:space="preserve">(i)</w:t>
            </w:r>
          </w:p>
        </w:tc>
        <w:tc>
          <w:tcPr/>
          <w:p>
            <w:pPr>
              <w:pStyle w:val="Compact"/>
              <w:jc w:val="right"/>
            </w:pPr>
            <w:r>
              <w:t xml:space="preserve">2,687</w:t>
            </w:r>
          </w:p>
        </w:tc>
        <w:tc>
          <w:tcPr/>
          <w:p>
            <w:pPr>
              <w:pStyle w:val="Compact"/>
              <w:jc w:val="right"/>
            </w:pPr>
            <w:r>
              <w:t xml:space="preserve">1.13 [0.84, 1.42]</w:t>
            </w:r>
          </w:p>
        </w:tc>
        <w:tc>
          <w:tcPr/>
          <w:p>
            <w:pPr>
              <w:pStyle w:val="Compact"/>
              <w:jc w:val="right"/>
            </w:pPr>
            <w:r>
              <w:t xml:space="preserve">0.815 [0.802, 0.828]</w:t>
            </w:r>
          </w:p>
        </w:tc>
        <w:tc>
          <w:tcPr/>
          <w:p>
            <w:pPr>
              <w:pStyle w:val="Compact"/>
              <w:jc w:val="right"/>
            </w:pPr>
            <w:r>
              <w:t xml:space="preserve">0.783 [0.770, 0.797]</w:t>
            </w:r>
          </w:p>
        </w:tc>
        <w:tc>
          <w:tcPr/>
          <w:p>
            <w:pPr>
              <w:pStyle w:val="Compact"/>
              <w:jc w:val="right"/>
            </w:pPr>
            <w:r>
              <w:t xml:space="preserve">12.1</w:t>
            </w:r>
          </w:p>
        </w:tc>
        <w:tc>
          <w:tcPr/>
          <w:p>
            <w:pPr>
              <w:pStyle w:val="Compact"/>
              <w:jc w:val="right"/>
            </w:pPr>
            <w:r>
              <w:t xml:space="preserve">14.8</w:t>
            </w:r>
          </w:p>
        </w:tc>
        <w:tc>
          <w:tcPr/>
          <w:p>
            <w:pPr>
              <w:pStyle w:val="Compact"/>
              <w:jc w:val="right"/>
            </w:pPr>
            <w:r>
              <w:t xml:space="preserve">2.7 [1.7, 3.6]</w:t>
            </w:r>
          </w:p>
        </w:tc>
      </w:tr>
      <w:tr>
        <w:tc>
          <w:tcPr/>
          <w:p>
            <w:pPr>
              <w:pStyle w:val="Compact"/>
              <w:jc w:val="left"/>
            </w:pPr>
            <w:r>
              <w:t xml:space="preserve">2016 model</w:t>
            </w:r>
          </w:p>
        </w:tc>
        <w:tc>
          <w:tcPr/>
          <w:p>
            <w:pPr>
              <w:pStyle w:val="Compact"/>
              <w:jc w:val="left"/>
            </w:pPr>
            <w:r>
              <w:t xml:space="preserve">(ii)</w:t>
            </w:r>
          </w:p>
        </w:tc>
        <w:tc>
          <w:tcPr/>
          <w:p>
            <w:pPr>
              <w:pStyle w:val="Compact"/>
              <w:jc w:val="right"/>
            </w:pPr>
            <w:r>
              <w:t xml:space="preserve">3,853</w:t>
            </w:r>
          </w:p>
        </w:tc>
        <w:tc>
          <w:tcPr/>
          <w:p>
            <w:pPr>
              <w:pStyle w:val="Compact"/>
              <w:jc w:val="right"/>
            </w:pPr>
            <w:r>
              <w:t xml:space="preserve">0.96 [0.70, 1.21]</w:t>
            </w:r>
          </w:p>
        </w:tc>
        <w:tc>
          <w:tcPr/>
          <w:p>
            <w:pPr>
              <w:pStyle w:val="Compact"/>
              <w:jc w:val="right"/>
            </w:pPr>
            <w:r>
              <w:t xml:space="preserve">0.842 [0.830, 0.854]</w:t>
            </w:r>
          </w:p>
        </w:tc>
        <w:tc>
          <w:tcPr/>
          <w:p>
            <w:pPr>
              <w:pStyle w:val="Compact"/>
              <w:jc w:val="right"/>
            </w:pPr>
            <w:r>
              <w:t xml:space="preserve">0.808 [0.796, 0.820]</w:t>
            </w:r>
          </w:p>
        </w:tc>
        <w:tc>
          <w:tcPr/>
          <w:p>
            <w:pPr>
              <w:pStyle w:val="Compact"/>
              <w:jc w:val="right"/>
            </w:pPr>
            <w:r>
              <w:t xml:space="preserve">17.6</w:t>
            </w:r>
          </w:p>
        </w:tc>
        <w:tc>
          <w:tcPr/>
          <w:p>
            <w:pPr>
              <w:pStyle w:val="Compact"/>
              <w:jc w:val="right"/>
            </w:pPr>
            <w:r>
              <w:t xml:space="preserve">20.9</w:t>
            </w:r>
          </w:p>
        </w:tc>
        <w:tc>
          <w:tcPr/>
          <w:p>
            <w:pPr>
              <w:pStyle w:val="Compact"/>
              <w:jc w:val="right"/>
            </w:pPr>
            <w:r>
              <w:t xml:space="preserve">3.2 [2.1, 4.3]</w:t>
            </w:r>
          </w:p>
        </w:tc>
      </w:tr>
      <w:tr>
        <w:tc>
          <w:tcPr/>
          <w:p>
            <w:pPr>
              <w:pStyle w:val="Compact"/>
              <w:jc w:val="left"/>
            </w:pPr>
            <w:r>
              <w:t xml:space="preserve">2016 model</w:t>
            </w:r>
          </w:p>
        </w:tc>
        <w:tc>
          <w:tcPr/>
          <w:p>
            <w:pPr>
              <w:pStyle w:val="Compact"/>
              <w:jc w:val="left"/>
            </w:pPr>
            <w:r>
              <w:t xml:space="preserve">(iii)</w:t>
            </w:r>
          </w:p>
        </w:tc>
        <w:tc>
          <w:tcPr/>
          <w:p>
            <w:pPr>
              <w:pStyle w:val="Compact"/>
              <w:jc w:val="right"/>
            </w:pPr>
            <w:r>
              <w:t xml:space="preserve">7,752</w:t>
            </w:r>
          </w:p>
        </w:tc>
        <w:tc>
          <w:tcPr/>
          <w:p>
            <w:pPr>
              <w:pStyle w:val="Compact"/>
              <w:jc w:val="right"/>
            </w:pPr>
            <w:r>
              <w:t xml:space="preserve">0.42 [0.21, 0.62]</w:t>
            </w:r>
          </w:p>
        </w:tc>
        <w:tc>
          <w:tcPr/>
          <w:p>
            <w:pPr>
              <w:pStyle w:val="Compact"/>
              <w:jc w:val="right"/>
            </w:pPr>
            <w:r>
              <w:t xml:space="preserve">0.928 [0.918, 0.938]</w:t>
            </w:r>
          </w:p>
        </w:tc>
        <w:tc>
          <w:tcPr/>
          <w:p>
            <w:pPr>
              <w:pStyle w:val="Compact"/>
              <w:jc w:val="right"/>
            </w:pPr>
            <w:r>
              <w:t xml:space="preserve">0.910 [0.900, 0.920]</w:t>
            </w:r>
          </w:p>
        </w:tc>
        <w:tc>
          <w:tcPr/>
          <w:p>
            <w:pPr>
              <w:pStyle w:val="Compact"/>
              <w:jc w:val="right"/>
            </w:pPr>
            <w:r>
              <w:t xml:space="preserve">37.6</w:t>
            </w:r>
          </w:p>
        </w:tc>
        <w:tc>
          <w:tcPr/>
          <w:p>
            <w:pPr>
              <w:pStyle w:val="Compact"/>
              <w:jc w:val="right"/>
            </w:pPr>
            <w:r>
              <w:t xml:space="preserve">39.9</w:t>
            </w:r>
          </w:p>
        </w:tc>
        <w:tc>
          <w:tcPr/>
          <w:p>
            <w:pPr>
              <w:pStyle w:val="Compact"/>
              <w:jc w:val="right"/>
            </w:pPr>
            <w:r>
              <w:t xml:space="preserve">2.3 [0.9, 3.6]</w:t>
            </w:r>
          </w:p>
        </w:tc>
      </w:tr>
      <w:tr>
        <w:tc>
          <w:tcPr/>
          <w:p>
            <w:pPr>
              <w:pStyle w:val="Compact"/>
              <w:jc w:val="left"/>
            </w:pPr>
            <w:r>
              <w:t xml:space="preserve">2016 model</w:t>
            </w:r>
          </w:p>
        </w:tc>
        <w:tc>
          <w:tcPr/>
          <w:p>
            <w:pPr>
              <w:pStyle w:val="Compact"/>
              <w:jc w:val="left"/>
            </w:pPr>
            <w:r>
              <w:t xml:space="preserve">(iv)</w:t>
            </w:r>
          </w:p>
        </w:tc>
        <w:tc>
          <w:tcPr/>
          <w:p>
            <w:pPr>
              <w:pStyle w:val="Compact"/>
              <w:jc w:val="right"/>
            </w:pPr>
            <w:r>
              <w:t xml:space="preserve">13,170</w:t>
            </w:r>
          </w:p>
        </w:tc>
        <w:tc>
          <w:tcPr/>
          <w:p>
            <w:pPr>
              <w:pStyle w:val="Compact"/>
              <w:jc w:val="right"/>
            </w:pPr>
            <w:r>
              <w:t xml:space="preserve">0.48 [0.27, 0.69]</w:t>
            </w:r>
          </w:p>
        </w:tc>
        <w:tc>
          <w:tcPr/>
          <w:p>
            <w:pPr>
              <w:pStyle w:val="Compact"/>
              <w:jc w:val="right"/>
            </w:pPr>
            <w:r>
              <w:t xml:space="preserve">0.934 [0.924, 0.943]</w:t>
            </w:r>
          </w:p>
        </w:tc>
        <w:tc>
          <w:tcPr/>
          <w:p>
            <w:pPr>
              <w:pStyle w:val="Compact"/>
              <w:jc w:val="right"/>
            </w:pPr>
            <w:r>
              <w:t xml:space="preserve">0.909 [0.899, 0.919]</w:t>
            </w:r>
          </w:p>
        </w:tc>
        <w:tc>
          <w:tcPr/>
          <w:p>
            <w:pPr>
              <w:pStyle w:val="Compact"/>
              <w:jc w:val="right"/>
            </w:pPr>
            <w:r>
              <w:t xml:space="preserve">64.6</w:t>
            </w:r>
          </w:p>
        </w:tc>
        <w:tc>
          <w:tcPr/>
          <w:p>
            <w:pPr>
              <w:pStyle w:val="Compact"/>
              <w:jc w:val="right"/>
            </w:pPr>
            <w:r>
              <w:t xml:space="preserve">67.1</w:t>
            </w:r>
          </w:p>
        </w:tc>
        <w:tc>
          <w:tcPr/>
          <w:p>
            <w:pPr>
              <w:pStyle w:val="Compact"/>
              <w:jc w:val="right"/>
            </w:pPr>
            <w:r>
              <w:t xml:space="preserve">2.5 [1.1, 3.8]</w:t>
            </w:r>
          </w:p>
        </w:tc>
      </w:tr>
      <w:tr>
        <w:tc>
          <w:tcPr/>
          <w:p>
            <w:pPr>
              <w:pStyle w:val="Compact"/>
              <w:jc w:val="left"/>
            </w:pPr>
            <w:r>
              <w:t xml:space="preserve">2020 Model 1</w:t>
            </w:r>
          </w:p>
        </w:tc>
        <w:tc>
          <w:tcPr/>
          <w:p>
            <w:pPr>
              <w:pStyle w:val="Compact"/>
              <w:jc w:val="left"/>
            </w:pPr>
            <w:r>
              <w:t xml:space="preserve">(i)</w:t>
            </w:r>
          </w:p>
        </w:tc>
        <w:tc>
          <w:tcPr/>
          <w:p>
            <w:pPr>
              <w:pStyle w:val="Compact"/>
              <w:jc w:val="right"/>
            </w:pPr>
            <w:r>
              <w:t xml:space="preserve">1,633</w:t>
            </w:r>
          </w:p>
        </w:tc>
        <w:tc>
          <w:tcPr/>
          <w:p>
            <w:pPr>
              <w:pStyle w:val="Compact"/>
              <w:jc w:val="right"/>
            </w:pPr>
            <w:r>
              <w:t xml:space="preserve">0.81 [0.44, 1.18]</w:t>
            </w:r>
          </w:p>
        </w:tc>
        <w:tc>
          <w:tcPr/>
          <w:p>
            <w:pPr>
              <w:pStyle w:val="Compact"/>
              <w:jc w:val="right"/>
            </w:pPr>
            <w:r>
              <w:t xml:space="preserve">0.786 [0.768, 0.804]</w:t>
            </w:r>
          </w:p>
        </w:tc>
        <w:tc>
          <w:tcPr/>
          <w:p>
            <w:pPr>
              <w:pStyle w:val="Compact"/>
              <w:jc w:val="right"/>
            </w:pPr>
            <w:r>
              <w:t xml:space="preserve">0.772 [0.753, 0.790]</w:t>
            </w:r>
          </w:p>
        </w:tc>
        <w:tc>
          <w:tcPr/>
          <w:p>
            <w:pPr>
              <w:pStyle w:val="Compact"/>
              <w:jc w:val="right"/>
            </w:pPr>
            <w:r>
              <w:t xml:space="preserve">7.4</w:t>
            </w:r>
          </w:p>
        </w:tc>
        <w:tc>
          <w:tcPr/>
          <w:p>
            <w:pPr>
              <w:pStyle w:val="Compact"/>
              <w:jc w:val="right"/>
            </w:pPr>
            <w:r>
              <w:t xml:space="preserve">8.9</w:t>
            </w:r>
          </w:p>
        </w:tc>
        <w:tc>
          <w:tcPr/>
          <w:p>
            <w:pPr>
              <w:pStyle w:val="Compact"/>
              <w:jc w:val="right"/>
            </w:pPr>
            <w:r>
              <w:t xml:space="preserve">1.5 [0.7, 2.2]</w:t>
            </w:r>
          </w:p>
        </w:tc>
      </w:tr>
      <w:tr>
        <w:tc>
          <w:tcPr/>
          <w:p>
            <w:pPr>
              <w:pStyle w:val="Compact"/>
              <w:jc w:val="left"/>
            </w:pPr>
            <w:r>
              <w:t xml:space="preserve">2020 Model 1</w:t>
            </w:r>
          </w:p>
        </w:tc>
        <w:tc>
          <w:tcPr/>
          <w:p>
            <w:pPr>
              <w:pStyle w:val="Compact"/>
              <w:jc w:val="left"/>
            </w:pPr>
            <w:r>
              <w:t xml:space="preserve">(ii)</w:t>
            </w:r>
          </w:p>
        </w:tc>
        <w:tc>
          <w:tcPr/>
          <w:p>
            <w:pPr>
              <w:pStyle w:val="Compact"/>
              <w:jc w:val="right"/>
            </w:pPr>
            <w:r>
              <w:t xml:space="preserve">3,217</w:t>
            </w:r>
          </w:p>
        </w:tc>
        <w:tc>
          <w:tcPr/>
          <w:p>
            <w:pPr>
              <w:pStyle w:val="Compact"/>
              <w:jc w:val="right"/>
            </w:pPr>
            <w:r>
              <w:t xml:space="preserve">0.55 [0.27, 0.82]</w:t>
            </w:r>
          </w:p>
        </w:tc>
        <w:tc>
          <w:tcPr/>
          <w:p>
            <w:pPr>
              <w:pStyle w:val="Compact"/>
              <w:jc w:val="right"/>
            </w:pPr>
            <w:r>
              <w:t xml:space="preserve">0.847 [0.833, 0.862]</w:t>
            </w:r>
          </w:p>
        </w:tc>
        <w:tc>
          <w:tcPr/>
          <w:p>
            <w:pPr>
              <w:pStyle w:val="Compact"/>
              <w:jc w:val="right"/>
            </w:pPr>
            <w:r>
              <w:t xml:space="preserve">0.828 [0.813, 0.843]</w:t>
            </w:r>
          </w:p>
        </w:tc>
        <w:tc>
          <w:tcPr/>
          <w:p>
            <w:pPr>
              <w:pStyle w:val="Compact"/>
              <w:jc w:val="right"/>
            </w:pPr>
            <w:r>
              <w:t xml:space="preserve">15.1</w:t>
            </w:r>
          </w:p>
        </w:tc>
        <w:tc>
          <w:tcPr/>
          <w:p>
            <w:pPr>
              <w:pStyle w:val="Compact"/>
              <w:jc w:val="right"/>
            </w:pPr>
            <w:r>
              <w:t xml:space="preserve">17.0</w:t>
            </w:r>
          </w:p>
        </w:tc>
        <w:tc>
          <w:tcPr/>
          <w:p>
            <w:pPr>
              <w:pStyle w:val="Compact"/>
              <w:jc w:val="right"/>
            </w:pPr>
            <w:r>
              <w:t xml:space="preserve">1.9 [0.9, 2.9]</w:t>
            </w:r>
          </w:p>
        </w:tc>
      </w:tr>
      <w:tr>
        <w:tc>
          <w:tcPr/>
          <w:p>
            <w:pPr>
              <w:pStyle w:val="Compact"/>
              <w:jc w:val="left"/>
            </w:pPr>
            <w:r>
              <w:t xml:space="preserve">2020 Model 1</w:t>
            </w:r>
          </w:p>
        </w:tc>
        <w:tc>
          <w:tcPr/>
          <w:p>
            <w:pPr>
              <w:pStyle w:val="Compact"/>
              <w:jc w:val="left"/>
            </w:pPr>
            <w:r>
              <w:t xml:space="preserve">(iii)</w:t>
            </w:r>
          </w:p>
        </w:tc>
        <w:tc>
          <w:tcPr/>
          <w:p>
            <w:pPr>
              <w:pStyle w:val="Compact"/>
              <w:jc w:val="right"/>
            </w:pPr>
            <w:r>
              <w:t xml:space="preserve">6,643</w:t>
            </w:r>
          </w:p>
        </w:tc>
        <w:tc>
          <w:tcPr/>
          <w:p>
            <w:pPr>
              <w:pStyle w:val="Compact"/>
              <w:jc w:val="right"/>
            </w:pPr>
            <w:r>
              <w:t xml:space="preserve">0.35 [0.14, 0.56]</w:t>
            </w:r>
          </w:p>
        </w:tc>
        <w:tc>
          <w:tcPr/>
          <w:p>
            <w:pPr>
              <w:pStyle w:val="Compact"/>
              <w:jc w:val="right"/>
            </w:pPr>
            <w:r>
              <w:t xml:space="preserve">0.895 [0.885, 0.906]</w:t>
            </w:r>
          </w:p>
        </w:tc>
        <w:tc>
          <w:tcPr/>
          <w:p>
            <w:pPr>
              <w:pStyle w:val="Compact"/>
              <w:jc w:val="right"/>
            </w:pPr>
            <w:r>
              <w:t xml:space="preserve">0.891 [0.880, 0.902]</w:t>
            </w:r>
          </w:p>
        </w:tc>
        <w:tc>
          <w:tcPr/>
          <w:p>
            <w:pPr>
              <w:pStyle w:val="Compact"/>
              <w:jc w:val="right"/>
            </w:pPr>
            <w:r>
              <w:t xml:space="preserve">32.2</w:t>
            </w:r>
          </w:p>
        </w:tc>
        <w:tc>
          <w:tcPr/>
          <w:p>
            <w:pPr>
              <w:pStyle w:val="Compact"/>
              <w:jc w:val="right"/>
            </w:pPr>
            <w:r>
              <w:t xml:space="preserve">34.2</w:t>
            </w:r>
          </w:p>
        </w:tc>
        <w:tc>
          <w:tcPr/>
          <w:p>
            <w:pPr>
              <w:pStyle w:val="Compact"/>
              <w:jc w:val="right"/>
            </w:pPr>
            <w:r>
              <w:t xml:space="preserve">2.0 [0.7, 3.4]</w:t>
            </w:r>
          </w:p>
        </w:tc>
      </w:tr>
      <w:tr>
        <w:tc>
          <w:tcPr/>
          <w:p>
            <w:pPr>
              <w:pStyle w:val="Compact"/>
              <w:jc w:val="left"/>
            </w:pPr>
            <w:r>
              <w:t xml:space="preserve">2020 Model 1</w:t>
            </w:r>
          </w:p>
        </w:tc>
        <w:tc>
          <w:tcPr/>
          <w:p>
            <w:pPr>
              <w:pStyle w:val="Compact"/>
              <w:jc w:val="left"/>
            </w:pPr>
            <w:r>
              <w:t xml:space="preserve">(iv)</w:t>
            </w:r>
          </w:p>
        </w:tc>
        <w:tc>
          <w:tcPr/>
          <w:p>
            <w:pPr>
              <w:pStyle w:val="Compact"/>
              <w:jc w:val="right"/>
            </w:pPr>
            <w:r>
              <w:t xml:space="preserve">14,490</w:t>
            </w:r>
          </w:p>
        </w:tc>
        <w:tc>
          <w:tcPr/>
          <w:p>
            <w:pPr>
              <w:pStyle w:val="Compact"/>
              <w:jc w:val="right"/>
            </w:pPr>
            <w:r>
              <w:t xml:space="preserve">0.40 [0.17, 0.62]</w:t>
            </w:r>
          </w:p>
        </w:tc>
        <w:tc>
          <w:tcPr/>
          <w:p>
            <w:pPr>
              <w:pStyle w:val="Compact"/>
              <w:jc w:val="right"/>
            </w:pPr>
            <w:r>
              <w:t xml:space="preserve">0.909 [0.899, 0.920]</w:t>
            </w:r>
          </w:p>
        </w:tc>
        <w:tc>
          <w:tcPr/>
          <w:p>
            <w:pPr>
              <w:pStyle w:val="Compact"/>
              <w:jc w:val="right"/>
            </w:pPr>
            <w:r>
              <w:t xml:space="preserve">0.897 [0.886, 0.908]</w:t>
            </w:r>
          </w:p>
        </w:tc>
        <w:tc>
          <w:tcPr/>
          <w:p>
            <w:pPr>
              <w:pStyle w:val="Compact"/>
              <w:jc w:val="right"/>
            </w:pPr>
            <w:r>
              <w:t xml:space="preserve">71.7</w:t>
            </w:r>
          </w:p>
        </w:tc>
        <w:tc>
          <w:tcPr/>
          <w:p>
            <w:pPr>
              <w:pStyle w:val="Compact"/>
              <w:jc w:val="right"/>
            </w:pPr>
            <w:r>
              <w:t xml:space="preserve">73.3</w:t>
            </w:r>
          </w:p>
        </w:tc>
        <w:tc>
          <w:tcPr/>
          <w:p>
            <w:pPr>
              <w:pStyle w:val="Compact"/>
              <w:jc w:val="right"/>
            </w:pPr>
            <w:r>
              <w:t xml:space="preserve">1.6 [0.4, 2.8]</w:t>
            </w:r>
          </w:p>
        </w:tc>
      </w:tr>
    </w:tbl>
    <w:p>
      <w:pPr>
        <w:numPr>
          <w:ilvl w:val="0"/>
          <w:numId w:val="1033"/>
        </w:numPr>
        <w:pStyle w:val="Compact"/>
      </w:pPr>
      <w:r>
        <w:t xml:space="preserve">Subjects failing set (i) have a true AUC0-inf 0.786 to 0.815 times that of retained subjects (geometric mean ratio), and are 0.81 kg to 1.13 kg heavier. Under set (iii) the ratio is 0.895 to 0.928. Rule A therefore removes subjects with lower exposure.</w:t>
      </w:r>
    </w:p>
    <w:p>
      <w:pPr>
        <w:numPr>
          <w:ilvl w:val="0"/>
          <w:numId w:val="1033"/>
        </w:numPr>
        <w:pStyle w:val="Compact"/>
      </w:pPr>
      <w:r>
        <w:t xml:space="preserve">The heavier randomization stratum (above 75 to 90 kg) fails more often than the lighter stratum (60 to 75 kg): by 1.5 to 2.7 percentage points under set (i) and 2.0 to 2.3 under set (iii) (Table 5-6, Figure 5-5).</w:t>
      </w:r>
    </w:p>
    <w:p>
      <w:pPr>
        <w:numPr>
          <w:ilvl w:val="0"/>
          <w:numId w:val="1033"/>
        </w:numPr>
        <w:pStyle w:val="Compact"/>
      </w:pPr>
      <w:r>
        <w:rPr>
          <w:bCs/>
          <w:b/>
        </w:rPr>
        <w:t xml:space="preserve">Loss of the stratified balance.</w:t>
      </w:r>
      <w:r>
        <w:t xml:space="preserve"> </w:t>
      </w:r>
      <w:r>
        <w:t xml:space="preserve">The randomization balances the strata between arms (the between-arm difference in the share of the heavier stratum is at most 0.9 points), and the AUC0-last analysis set keeps this balance in every trial (5th to 95th percentile -0.9 to 0.9 points). The rule A AUC0-inf analysis set does not: for identical products the between-arm difference in the share of the heavier stratum has a 5th to 95th percentile range of -4.4 to 4.6 points under set (i) and -8.7 to 8.5 points under set (iii), and exceeds 5 points in 1.6% to 6.5% and 28.6% to 33.4% of trials, respectively (two models; 2,000 trials per model).</w:t>
      </w:r>
    </w:p>
    <w:p>
      <w:pPr>
        <w:pStyle w:val="CaptionedFigure"/>
      </w:pPr>
      <w:r>
        <w:drawing>
          <wp:inline>
            <wp:extent cx="5334000" cy="2667000"/>
            <wp:effectExtent b="0" l="0" r="0" t="0"/>
            <wp:docPr descr="Figure 5-5. Trial population: share of subjects without a reliable AUC0-inf by randomization stratum and criteria set (20,000 subjects per model; bars: Wilson 95% intervals). Analysis figure results/trialpop/fig_tp_strata.png." title="" id="62" name="Picture"/>
            <a:graphic>
              <a:graphicData uri="http://schemas.openxmlformats.org/drawingml/2006/picture">
                <pic:pic>
                  <pic:nvPicPr>
                    <pic:cNvPr descr="../../results/trialpop/fig_tp_strata.png" id="63" name="Picture"/>
                    <pic:cNvPicPr>
                      <a:picLocks noChangeArrowheads="1" noChangeAspect="1"/>
                    </pic:cNvPicPr>
                  </pic:nvPicPr>
                  <pic:blipFill>
                    <a:blip r:embed="rId6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5-5. Trial population: share of subjects without a reliable AUC0-inf by randomization stratum and criteria set (20,000 subjects per model; bars: Wilson 95% intervals). Analysis figure results/trialpop/fig_tp_strata.png.</w:t>
      </w:r>
    </w:p>
    <w:p>
      <w:pPr>
        <w:pStyle w:val="BodyText"/>
      </w:pPr>
      <w:r>
        <w:rPr>
          <w:bCs/>
          <w:b/>
        </w:rPr>
        <w:t xml:space="preserve">The failure share depends on the product.</w:t>
      </w:r>
    </w:p>
    <w:p>
      <w:pPr>
        <w:pStyle w:val="TableCaption"/>
      </w:pPr>
      <w:r>
        <w:t xml:space="preserve">Table 5-7. Trial population: difference between arms (test minus reference) in the share of subjects failing the criteria, mean over 2,000 trials per scenario with 95% interval, by scenario and true AUC0-inf ratio.</w:t>
      </w:r>
    </w:p>
    <w:tbl>
      <w:tblPr>
        <w:tblStyle w:val="Table"/>
        <w:tblW w:type="pct" w:w="5000"/>
        <w:tblLook w:firstRow="1" w:lastRow="0" w:firstColumn="0" w:lastColumn="0" w:noHBand="0" w:noVBand="0" w:val="0020"/>
        <w:jc w:val="start"/>
        <w:tblCaption w:val="Table 5-7. Trial population: difference between arms (test minus reference) in the share of subjects failing the criteria, mean over 2,000 trials per scenario with 95% interval, by scenario and true AUC0-inf ratio."/>
      </w:tblPr>
      <w:tblGrid>
        <w:gridCol w:w="605"/>
        <w:gridCol w:w="1910"/>
        <w:gridCol w:w="931"/>
        <w:gridCol w:w="2189"/>
        <w:gridCol w:w="2282"/>
      </w:tblGrid>
      <w:tr>
        <w:trPr>
          <w:tblHeader w:val="true"/>
        </w:trPr>
        <w:tc>
          <w:tcPr/>
          <w:p>
            <w:pPr>
              <w:pStyle w:val="Compact"/>
              <w:jc w:val="left"/>
            </w:pPr>
            <w:r>
              <w:t xml:space="preserve">Model</w:t>
            </w:r>
          </w:p>
        </w:tc>
        <w:tc>
          <w:tcPr/>
          <w:p>
            <w:pPr>
              <w:pStyle w:val="Compact"/>
              <w:jc w:val="left"/>
            </w:pPr>
            <w:r>
              <w:t xml:space="preserve">Scenario</w:t>
            </w:r>
          </w:p>
        </w:tc>
        <w:tc>
          <w:tcPr/>
          <w:p>
            <w:pPr>
              <w:pStyle w:val="Compact"/>
              <w:jc w:val="right"/>
            </w:pPr>
            <w:r>
              <w:t xml:space="preserve">True AUC0-inf ratio</w:t>
            </w:r>
          </w:p>
        </w:tc>
        <w:tc>
          <w:tcPr/>
          <w:p>
            <w:pPr>
              <w:pStyle w:val="Compact"/>
              <w:jc w:val="right"/>
            </w:pPr>
            <w:r>
              <w:t xml:space="preserve">Set (i), test minus reference, points [95% CI]</w:t>
            </w:r>
          </w:p>
        </w:tc>
        <w:tc>
          <w:tcPr/>
          <w:p>
            <w:pPr>
              <w:pStyle w:val="Compact"/>
              <w:jc w:val="right"/>
            </w:pPr>
            <w:r>
              <w:t xml:space="preserve">Set (iii), test minus reference, points [95% CI]</w:t>
            </w:r>
          </w:p>
        </w:tc>
      </w:tr>
      <w:tr>
        <w:tc>
          <w:tcPr/>
          <w:p>
            <w:pPr>
              <w:pStyle w:val="Compact"/>
              <w:jc w:val="left"/>
            </w:pPr>
            <w:r>
              <w:t xml:space="preserve">2016 model</w:t>
            </w:r>
          </w:p>
        </w:tc>
        <w:tc>
          <w:tcPr/>
          <w:p>
            <w:pPr>
              <w:pStyle w:val="Compact"/>
              <w:jc w:val="left"/>
            </w:pPr>
            <w:r>
              <w:t xml:space="preserve">identical products</w:t>
            </w:r>
          </w:p>
        </w:tc>
        <w:tc>
          <w:tcPr/>
          <w:p>
            <w:pPr>
              <w:pStyle w:val="Compact"/>
              <w:jc w:val="right"/>
            </w:pPr>
            <w:r>
              <w:t xml:space="preserve">1.000</w:t>
            </w:r>
          </w:p>
        </w:tc>
        <w:tc>
          <w:tcPr/>
          <w:p>
            <w:pPr>
              <w:pStyle w:val="Compact"/>
              <w:jc w:val="right"/>
            </w:pPr>
            <w:r>
              <w:t xml:space="preserve">-0.09 [-0.29, 0.11]</w:t>
            </w:r>
          </w:p>
        </w:tc>
        <w:tc>
          <w:tcPr/>
          <w:p>
            <w:pPr>
              <w:pStyle w:val="Compact"/>
              <w:jc w:val="right"/>
            </w:pPr>
            <w:r>
              <w:t xml:space="preserve">0.06 [-0.22, 0.34]</w:t>
            </w:r>
          </w:p>
        </w:tc>
      </w:tr>
      <w:tr>
        <w:tc>
          <w:tcPr/>
          <w:p>
            <w:pPr>
              <w:pStyle w:val="Compact"/>
              <w:jc w:val="left"/>
            </w:pPr>
            <w:r>
              <w:t xml:space="preserve">2016 model</w:t>
            </w:r>
          </w:p>
        </w:tc>
        <w:tc>
          <w:tcPr/>
          <w:p>
            <w:pPr>
              <w:pStyle w:val="Compact"/>
              <w:jc w:val="left"/>
            </w:pPr>
            <w:r>
              <w:t xml:space="preserve">F x0.97</w:t>
            </w:r>
          </w:p>
        </w:tc>
        <w:tc>
          <w:tcPr/>
          <w:p>
            <w:pPr>
              <w:pStyle w:val="Compact"/>
              <w:jc w:val="right"/>
            </w:pPr>
            <w:r>
              <w:t xml:space="preserve">0.952</w:t>
            </w:r>
          </w:p>
        </w:tc>
        <w:tc>
          <w:tcPr/>
          <w:p>
            <w:pPr>
              <w:pStyle w:val="Compact"/>
              <w:jc w:val="right"/>
            </w:pPr>
            <w:r>
              <w:t xml:space="preserve">0.58 [0.38, 0.79]</w:t>
            </w:r>
          </w:p>
        </w:tc>
        <w:tc>
          <w:tcPr/>
          <w:p>
            <w:pPr>
              <w:pStyle w:val="Compact"/>
              <w:jc w:val="right"/>
            </w:pPr>
            <w:r>
              <w:t xml:space="preserve">0.61 [0.32, 0.89]</w:t>
            </w:r>
          </w:p>
        </w:tc>
      </w:tr>
      <w:tr>
        <w:tc>
          <w:tcPr/>
          <w:p>
            <w:pPr>
              <w:pStyle w:val="Compact"/>
              <w:jc w:val="left"/>
            </w:pPr>
            <w:r>
              <w:t xml:space="preserve">2016 model</w:t>
            </w:r>
          </w:p>
        </w:tc>
        <w:tc>
          <w:tcPr/>
          <w:p>
            <w:pPr>
              <w:pStyle w:val="Compact"/>
              <w:jc w:val="left"/>
            </w:pPr>
            <w:r>
              <w:t xml:space="preserve">ke x1.10</w:t>
            </w:r>
          </w:p>
        </w:tc>
        <w:tc>
          <w:tcPr/>
          <w:p>
            <w:pPr>
              <w:pStyle w:val="Compact"/>
              <w:jc w:val="right"/>
            </w:pPr>
            <w:r>
              <w:t xml:space="preserve">0.949</w:t>
            </w:r>
          </w:p>
        </w:tc>
        <w:tc>
          <w:tcPr/>
          <w:p>
            <w:pPr>
              <w:pStyle w:val="Compact"/>
              <w:jc w:val="right"/>
            </w:pPr>
            <w:r>
              <w:t xml:space="preserve">-0.10 [-0.30, 0.10]</w:t>
            </w:r>
          </w:p>
        </w:tc>
        <w:tc>
          <w:tcPr/>
          <w:p>
            <w:pPr>
              <w:pStyle w:val="Compact"/>
              <w:jc w:val="right"/>
            </w:pPr>
            <w:r>
              <w:t xml:space="preserve">-0.48 [-0.76, -0.20]</w:t>
            </w:r>
          </w:p>
        </w:tc>
      </w:tr>
      <w:tr>
        <w:tc>
          <w:tcPr/>
          <w:p>
            <w:pPr>
              <w:pStyle w:val="Compact"/>
              <w:jc w:val="left"/>
            </w:pPr>
            <w:r>
              <w:t xml:space="preserve">2016 model</w:t>
            </w:r>
          </w:p>
        </w:tc>
        <w:tc>
          <w:tcPr/>
          <w:p>
            <w:pPr>
              <w:pStyle w:val="Compact"/>
              <w:jc w:val="left"/>
            </w:pPr>
            <w:r>
              <w:t xml:space="preserve">ke x1.20</w:t>
            </w:r>
          </w:p>
        </w:tc>
        <w:tc>
          <w:tcPr/>
          <w:p>
            <w:pPr>
              <w:pStyle w:val="Compact"/>
              <w:jc w:val="right"/>
            </w:pPr>
            <w:r>
              <w:t xml:space="preserve">0.904</w:t>
            </w:r>
          </w:p>
        </w:tc>
        <w:tc>
          <w:tcPr/>
          <w:p>
            <w:pPr>
              <w:pStyle w:val="Compact"/>
              <w:jc w:val="right"/>
            </w:pPr>
            <w:r>
              <w:t xml:space="preserve">0.05 [-0.15, 0.25]</w:t>
            </w:r>
          </w:p>
        </w:tc>
        <w:tc>
          <w:tcPr/>
          <w:p>
            <w:pPr>
              <w:pStyle w:val="Compact"/>
              <w:jc w:val="right"/>
            </w:pPr>
            <w:r>
              <w:t xml:space="preserve">-0.60 [-0.87, -0.32]</w:t>
            </w:r>
          </w:p>
        </w:tc>
      </w:tr>
      <w:tr>
        <w:tc>
          <w:tcPr/>
          <w:p>
            <w:pPr>
              <w:pStyle w:val="Compact"/>
              <w:jc w:val="left"/>
            </w:pPr>
            <w:r>
              <w:t xml:space="preserve">2016 model</w:t>
            </w:r>
          </w:p>
        </w:tc>
        <w:tc>
          <w:tcPr/>
          <w:p>
            <w:pPr>
              <w:pStyle w:val="Compact"/>
              <w:jc w:val="left"/>
            </w:pPr>
            <w:r>
              <w:t xml:space="preserve">Vmax x1.25</w:t>
            </w:r>
          </w:p>
        </w:tc>
        <w:tc>
          <w:tcPr/>
          <w:p>
            <w:pPr>
              <w:pStyle w:val="Compact"/>
              <w:jc w:val="right"/>
            </w:pPr>
            <w:r>
              <w:t xml:space="preserve">0.865</w:t>
            </w:r>
          </w:p>
        </w:tc>
        <w:tc>
          <w:tcPr/>
          <w:p>
            <w:pPr>
              <w:pStyle w:val="Compact"/>
              <w:jc w:val="right"/>
            </w:pPr>
            <w:r>
              <w:t xml:space="preserve">6.64 [6.42, 6.85]</w:t>
            </w:r>
          </w:p>
        </w:tc>
        <w:tc>
          <w:tcPr/>
          <w:p>
            <w:pPr>
              <w:pStyle w:val="Compact"/>
              <w:jc w:val="right"/>
            </w:pPr>
            <w:r>
              <w:t xml:space="preserve">5.58 [5.30, 5.86]</w:t>
            </w:r>
          </w:p>
        </w:tc>
      </w:tr>
      <w:tr>
        <w:tc>
          <w:tcPr/>
          <w:p>
            <w:pPr>
              <w:pStyle w:val="Compact"/>
              <w:jc w:val="left"/>
            </w:pPr>
            <w:r>
              <w:t xml:space="preserve">2016 model</w:t>
            </w:r>
          </w:p>
        </w:tc>
        <w:tc>
          <w:tcPr/>
          <w:p>
            <w:pPr>
              <w:pStyle w:val="Compact"/>
              <w:jc w:val="left"/>
            </w:pPr>
            <w:r>
              <w:t xml:space="preserve">F decreased, true AUC0-inf ratio 0.80</w:t>
            </w:r>
          </w:p>
        </w:tc>
        <w:tc>
          <w:tcPr/>
          <w:p>
            <w:pPr>
              <w:pStyle w:val="Compact"/>
              <w:jc w:val="right"/>
            </w:pPr>
            <w:r>
              <w:t xml:space="preserve">0.800</w:t>
            </w:r>
          </w:p>
        </w:tc>
        <w:tc>
          <w:tcPr/>
          <w:p>
            <w:pPr>
              <w:pStyle w:val="Compact"/>
              <w:jc w:val="right"/>
            </w:pPr>
            <w:r>
              <w:t xml:space="preserve">3.54 [3.33, 3.75]</w:t>
            </w:r>
          </w:p>
        </w:tc>
        <w:tc>
          <w:tcPr/>
          <w:p>
            <w:pPr>
              <w:pStyle w:val="Compact"/>
              <w:jc w:val="right"/>
            </w:pPr>
            <w:r>
              <w:t xml:space="preserve">3.01 [2.73, 3.29]</w:t>
            </w:r>
          </w:p>
        </w:tc>
      </w:tr>
      <w:tr>
        <w:tc>
          <w:tcPr/>
          <w:p>
            <w:pPr>
              <w:pStyle w:val="Compact"/>
              <w:jc w:val="left"/>
            </w:pPr>
            <w:r>
              <w:t xml:space="preserve">2016 model</w:t>
            </w:r>
          </w:p>
        </w:tc>
        <w:tc>
          <w:tcPr/>
          <w:p>
            <w:pPr>
              <w:pStyle w:val="Compact"/>
              <w:jc w:val="left"/>
            </w:pPr>
            <w:r>
              <w:t xml:space="preserve">F increased, true AUC0-inf ratio 1.25</w:t>
            </w:r>
          </w:p>
        </w:tc>
        <w:tc>
          <w:tcPr/>
          <w:p>
            <w:pPr>
              <w:pStyle w:val="Compact"/>
              <w:jc w:val="right"/>
            </w:pPr>
            <w:r>
              <w:t xml:space="preserve">1.250</w:t>
            </w:r>
          </w:p>
        </w:tc>
        <w:tc>
          <w:tcPr/>
          <w:p>
            <w:pPr>
              <w:pStyle w:val="Compact"/>
              <w:jc w:val="right"/>
            </w:pPr>
            <w:r>
              <w:t xml:space="preserve">-2.90 [-3.09, -2.71]</w:t>
            </w:r>
          </w:p>
        </w:tc>
        <w:tc>
          <w:tcPr/>
          <w:p>
            <w:pPr>
              <w:pStyle w:val="Compact"/>
              <w:jc w:val="right"/>
            </w:pPr>
            <w:r>
              <w:t xml:space="preserve">-2.58 [-2.86, -2.31]</w:t>
            </w:r>
          </w:p>
        </w:tc>
      </w:tr>
      <w:tr>
        <w:tc>
          <w:tcPr/>
          <w:p>
            <w:pPr>
              <w:pStyle w:val="Compact"/>
              <w:jc w:val="left"/>
            </w:pPr>
            <w:r>
              <w:t xml:space="preserve">2016 model</w:t>
            </w:r>
          </w:p>
        </w:tc>
        <w:tc>
          <w:tcPr/>
          <w:p>
            <w:pPr>
              <w:pStyle w:val="Compact"/>
              <w:jc w:val="left"/>
            </w:pPr>
            <w:r>
              <w:t xml:space="preserve">ka decreased, true AUC0-inf ratio 0.80</w:t>
            </w:r>
          </w:p>
        </w:tc>
        <w:tc>
          <w:tcPr/>
          <w:p>
            <w:pPr>
              <w:pStyle w:val="Compact"/>
              <w:jc w:val="right"/>
            </w:pPr>
            <w:r>
              <w:t xml:space="preserve">0.799</w:t>
            </w:r>
          </w:p>
        </w:tc>
        <w:tc>
          <w:tcPr/>
          <w:p>
            <w:pPr>
              <w:pStyle w:val="Compact"/>
              <w:jc w:val="right"/>
            </w:pPr>
            <w:r>
              <w:t xml:space="preserve">12.29 [12.06, 12.52]</w:t>
            </w:r>
          </w:p>
        </w:tc>
        <w:tc>
          <w:tcPr/>
          <w:p>
            <w:pPr>
              <w:pStyle w:val="Compact"/>
              <w:jc w:val="right"/>
            </w:pPr>
            <w:r>
              <w:t xml:space="preserve">12.60 [12.31, 12.89]</w:t>
            </w:r>
          </w:p>
        </w:tc>
      </w:tr>
      <w:tr>
        <w:tc>
          <w:tcPr/>
          <w:p>
            <w:pPr>
              <w:pStyle w:val="Compact"/>
              <w:jc w:val="left"/>
            </w:pPr>
            <w:r>
              <w:t xml:space="preserve">2016 model</w:t>
            </w:r>
          </w:p>
        </w:tc>
        <w:tc>
          <w:tcPr/>
          <w:p>
            <w:pPr>
              <w:pStyle w:val="Compact"/>
              <w:jc w:val="left"/>
            </w:pPr>
            <w:r>
              <w:t xml:space="preserve">ke decreased, true AUC0-inf ratio 1.25</w:t>
            </w:r>
          </w:p>
        </w:tc>
        <w:tc>
          <w:tcPr/>
          <w:p>
            <w:pPr>
              <w:pStyle w:val="Compact"/>
              <w:jc w:val="right"/>
            </w:pPr>
            <w:r>
              <w:t xml:space="preserve">1.249</w:t>
            </w:r>
          </w:p>
        </w:tc>
        <w:tc>
          <w:tcPr/>
          <w:p>
            <w:pPr>
              <w:pStyle w:val="Compact"/>
              <w:jc w:val="right"/>
            </w:pPr>
            <w:r>
              <w:t xml:space="preserve">0.07 [-0.13, 0.27]</w:t>
            </w:r>
          </w:p>
        </w:tc>
        <w:tc>
          <w:tcPr/>
          <w:p>
            <w:pPr>
              <w:pStyle w:val="Compact"/>
              <w:jc w:val="right"/>
            </w:pPr>
            <w:r>
              <w:t xml:space="preserve">1.74 [1.45, 2.02]</w:t>
            </w:r>
          </w:p>
        </w:tc>
      </w:tr>
      <w:tr>
        <w:tc>
          <w:tcPr/>
          <w:p>
            <w:pPr>
              <w:pStyle w:val="Compact"/>
              <w:jc w:val="left"/>
            </w:pPr>
            <w:r>
              <w:t xml:space="preserve">2016 model</w:t>
            </w:r>
          </w:p>
        </w:tc>
        <w:tc>
          <w:tcPr/>
          <w:p>
            <w:pPr>
              <w:pStyle w:val="Compact"/>
              <w:jc w:val="left"/>
            </w:pPr>
            <w:r>
              <w:t xml:space="preserve">ke increased, true AUC0-inf ratio 0.80</w:t>
            </w:r>
          </w:p>
        </w:tc>
        <w:tc>
          <w:tcPr/>
          <w:p>
            <w:pPr>
              <w:pStyle w:val="Compact"/>
              <w:jc w:val="right"/>
            </w:pPr>
            <w:r>
              <w:t xml:space="preserve">0.800</w:t>
            </w:r>
          </w:p>
        </w:tc>
        <w:tc>
          <w:tcPr/>
          <w:p>
            <w:pPr>
              <w:pStyle w:val="Compact"/>
              <w:jc w:val="right"/>
            </w:pPr>
            <w:r>
              <w:t xml:space="preserve">0.29 [0.09, 0.50]</w:t>
            </w:r>
          </w:p>
        </w:tc>
        <w:tc>
          <w:tcPr/>
          <w:p>
            <w:pPr>
              <w:pStyle w:val="Compact"/>
              <w:jc w:val="right"/>
            </w:pPr>
            <w:r>
              <w:t xml:space="preserve">-1.38 [-1.66, -1.11]</w:t>
            </w:r>
          </w:p>
        </w:tc>
      </w:tr>
      <w:tr>
        <w:tc>
          <w:tcPr/>
          <w:p>
            <w:pPr>
              <w:pStyle w:val="Compact"/>
              <w:jc w:val="left"/>
            </w:pPr>
            <w:r>
              <w:t xml:space="preserve">2016 model</w:t>
            </w:r>
          </w:p>
        </w:tc>
        <w:tc>
          <w:tcPr/>
          <w:p>
            <w:pPr>
              <w:pStyle w:val="Compact"/>
              <w:jc w:val="left"/>
            </w:pPr>
            <w:r>
              <w:t xml:space="preserve">V2 increased, true AUC0-inf ratio 0.80</w:t>
            </w:r>
          </w:p>
        </w:tc>
        <w:tc>
          <w:tcPr/>
          <w:p>
            <w:pPr>
              <w:pStyle w:val="Compact"/>
              <w:jc w:val="right"/>
            </w:pPr>
            <w:r>
              <w:t xml:space="preserve">0.800</w:t>
            </w:r>
          </w:p>
        </w:tc>
        <w:tc>
          <w:tcPr/>
          <w:p>
            <w:pPr>
              <w:pStyle w:val="Compact"/>
              <w:jc w:val="right"/>
            </w:pPr>
            <w:r>
              <w:t xml:space="preserve">-3.49 [-3.68, -3.30]</w:t>
            </w:r>
          </w:p>
        </w:tc>
        <w:tc>
          <w:tcPr/>
          <w:p>
            <w:pPr>
              <w:pStyle w:val="Compact"/>
              <w:jc w:val="right"/>
            </w:pPr>
            <w:r>
              <w:t xml:space="preserve">-8.45 [-8.72, -8.18]</w:t>
            </w:r>
          </w:p>
        </w:tc>
      </w:tr>
      <w:tr>
        <w:tc>
          <w:tcPr/>
          <w:p>
            <w:pPr>
              <w:pStyle w:val="Compact"/>
              <w:jc w:val="left"/>
            </w:pPr>
            <w:r>
              <w:t xml:space="preserve">2016 model</w:t>
            </w:r>
          </w:p>
        </w:tc>
        <w:tc>
          <w:tcPr/>
          <w:p>
            <w:pPr>
              <w:pStyle w:val="Compact"/>
              <w:jc w:val="left"/>
            </w:pPr>
            <w:r>
              <w:t xml:space="preserve">Vmax decreased, true AUC0-inf ratio 1.25</w:t>
            </w:r>
          </w:p>
        </w:tc>
        <w:tc>
          <w:tcPr/>
          <w:p>
            <w:pPr>
              <w:pStyle w:val="Compact"/>
              <w:jc w:val="right"/>
            </w:pPr>
            <w:r>
              <w:t xml:space="preserve">1.251</w:t>
            </w:r>
          </w:p>
        </w:tc>
        <w:tc>
          <w:tcPr/>
          <w:p>
            <w:pPr>
              <w:pStyle w:val="Compact"/>
              <w:jc w:val="right"/>
            </w:pPr>
            <w:r>
              <w:t xml:space="preserve">-6.41 [-6.59, -6.23]</w:t>
            </w:r>
          </w:p>
        </w:tc>
        <w:tc>
          <w:tcPr/>
          <w:p>
            <w:pPr>
              <w:pStyle w:val="Compact"/>
              <w:jc w:val="right"/>
            </w:pPr>
            <w:r>
              <w:t xml:space="preserve">-7.13 [-7.41, -6.86]</w:t>
            </w:r>
          </w:p>
        </w:tc>
      </w:tr>
      <w:tr>
        <w:tc>
          <w:tcPr/>
          <w:p>
            <w:pPr>
              <w:pStyle w:val="Compact"/>
              <w:jc w:val="left"/>
            </w:pPr>
            <w:r>
              <w:t xml:space="preserve">2016 model</w:t>
            </w:r>
          </w:p>
        </w:tc>
        <w:tc>
          <w:tcPr/>
          <w:p>
            <w:pPr>
              <w:pStyle w:val="Compact"/>
              <w:jc w:val="left"/>
            </w:pPr>
            <w:r>
              <w:t xml:space="preserve">Vmax increased, true AUC0-inf ratio 0.80</w:t>
            </w:r>
          </w:p>
        </w:tc>
        <w:tc>
          <w:tcPr/>
          <w:p>
            <w:pPr>
              <w:pStyle w:val="Compact"/>
              <w:jc w:val="right"/>
            </w:pPr>
            <w:r>
              <w:t xml:space="preserve">0.799</w:t>
            </w:r>
          </w:p>
        </w:tc>
        <w:tc>
          <w:tcPr/>
          <w:p>
            <w:pPr>
              <w:pStyle w:val="Compact"/>
              <w:jc w:val="right"/>
            </w:pPr>
            <w:r>
              <w:t xml:space="preserve">11.03 [10.79, 11.26]</w:t>
            </w:r>
          </w:p>
        </w:tc>
        <w:tc>
          <w:tcPr/>
          <w:p>
            <w:pPr>
              <w:pStyle w:val="Compact"/>
              <w:jc w:val="right"/>
            </w:pPr>
            <w:r>
              <w:t xml:space="preserve">8.95 [8.66, 9.23]</w:t>
            </w:r>
          </w:p>
        </w:tc>
      </w:tr>
      <w:tr>
        <w:tc>
          <w:tcPr/>
          <w:p>
            <w:pPr>
              <w:pStyle w:val="Compact"/>
              <w:jc w:val="left"/>
            </w:pPr>
            <w:r>
              <w:t xml:space="preserve">2020 Model 1</w:t>
            </w:r>
          </w:p>
        </w:tc>
        <w:tc>
          <w:tcPr/>
          <w:p>
            <w:pPr>
              <w:pStyle w:val="Compact"/>
              <w:jc w:val="left"/>
            </w:pPr>
            <w:r>
              <w:t xml:space="preserve">identical products</w:t>
            </w:r>
          </w:p>
        </w:tc>
        <w:tc>
          <w:tcPr/>
          <w:p>
            <w:pPr>
              <w:pStyle w:val="Compact"/>
              <w:jc w:val="right"/>
            </w:pPr>
            <w:r>
              <w:t xml:space="preserve">1.000</w:t>
            </w:r>
          </w:p>
        </w:tc>
        <w:tc>
          <w:tcPr/>
          <w:p>
            <w:pPr>
              <w:pStyle w:val="Compact"/>
              <w:jc w:val="right"/>
            </w:pPr>
            <w:r>
              <w:t xml:space="preserve">0.00 [-0.16, 0.16]</w:t>
            </w:r>
          </w:p>
        </w:tc>
        <w:tc>
          <w:tcPr/>
          <w:p>
            <w:pPr>
              <w:pStyle w:val="Compact"/>
              <w:jc w:val="right"/>
            </w:pPr>
            <w:r>
              <w:t xml:space="preserve">-0.17 [-0.44, 0.11]</w:t>
            </w:r>
          </w:p>
        </w:tc>
      </w:tr>
      <w:tr>
        <w:tc>
          <w:tcPr/>
          <w:p>
            <w:pPr>
              <w:pStyle w:val="Compact"/>
              <w:jc w:val="left"/>
            </w:pPr>
            <w:r>
              <w:t xml:space="preserve">2020 Model 1</w:t>
            </w:r>
          </w:p>
        </w:tc>
        <w:tc>
          <w:tcPr/>
          <w:p>
            <w:pPr>
              <w:pStyle w:val="Compact"/>
              <w:jc w:val="left"/>
            </w:pPr>
            <w:r>
              <w:t xml:space="preserve">F x0.97</w:t>
            </w:r>
          </w:p>
        </w:tc>
        <w:tc>
          <w:tcPr/>
          <w:p>
            <w:pPr>
              <w:pStyle w:val="Compact"/>
              <w:jc w:val="right"/>
            </w:pPr>
            <w:r>
              <w:t xml:space="preserve">0.952</w:t>
            </w:r>
          </w:p>
        </w:tc>
        <w:tc>
          <w:tcPr/>
          <w:p>
            <w:pPr>
              <w:pStyle w:val="Compact"/>
              <w:jc w:val="right"/>
            </w:pPr>
            <w:r>
              <w:t xml:space="preserve">0.36 [0.21, 0.52]</w:t>
            </w:r>
          </w:p>
        </w:tc>
        <w:tc>
          <w:tcPr/>
          <w:p>
            <w:pPr>
              <w:pStyle w:val="Compact"/>
              <w:jc w:val="right"/>
            </w:pPr>
            <w:r>
              <w:t xml:space="preserve">0.45 [0.18, 0.73]</w:t>
            </w:r>
          </w:p>
        </w:tc>
      </w:tr>
      <w:tr>
        <w:tc>
          <w:tcPr/>
          <w:p>
            <w:pPr>
              <w:pStyle w:val="Compact"/>
              <w:jc w:val="left"/>
            </w:pPr>
            <w:r>
              <w:t xml:space="preserve">2020 Model 1</w:t>
            </w:r>
          </w:p>
        </w:tc>
        <w:tc>
          <w:tcPr/>
          <w:p>
            <w:pPr>
              <w:pStyle w:val="Compact"/>
              <w:jc w:val="left"/>
            </w:pPr>
            <w:r>
              <w:t xml:space="preserve">ke x1.10</w:t>
            </w:r>
          </w:p>
        </w:tc>
        <w:tc>
          <w:tcPr/>
          <w:p>
            <w:pPr>
              <w:pStyle w:val="Compact"/>
              <w:jc w:val="right"/>
            </w:pPr>
            <w:r>
              <w:t xml:space="preserve">0.948</w:t>
            </w:r>
          </w:p>
        </w:tc>
        <w:tc>
          <w:tcPr/>
          <w:p>
            <w:pPr>
              <w:pStyle w:val="Compact"/>
              <w:jc w:val="right"/>
            </w:pPr>
            <w:r>
              <w:t xml:space="preserve">-0.11 [-0.27, 0.04]</w:t>
            </w:r>
          </w:p>
        </w:tc>
        <w:tc>
          <w:tcPr/>
          <w:p>
            <w:pPr>
              <w:pStyle w:val="Compact"/>
              <w:jc w:val="right"/>
            </w:pPr>
            <w:r>
              <w:t xml:space="preserve">-0.46 [-0.73, -0.20]</w:t>
            </w:r>
          </w:p>
        </w:tc>
      </w:tr>
      <w:tr>
        <w:tc>
          <w:tcPr/>
          <w:p>
            <w:pPr>
              <w:pStyle w:val="Compact"/>
              <w:jc w:val="left"/>
            </w:pPr>
            <w:r>
              <w:t xml:space="preserve">2020 Model 1</w:t>
            </w:r>
          </w:p>
        </w:tc>
        <w:tc>
          <w:tcPr/>
          <w:p>
            <w:pPr>
              <w:pStyle w:val="Compact"/>
              <w:jc w:val="left"/>
            </w:pPr>
            <w:r>
              <w:t xml:space="preserve">ke x1.20</w:t>
            </w:r>
          </w:p>
        </w:tc>
        <w:tc>
          <w:tcPr/>
          <w:p>
            <w:pPr>
              <w:pStyle w:val="Compact"/>
              <w:jc w:val="right"/>
            </w:pPr>
            <w:r>
              <w:t xml:space="preserve">0.901</w:t>
            </w:r>
          </w:p>
        </w:tc>
        <w:tc>
          <w:tcPr/>
          <w:p>
            <w:pPr>
              <w:pStyle w:val="Compact"/>
              <w:jc w:val="right"/>
            </w:pPr>
            <w:r>
              <w:t xml:space="preserve">-0.16 [-0.31, 0.00]</w:t>
            </w:r>
          </w:p>
        </w:tc>
        <w:tc>
          <w:tcPr/>
          <w:p>
            <w:pPr>
              <w:pStyle w:val="Compact"/>
              <w:jc w:val="right"/>
            </w:pPr>
            <w:r>
              <w:t xml:space="preserve">-0.76 [-1.03, -0.50]</w:t>
            </w:r>
          </w:p>
        </w:tc>
      </w:tr>
      <w:tr>
        <w:tc>
          <w:tcPr/>
          <w:p>
            <w:pPr>
              <w:pStyle w:val="Compact"/>
              <w:jc w:val="left"/>
            </w:pPr>
            <w:r>
              <w:t xml:space="preserve">2020 Model 1</w:t>
            </w:r>
          </w:p>
        </w:tc>
        <w:tc>
          <w:tcPr/>
          <w:p>
            <w:pPr>
              <w:pStyle w:val="Compact"/>
              <w:jc w:val="left"/>
            </w:pPr>
            <w:r>
              <w:t xml:space="preserve">Vmax x1.25</w:t>
            </w:r>
          </w:p>
        </w:tc>
        <w:tc>
          <w:tcPr/>
          <w:p>
            <w:pPr>
              <w:pStyle w:val="Compact"/>
              <w:jc w:val="right"/>
            </w:pPr>
            <w:r>
              <w:t xml:space="preserve">0.866</w:t>
            </w:r>
          </w:p>
        </w:tc>
        <w:tc>
          <w:tcPr/>
          <w:p>
            <w:pPr>
              <w:pStyle w:val="Compact"/>
              <w:jc w:val="right"/>
            </w:pPr>
            <w:r>
              <w:t xml:space="preserve">4.27 [4.10, 4.45]</w:t>
            </w:r>
          </w:p>
        </w:tc>
        <w:tc>
          <w:tcPr/>
          <w:p>
            <w:pPr>
              <w:pStyle w:val="Compact"/>
              <w:jc w:val="right"/>
            </w:pPr>
            <w:r>
              <w:t xml:space="preserve">4.53 [4.26, 4.81]</w:t>
            </w:r>
          </w:p>
        </w:tc>
      </w:tr>
      <w:tr>
        <w:tc>
          <w:tcPr/>
          <w:p>
            <w:pPr>
              <w:pStyle w:val="Compact"/>
              <w:jc w:val="left"/>
            </w:pPr>
            <w:r>
              <w:t xml:space="preserve">2020 Model 1</w:t>
            </w:r>
          </w:p>
        </w:tc>
        <w:tc>
          <w:tcPr/>
          <w:p>
            <w:pPr>
              <w:pStyle w:val="Compact"/>
              <w:jc w:val="left"/>
            </w:pPr>
            <w:r>
              <w:t xml:space="preserve">F decreased, true AUC0-inf ratio 0.80</w:t>
            </w:r>
          </w:p>
        </w:tc>
        <w:tc>
          <w:tcPr/>
          <w:p>
            <w:pPr>
              <w:pStyle w:val="Compact"/>
              <w:jc w:val="right"/>
            </w:pPr>
            <w:r>
              <w:t xml:space="preserve">0.800</w:t>
            </w:r>
          </w:p>
        </w:tc>
        <w:tc>
          <w:tcPr/>
          <w:p>
            <w:pPr>
              <w:pStyle w:val="Compact"/>
              <w:jc w:val="right"/>
            </w:pPr>
            <w:r>
              <w:t xml:space="preserve">2.21 [2.04, 2.38]</w:t>
            </w:r>
          </w:p>
        </w:tc>
        <w:tc>
          <w:tcPr/>
          <w:p>
            <w:pPr>
              <w:pStyle w:val="Compact"/>
              <w:jc w:val="right"/>
            </w:pPr>
            <w:r>
              <w:t xml:space="preserve">2.60 [2.33, 2.88]</w:t>
            </w:r>
          </w:p>
        </w:tc>
      </w:tr>
      <w:tr>
        <w:tc>
          <w:tcPr/>
          <w:p>
            <w:pPr>
              <w:pStyle w:val="Compact"/>
              <w:jc w:val="left"/>
            </w:pPr>
            <w:r>
              <w:t xml:space="preserve">2020 Model 1</w:t>
            </w:r>
          </w:p>
        </w:tc>
        <w:tc>
          <w:tcPr/>
          <w:p>
            <w:pPr>
              <w:pStyle w:val="Compact"/>
              <w:jc w:val="left"/>
            </w:pPr>
            <w:r>
              <w:t xml:space="preserve">F increased, true AUC0-inf ratio 1.25</w:t>
            </w:r>
          </w:p>
        </w:tc>
        <w:tc>
          <w:tcPr/>
          <w:p>
            <w:pPr>
              <w:pStyle w:val="Compact"/>
              <w:jc w:val="right"/>
            </w:pPr>
            <w:r>
              <w:t xml:space="preserve">1.250</w:t>
            </w:r>
          </w:p>
        </w:tc>
        <w:tc>
          <w:tcPr/>
          <w:p>
            <w:pPr>
              <w:pStyle w:val="Compact"/>
              <w:jc w:val="right"/>
            </w:pPr>
            <w:r>
              <w:t xml:space="preserve">-1.54 [-1.69, -1.38]</w:t>
            </w:r>
          </w:p>
        </w:tc>
        <w:tc>
          <w:tcPr/>
          <w:p>
            <w:pPr>
              <w:pStyle w:val="Compact"/>
              <w:jc w:val="right"/>
            </w:pPr>
            <w:r>
              <w:t xml:space="preserve">-2.82 [-3.09, -2.55]</w:t>
            </w:r>
          </w:p>
        </w:tc>
      </w:tr>
      <w:tr>
        <w:tc>
          <w:tcPr/>
          <w:p>
            <w:pPr>
              <w:pStyle w:val="Compact"/>
              <w:jc w:val="left"/>
            </w:pPr>
            <w:r>
              <w:t xml:space="preserve">2020 Model 1</w:t>
            </w:r>
          </w:p>
        </w:tc>
        <w:tc>
          <w:tcPr/>
          <w:p>
            <w:pPr>
              <w:pStyle w:val="Compact"/>
              <w:jc w:val="left"/>
            </w:pPr>
            <w:r>
              <w:t xml:space="preserve">ka decreased, true AUC0-inf ratio 0.80</w:t>
            </w:r>
          </w:p>
        </w:tc>
        <w:tc>
          <w:tcPr/>
          <w:p>
            <w:pPr>
              <w:pStyle w:val="Compact"/>
              <w:jc w:val="right"/>
            </w:pPr>
            <w:r>
              <w:t xml:space="preserve">0.801</w:t>
            </w:r>
          </w:p>
        </w:tc>
        <w:tc>
          <w:tcPr/>
          <w:p>
            <w:pPr>
              <w:pStyle w:val="Compact"/>
              <w:jc w:val="right"/>
            </w:pPr>
            <w:r>
              <w:t xml:space="preserve">10.26 [10.06, 10.45]</w:t>
            </w:r>
          </w:p>
        </w:tc>
        <w:tc>
          <w:tcPr/>
          <w:p>
            <w:pPr>
              <w:pStyle w:val="Compact"/>
              <w:jc w:val="right"/>
            </w:pPr>
            <w:r>
              <w:t xml:space="preserve">12.96 [12.67, 13.24]</w:t>
            </w:r>
          </w:p>
        </w:tc>
      </w:tr>
      <w:tr>
        <w:tc>
          <w:tcPr/>
          <w:p>
            <w:pPr>
              <w:pStyle w:val="Compact"/>
              <w:jc w:val="left"/>
            </w:pPr>
            <w:r>
              <w:t xml:space="preserve">2020 Model 1</w:t>
            </w:r>
          </w:p>
        </w:tc>
        <w:tc>
          <w:tcPr/>
          <w:p>
            <w:pPr>
              <w:pStyle w:val="Compact"/>
              <w:jc w:val="left"/>
            </w:pPr>
            <w:r>
              <w:t xml:space="preserve">ke decreased, true AUC0-inf ratio 1.25</w:t>
            </w:r>
          </w:p>
        </w:tc>
        <w:tc>
          <w:tcPr/>
          <w:p>
            <w:pPr>
              <w:pStyle w:val="Compact"/>
              <w:jc w:val="right"/>
            </w:pPr>
            <w:r>
              <w:t xml:space="preserve">1.250</w:t>
            </w:r>
          </w:p>
        </w:tc>
        <w:tc>
          <w:tcPr/>
          <w:p>
            <w:pPr>
              <w:pStyle w:val="Compact"/>
              <w:jc w:val="right"/>
            </w:pPr>
            <w:r>
              <w:t xml:space="preserve">0.51 [0.35, 0.67]</w:t>
            </w:r>
          </w:p>
        </w:tc>
        <w:tc>
          <w:tcPr/>
          <w:p>
            <w:pPr>
              <w:pStyle w:val="Compact"/>
              <w:jc w:val="right"/>
            </w:pPr>
            <w:r>
              <w:t xml:space="preserve">0.61 [0.34, 0.88]</w:t>
            </w:r>
          </w:p>
        </w:tc>
      </w:tr>
      <w:tr>
        <w:tc>
          <w:tcPr/>
          <w:p>
            <w:pPr>
              <w:pStyle w:val="Compact"/>
              <w:jc w:val="left"/>
            </w:pPr>
            <w:r>
              <w:t xml:space="preserve">2020 Model 1</w:t>
            </w:r>
          </w:p>
        </w:tc>
        <w:tc>
          <w:tcPr/>
          <w:p>
            <w:pPr>
              <w:pStyle w:val="Compact"/>
              <w:jc w:val="left"/>
            </w:pPr>
            <w:r>
              <w:t xml:space="preserve">ke increased, true AUC0-inf ratio 0.80</w:t>
            </w:r>
          </w:p>
        </w:tc>
        <w:tc>
          <w:tcPr/>
          <w:p>
            <w:pPr>
              <w:pStyle w:val="Compact"/>
              <w:jc w:val="right"/>
            </w:pPr>
            <w:r>
              <w:t xml:space="preserve">0.800</w:t>
            </w:r>
          </w:p>
        </w:tc>
        <w:tc>
          <w:tcPr/>
          <w:p>
            <w:pPr>
              <w:pStyle w:val="Compact"/>
              <w:jc w:val="right"/>
            </w:pPr>
            <w:r>
              <w:t xml:space="preserve">-0.47 [-0.63, -0.32]</w:t>
            </w:r>
          </w:p>
        </w:tc>
        <w:tc>
          <w:tcPr/>
          <w:p>
            <w:pPr>
              <w:pStyle w:val="Compact"/>
              <w:jc w:val="right"/>
            </w:pPr>
            <w:r>
              <w:t xml:space="preserve">-2.06 [-2.33, -1.79]</w:t>
            </w:r>
          </w:p>
        </w:tc>
      </w:tr>
      <w:tr>
        <w:tc>
          <w:tcPr/>
          <w:p>
            <w:pPr>
              <w:pStyle w:val="Compact"/>
              <w:jc w:val="left"/>
            </w:pPr>
            <w:r>
              <w:t xml:space="preserve">2020 Model 1</w:t>
            </w:r>
          </w:p>
        </w:tc>
        <w:tc>
          <w:tcPr/>
          <w:p>
            <w:pPr>
              <w:pStyle w:val="Compact"/>
              <w:jc w:val="left"/>
            </w:pPr>
            <w:r>
              <w:t xml:space="preserve">V2 increased, true AUC0-inf ratio 0.80</w:t>
            </w:r>
          </w:p>
        </w:tc>
        <w:tc>
          <w:tcPr/>
          <w:p>
            <w:pPr>
              <w:pStyle w:val="Compact"/>
              <w:jc w:val="right"/>
            </w:pPr>
            <w:r>
              <w:t xml:space="preserve">0.800</w:t>
            </w:r>
          </w:p>
        </w:tc>
        <w:tc>
          <w:tcPr/>
          <w:p>
            <w:pPr>
              <w:pStyle w:val="Compact"/>
              <w:jc w:val="right"/>
            </w:pPr>
            <w:r>
              <w:t xml:space="preserve">-4.06 [-4.20, -3.91]</w:t>
            </w:r>
          </w:p>
        </w:tc>
        <w:tc>
          <w:tcPr/>
          <w:p>
            <w:pPr>
              <w:pStyle w:val="Compact"/>
              <w:jc w:val="right"/>
            </w:pPr>
            <w:r>
              <w:t xml:space="preserve">-9.38 [-9.64, -9.12]</w:t>
            </w:r>
          </w:p>
        </w:tc>
      </w:tr>
      <w:tr>
        <w:tc>
          <w:tcPr/>
          <w:p>
            <w:pPr>
              <w:pStyle w:val="Compact"/>
              <w:jc w:val="left"/>
            </w:pPr>
            <w:r>
              <w:t xml:space="preserve">2020 Model 1</w:t>
            </w:r>
          </w:p>
        </w:tc>
        <w:tc>
          <w:tcPr/>
          <w:p>
            <w:pPr>
              <w:pStyle w:val="Compact"/>
              <w:jc w:val="left"/>
            </w:pPr>
            <w:r>
              <w:t xml:space="preserve">Vmax decreased, true AUC0-inf ratio 1.25</w:t>
            </w:r>
          </w:p>
        </w:tc>
        <w:tc>
          <w:tcPr/>
          <w:p>
            <w:pPr>
              <w:pStyle w:val="Compact"/>
              <w:jc w:val="right"/>
            </w:pPr>
            <w:r>
              <w:t xml:space="preserve">1.251</w:t>
            </w:r>
          </w:p>
        </w:tc>
        <w:tc>
          <w:tcPr/>
          <w:p>
            <w:pPr>
              <w:pStyle w:val="Compact"/>
              <w:jc w:val="right"/>
            </w:pPr>
            <w:r>
              <w:t xml:space="preserve">-4.08 [-4.21, -3.94]</w:t>
            </w:r>
          </w:p>
        </w:tc>
        <w:tc>
          <w:tcPr/>
          <w:p>
            <w:pPr>
              <w:pStyle w:val="Compact"/>
              <w:jc w:val="right"/>
            </w:pPr>
            <w:r>
              <w:t xml:space="preserve">-9.22 [-9.48, -8.96]</w:t>
            </w:r>
          </w:p>
        </w:tc>
      </w:tr>
      <w:tr>
        <w:tc>
          <w:tcPr/>
          <w:p>
            <w:pPr>
              <w:pStyle w:val="Compact"/>
              <w:jc w:val="left"/>
            </w:pPr>
            <w:r>
              <w:t xml:space="preserve">2020 Model 1</w:t>
            </w:r>
          </w:p>
        </w:tc>
        <w:tc>
          <w:tcPr/>
          <w:p>
            <w:pPr>
              <w:pStyle w:val="Compact"/>
              <w:jc w:val="left"/>
            </w:pPr>
            <w:r>
              <w:t xml:space="preserve">Vmax increased, true AUC0-inf ratio 0.80</w:t>
            </w:r>
          </w:p>
        </w:tc>
        <w:tc>
          <w:tcPr/>
          <w:p>
            <w:pPr>
              <w:pStyle w:val="Compact"/>
              <w:jc w:val="right"/>
            </w:pPr>
            <w:r>
              <w:t xml:space="preserve">0.800</w:t>
            </w:r>
          </w:p>
        </w:tc>
        <w:tc>
          <w:tcPr/>
          <w:p>
            <w:pPr>
              <w:pStyle w:val="Compact"/>
              <w:jc w:val="right"/>
            </w:pPr>
            <w:r>
              <w:t xml:space="preserve">7.29 [7.10, 7.48]</w:t>
            </w:r>
          </w:p>
        </w:tc>
        <w:tc>
          <w:tcPr/>
          <w:p>
            <w:pPr>
              <w:pStyle w:val="Compact"/>
              <w:jc w:val="right"/>
            </w:pPr>
            <w:r>
              <w:t xml:space="preserve">7.19 [6.91, 7.47]</w:t>
            </w:r>
          </w:p>
        </w:tc>
      </w:tr>
    </w:tbl>
    <w:p>
      <w:pPr>
        <w:numPr>
          <w:ilvl w:val="0"/>
          <w:numId w:val="1034"/>
        </w:numPr>
        <w:pStyle w:val="Compact"/>
      </w:pPr>
      <w:r>
        <w:t xml:space="preserve">For identical products the share failing is the same in both arms (test minus reference -0.09 to 0.00 percentage points under set (i)). When the products differ, the arms differ by an amount, and in a direction, that depend on the mechanism of the difference rather than on the exposure ratio alone (Table 5-7, Figure 5-6). Under set (i), test minus reference, in percentage points (range over the two models): Vmax x1.25: 4.27 to 6.64; Vmax increased to a true AUC0-inf ratio of 0.80: 7.29 to 11.03; absorption rate decreased to 0.80: 10.26 to 12.29; bioavailability decreased to 0.80: 2.21 to 3.54; peripheral volume increased to 0.80: -4.06 to -3.49 (-9.38 to -8.45 under set (iii)); linear elimination x1.20: -0.16 to 0.05.</w:t>
      </w:r>
    </w:p>
    <w:p>
      <w:pPr>
        <w:numPr>
          <w:ilvl w:val="0"/>
          <w:numId w:val="1034"/>
        </w:numPr>
        <w:pStyle w:val="Compact"/>
      </w:pPr>
      <w:r>
        <w:t xml:space="preserve">A descriptive linear fit of the mean difference on the log true AUC0-inf ratio across the 13 test scenarios of each model has an R-squared of 0.23 to 0.36 under set (i) and 0.17 to 0.18 under set (iii): the true exposure ratio explains little of the difference, because each mechanism changes the terminal profile, and therefore the lambda-z regression, in its own way.</w:t>
      </w:r>
    </w:p>
    <w:p>
      <w:pPr>
        <w:pStyle w:val="CaptionedFigure"/>
      </w:pPr>
      <w:r>
        <w:drawing>
          <wp:inline>
            <wp:extent cx="5334000" cy="3467099"/>
            <wp:effectExtent b="0" l="0" r="0" t="0"/>
            <wp:docPr descr="Figure 5-6. Trial population: test minus reference share failing criteria set (i) (top) and (iii) (bottom) against the true AUC0-inf ratio, product scenarios and boundary scenarios, both models (bars: 95% intervals of the mean). Analysis figure results/trialpop/fig_tp_arm_difference.png." title="" id="65" name="Picture"/>
            <a:graphic>
              <a:graphicData uri="http://schemas.openxmlformats.org/drawingml/2006/picture">
                <pic:pic>
                  <pic:nvPicPr>
                    <pic:cNvPr descr="../../results/trialpop/fig_tp_arm_difference.png" id="66" name="Picture"/>
                    <pic:cNvPicPr>
                      <a:picLocks noChangeArrowheads="1" noChangeAspect="1"/>
                    </pic:cNvPicPr>
                  </pic:nvPicPr>
                  <pic:blipFill>
                    <a:blip r:embed="rId64"/>
                    <a:stretch>
                      <a:fillRect/>
                    </a:stretch>
                  </pic:blipFill>
                  <pic:spPr bwMode="auto">
                    <a:xfrm>
                      <a:off x="0" y="0"/>
                      <a:ext cx="5334000" cy="3467099"/>
                    </a:xfrm>
                    <a:prstGeom prst="rect">
                      <a:avLst/>
                    </a:prstGeom>
                    <a:noFill/>
                    <a:ln w="9525">
                      <a:noFill/>
                      <a:headEnd/>
                      <a:tailEnd/>
                    </a:ln>
                  </pic:spPr>
                </pic:pic>
              </a:graphicData>
            </a:graphic>
          </wp:inline>
        </w:drawing>
      </w:r>
    </w:p>
    <w:p>
      <w:pPr>
        <w:pStyle w:val="ImageCaption"/>
      </w:pPr>
      <w:r>
        <w:t xml:space="preserve">Figure 5-6. Trial population: test minus reference share failing criteria set (i) (top) and (iii) (bottom) against the true AUC0-inf ratio, product scenarios and boundary scenarios, both models (bars: 95% intervals of the mean). Analysis figure results/trialpop/fig_tp_arm_difference.png.</w:t>
      </w:r>
    </w:p>
    <w:p>
      <w:pPr>
        <w:numPr>
          <w:ilvl w:val="0"/>
          <w:numId w:val="1035"/>
        </w:numPr>
        <w:pStyle w:val="Compact"/>
      </w:pPr>
      <w:r>
        <w:rPr>
          <w:bCs/>
          <w:b/>
        </w:rPr>
        <w:t xml:space="preserve">Consequence.</w:t>
      </w:r>
      <w:r>
        <w:t xml:space="preserve"> </w:t>
      </w:r>
      <w:r>
        <w:t xml:space="preserve">An analysis restricted to reliable subjects (rule A) removes subjects with lower true exposure, loses the stratified balance of body weight between the arms, and removes a different share of subjects in the two arms when the products differ, by an amount that depends on the mechanism of the difference (up to 12.3 percentage points under set (i)). The subjects compared then depend on the product difference that the study is meant to detect. The regenerated trials reproduce the per-arm counts of the operating-characteristic trials exactly (264,000 rows compared).</w:t>
      </w:r>
    </w:p>
    <w:bookmarkEnd w:id="67"/>
    <w:bookmarkStart w:id="80" w:name="operating-characteristics"/>
    <w:p>
      <w:pPr>
        <w:pStyle w:val="Heading2"/>
      </w:pPr>
      <w:r>
        <w:t xml:space="preserve">5.4 Operating characteristics</w:t>
      </w:r>
    </w:p>
    <w:bookmarkStart w:id="68" w:name="boundary-scenarios"/>
    <w:p>
      <w:pPr>
        <w:pStyle w:val="Heading3"/>
      </w:pPr>
      <w:r>
        <w:t xml:space="preserve">Boundary scenarios</w:t>
      </w:r>
    </w:p>
    <w:p>
      <w:pPr>
        <w:pStyle w:val="TableCaption"/>
      </w:pPr>
      <w:r>
        <w:t xml:space="preserve">Table 5-8. Test-arm multipliers giving a true AUC0-inf ratio of 0.80 or 1.25 (200,000 common subjects, within 0.1%), and the true Cmax ratio at that multiplier. Unreachable: the multiplier at the end of the search range and its true AUC0-inf ratio.</w:t>
      </w:r>
    </w:p>
    <w:tbl>
      <w:tblPr>
        <w:tblStyle w:val="Table"/>
        <w:tblW w:type="pct" w:w="5000"/>
        <w:tblLook w:firstRow="1" w:lastRow="0" w:firstColumn="0" w:lastColumn="0" w:noHBand="0" w:noVBand="0" w:val="0020"/>
        <w:jc w:val="start"/>
        <w:tblCaption w:val="Table 5-8. Test-arm multipliers giving a true AUC0-inf ratio of 0.80 or 1.25 (200,000 common subjects, within 0.1%), and the true Cmax ratio at that multiplier. Unreachable: the multiplier at the end of the search range and its true AUC0-inf ratio."/>
      </w:tblPr>
      <w:tblGrid>
        <w:gridCol w:w="2160"/>
        <w:gridCol w:w="1440"/>
        <w:gridCol w:w="1440"/>
        <w:gridCol w:w="1440"/>
        <w:gridCol w:w="1440"/>
      </w:tblGrid>
      <w:tr>
        <w:trPr>
          <w:tblHeader w:val="true"/>
        </w:trPr>
        <w:tc>
          <w:tcPr/>
          <w:p>
            <w:pPr>
              <w:pStyle w:val="Compact"/>
              <w:jc w:val="left"/>
            </w:pPr>
            <w:r>
              <w:t xml:space="preserve">Mechanism</w:t>
            </w:r>
          </w:p>
        </w:tc>
        <w:tc>
          <w:tcPr/>
          <w:p>
            <w:pPr>
              <w:pStyle w:val="Compact"/>
              <w:jc w:val="left"/>
            </w:pPr>
            <w:r>
              <w:t xml:space="preserve">2016 model, 0.80</w:t>
            </w:r>
          </w:p>
        </w:tc>
        <w:tc>
          <w:tcPr/>
          <w:p>
            <w:pPr>
              <w:pStyle w:val="Compact"/>
              <w:jc w:val="left"/>
            </w:pPr>
            <w:r>
              <w:t xml:space="preserve">2016 model, 1.25</w:t>
            </w:r>
          </w:p>
        </w:tc>
        <w:tc>
          <w:tcPr/>
          <w:p>
            <w:pPr>
              <w:pStyle w:val="Compact"/>
              <w:jc w:val="left"/>
            </w:pPr>
            <w:r>
              <w:t xml:space="preserve">2020 Model 1, 0.80</w:t>
            </w:r>
          </w:p>
        </w:tc>
        <w:tc>
          <w:tcPr/>
          <w:p>
            <w:pPr>
              <w:pStyle w:val="Compact"/>
              <w:jc w:val="left"/>
            </w:pPr>
            <w:r>
              <w:t xml:space="preserve">2020 Model 1, 1.25</w:t>
            </w:r>
          </w:p>
        </w:tc>
      </w:tr>
      <w:tr>
        <w:tc>
          <w:tcPr/>
          <w:p>
            <w:pPr>
              <w:pStyle w:val="Compact"/>
              <w:jc w:val="left"/>
            </w:pPr>
            <w:r>
              <w:t xml:space="preserve">bioavailability (F)</w:t>
            </w:r>
          </w:p>
        </w:tc>
        <w:tc>
          <w:tcPr/>
          <w:p>
            <w:pPr>
              <w:pStyle w:val="Compact"/>
              <w:jc w:val="left"/>
            </w:pPr>
            <w:r>
              <w:t xml:space="preserve">x0.872 (down); Cmax ratio 0.852</w:t>
            </w:r>
          </w:p>
        </w:tc>
        <w:tc>
          <w:tcPr/>
          <w:p>
            <w:pPr>
              <w:pStyle w:val="Compact"/>
              <w:jc w:val="left"/>
            </w:pPr>
            <w:r>
              <w:t xml:space="preserve">x1.151 (up); Cmax ratio 1.176</w:t>
            </w:r>
          </w:p>
        </w:tc>
        <w:tc>
          <w:tcPr/>
          <w:p>
            <w:pPr>
              <w:pStyle w:val="Compact"/>
              <w:jc w:val="left"/>
            </w:pPr>
            <w:r>
              <w:t xml:space="preserve">x0.871 (down); Cmax ratio 0.852</w:t>
            </w:r>
          </w:p>
        </w:tc>
        <w:tc>
          <w:tcPr/>
          <w:p>
            <w:pPr>
              <w:pStyle w:val="Compact"/>
              <w:jc w:val="left"/>
            </w:pPr>
            <w:r>
              <w:t xml:space="preserve">x1.153 (up); Cmax ratio 1.176</w:t>
            </w:r>
          </w:p>
        </w:tc>
      </w:tr>
      <w:tr>
        <w:tc>
          <w:tcPr/>
          <w:p>
            <w:pPr>
              <w:pStyle w:val="Compact"/>
              <w:jc w:val="left"/>
            </w:pPr>
            <w:r>
              <w:t xml:space="preserve">Michaelis-Menten constant (Km)</w:t>
            </w:r>
          </w:p>
        </w:tc>
        <w:tc>
          <w:tcPr/>
          <w:p>
            <w:pPr>
              <w:pStyle w:val="Compact"/>
              <w:jc w:val="left"/>
            </w:pPr>
            <w:r>
              <w:t xml:space="preserve">unreachable (x0.01: 0.999)</w:t>
            </w:r>
          </w:p>
        </w:tc>
        <w:tc>
          <w:tcPr/>
          <w:p>
            <w:pPr>
              <w:pStyle w:val="Compact"/>
              <w:jc w:val="left"/>
            </w:pPr>
            <w:r>
              <w:t xml:space="preserve">unreachable (x100: 1.059)</w:t>
            </w:r>
          </w:p>
        </w:tc>
        <w:tc>
          <w:tcPr/>
          <w:p>
            <w:pPr>
              <w:pStyle w:val="Compact"/>
              <w:jc w:val="left"/>
            </w:pPr>
            <w:r>
              <w:t xml:space="preserve">unreachable (x0.01: 0.999)</w:t>
            </w:r>
          </w:p>
        </w:tc>
        <w:tc>
          <w:tcPr/>
          <w:p>
            <w:pPr>
              <w:pStyle w:val="Compact"/>
              <w:jc w:val="left"/>
            </w:pPr>
            <w:r>
              <w:t xml:space="preserve">unreachable (x100: 1.054)</w:t>
            </w:r>
          </w:p>
        </w:tc>
      </w:tr>
      <w:tr>
        <w:tc>
          <w:tcPr/>
          <w:p>
            <w:pPr>
              <w:pStyle w:val="Compact"/>
              <w:jc w:val="left"/>
            </w:pPr>
            <w:r>
              <w:t xml:space="preserve">peripheral volume (V2)</w:t>
            </w:r>
          </w:p>
        </w:tc>
        <w:tc>
          <w:tcPr/>
          <w:p>
            <w:pPr>
              <w:pStyle w:val="Compact"/>
              <w:jc w:val="left"/>
            </w:pPr>
            <w:r>
              <w:t xml:space="preserve">x3.210 (up); Cmax ratio 0.963</w:t>
            </w:r>
          </w:p>
        </w:tc>
        <w:tc>
          <w:tcPr/>
          <w:p>
            <w:pPr>
              <w:pStyle w:val="Compact"/>
              <w:jc w:val="left"/>
            </w:pPr>
            <w:r>
              <w:t xml:space="preserve">unreachable (x0.1: 1.191)</w:t>
            </w:r>
          </w:p>
        </w:tc>
        <w:tc>
          <w:tcPr/>
          <w:p>
            <w:pPr>
              <w:pStyle w:val="Compact"/>
              <w:jc w:val="left"/>
            </w:pPr>
            <w:r>
              <w:t xml:space="preserve">x2.277 (up); Cmax ratio 0.891</w:t>
            </w:r>
          </w:p>
        </w:tc>
        <w:tc>
          <w:tcPr/>
          <w:p>
            <w:pPr>
              <w:pStyle w:val="Compact"/>
              <w:jc w:val="left"/>
            </w:pPr>
            <w:r>
              <w:t xml:space="preserve">unreachable (x0.1: 1.223)</w:t>
            </w:r>
          </w:p>
        </w:tc>
      </w:tr>
      <w:tr>
        <w:tc>
          <w:tcPr/>
          <w:p>
            <w:pPr>
              <w:pStyle w:val="Compact"/>
              <w:jc w:val="left"/>
            </w:pPr>
            <w:r>
              <w:t xml:space="preserve">maximum target-mediated elimination rate (Vmax)</w:t>
            </w:r>
          </w:p>
        </w:tc>
        <w:tc>
          <w:tcPr/>
          <w:p>
            <w:pPr>
              <w:pStyle w:val="Compact"/>
              <w:jc w:val="left"/>
            </w:pPr>
            <w:r>
              <w:t xml:space="preserve">x1.395 (up); Cmax ratio 0.938</w:t>
            </w:r>
          </w:p>
        </w:tc>
        <w:tc>
          <w:tcPr/>
          <w:p>
            <w:pPr>
              <w:pStyle w:val="Compact"/>
              <w:jc w:val="left"/>
            </w:pPr>
            <w:r>
              <w:t xml:space="preserve">x0.660 (down); Cmax ratio 1.054</w:t>
            </w:r>
          </w:p>
        </w:tc>
        <w:tc>
          <w:tcPr/>
          <w:p>
            <w:pPr>
              <w:pStyle w:val="Compact"/>
              <w:jc w:val="left"/>
            </w:pPr>
            <w:r>
              <w:t xml:space="preserve">x1.397 (up); Cmax ratio 0.941</w:t>
            </w:r>
          </w:p>
        </w:tc>
        <w:tc>
          <w:tcPr/>
          <w:p>
            <w:pPr>
              <w:pStyle w:val="Compact"/>
              <w:jc w:val="left"/>
            </w:pPr>
            <w:r>
              <w:t xml:space="preserve">x0.651 (down); Cmax ratio 1.053</w:t>
            </w:r>
          </w:p>
        </w:tc>
      </w:tr>
      <w:tr>
        <w:tc>
          <w:tcPr/>
          <w:p>
            <w:pPr>
              <w:pStyle w:val="Compact"/>
              <w:jc w:val="left"/>
            </w:pPr>
            <w:r>
              <w:t xml:space="preserve">absorption rate constant (ka)</w:t>
            </w:r>
          </w:p>
        </w:tc>
        <w:tc>
          <w:tcPr/>
          <w:p>
            <w:pPr>
              <w:pStyle w:val="Compact"/>
              <w:jc w:val="left"/>
            </w:pPr>
            <w:r>
              <w:t xml:space="preserve">x0.440 (down); Cmax ratio 0.632</w:t>
            </w:r>
          </w:p>
        </w:tc>
        <w:tc>
          <w:tcPr/>
          <w:p>
            <w:pPr>
              <w:pStyle w:val="Compact"/>
              <w:jc w:val="left"/>
            </w:pPr>
            <w:r>
              <w:t xml:space="preserve">unreachable (x10: 1.118)</w:t>
            </w:r>
          </w:p>
        </w:tc>
        <w:tc>
          <w:tcPr/>
          <w:p>
            <w:pPr>
              <w:pStyle w:val="Compact"/>
              <w:jc w:val="left"/>
            </w:pPr>
            <w:r>
              <w:t xml:space="preserve">x0.424 (down); Cmax ratio 0.633</w:t>
            </w:r>
          </w:p>
        </w:tc>
        <w:tc>
          <w:tcPr/>
          <w:p>
            <w:pPr>
              <w:pStyle w:val="Compact"/>
              <w:jc w:val="left"/>
            </w:pPr>
            <w:r>
              <w:t xml:space="preserve">unreachable (x10: 1.109)</w:t>
            </w:r>
          </w:p>
        </w:tc>
      </w:tr>
      <w:tr>
        <w:tc>
          <w:tcPr/>
          <w:p>
            <w:pPr>
              <w:pStyle w:val="Compact"/>
              <w:jc w:val="left"/>
            </w:pPr>
            <w:r>
              <w:t xml:space="preserve">linear elimination rate constant (ke)</w:t>
            </w:r>
          </w:p>
        </w:tc>
        <w:tc>
          <w:tcPr/>
          <w:p>
            <w:pPr>
              <w:pStyle w:val="Compact"/>
              <w:jc w:val="left"/>
            </w:pPr>
            <w:r>
              <w:t xml:space="preserve">x1.471 (up); Cmax ratio 0.929</w:t>
            </w:r>
          </w:p>
        </w:tc>
        <w:tc>
          <w:tcPr/>
          <w:p>
            <w:pPr>
              <w:pStyle w:val="Compact"/>
              <w:jc w:val="left"/>
            </w:pPr>
            <w:r>
              <w:t xml:space="preserve">x0.633 (down); Cmax ratio 1.067</w:t>
            </w:r>
          </w:p>
        </w:tc>
        <w:tc>
          <w:tcPr/>
          <w:p>
            <w:pPr>
              <w:pStyle w:val="Compact"/>
              <w:jc w:val="left"/>
            </w:pPr>
            <w:r>
              <w:t xml:space="preserve">x1.457 (up); Cmax ratio 0.933</w:t>
            </w:r>
          </w:p>
        </w:tc>
        <w:tc>
          <w:tcPr/>
          <w:p>
            <w:pPr>
              <w:pStyle w:val="Compact"/>
              <w:jc w:val="left"/>
            </w:pPr>
            <w:r>
              <w:t xml:space="preserve">x0.643 (down); Cmax ratio 1.064</w:t>
            </w:r>
          </w:p>
        </w:tc>
      </w:tr>
    </w:tbl>
    <w:p>
      <w:pPr>
        <w:pStyle w:val="BodyText"/>
      </w:pPr>
      <w:r>
        <w:t xml:space="preserve">16 boundary scenarios (8 per model) are reachable. Several are not:</w:t>
      </w:r>
    </w:p>
    <w:p>
      <w:pPr>
        <w:numPr>
          <w:ilvl w:val="0"/>
          <w:numId w:val="1036"/>
        </w:numPr>
        <w:pStyle w:val="Compact"/>
      </w:pPr>
      <w:r>
        <w:t xml:space="preserve">Km cannot move the true AUC0-inf ratio to either limit within x0.01 to x100 (Section 5.6).</w:t>
      </w:r>
    </w:p>
    <w:p>
      <w:pPr>
        <w:numPr>
          <w:ilvl w:val="0"/>
          <w:numId w:val="1036"/>
        </w:numPr>
        <w:pStyle w:val="Compact"/>
      </w:pPr>
      <w:r>
        <w:t xml:space="preserve">Increased ka and decreased V2 cannot reach 1.25.</w:t>
      </w:r>
    </w:p>
    <w:p>
      <w:pPr>
        <w:numPr>
          <w:ilvl w:val="0"/>
          <w:numId w:val="1036"/>
        </w:numPr>
        <w:pStyle w:val="Compact"/>
      </w:pPr>
      <w:r>
        <w:t xml:space="preserve">The ka decrease that reaches 0.80 lowers the true Cmax ratio to 0.632 to 0.633, so any configuration containing Cmax fails in that scenario.</w:t>
      </w:r>
    </w:p>
    <w:bookmarkEnd w:id="68"/>
    <w:bookmarkStart w:id="72" w:name="boundary-type-i-error-primary-metric"/>
    <w:p>
      <w:pPr>
        <w:pStyle w:val="Heading3"/>
      </w:pPr>
      <w:r>
        <w:t xml:space="preserve">Boundary type I error (primary metric)</w:t>
      </w:r>
    </w:p>
    <w:p>
      <w:pPr>
        <w:pStyle w:val="TableCaption"/>
      </w:pPr>
      <w:r>
        <w:t xml:space="preserve">Table 5-9. Boundary type I error (true AUC0-inf ratio 0.80 or 1.25): number of the 8 boundary scenarios per model with a point estimate above 5% (Wilson lower bound above 5%); largest value, % [Wilson 95% CI], and its scenario. 10,000 trials per scenario (20,000 for the 2020 model V2 scenario, see text).</w:t>
      </w:r>
    </w:p>
    <w:tbl>
      <w:tblPr>
        <w:tblStyle w:val="Table"/>
        <w:tblW w:type="pct" w:w="5000"/>
        <w:tblLook w:firstRow="1" w:lastRow="0" w:firstColumn="0" w:lastColumn="0" w:noHBand="0" w:noVBand="0" w:val="0020"/>
        <w:jc w:val="start"/>
        <w:tblCaption w:val="Table 5-9. Boundary type I error (true AUC0-inf ratio 0.80 or 1.25): number of the 8 boundary scenarios per model with a point estimate above 5% (Wilson lower bound above 5%); largest value, % [Wilson 95% CI], and its scenario. 10,000 trials per scenario (20,000 for the 2020 model V2 scenario, see text)."/>
      </w:tblPr>
      <w:tblGrid>
        <w:gridCol w:w="2464"/>
        <w:gridCol w:w="854"/>
        <w:gridCol w:w="2300"/>
        <w:gridCol w:w="2300"/>
      </w:tblGrid>
      <w:tr>
        <w:trPr>
          <w:tblHeader w:val="true"/>
        </w:trPr>
        <w:tc>
          <w:tcPr/>
          <w:p>
            <w:pPr>
              <w:pStyle w:val="Compact"/>
              <w:jc w:val="left"/>
            </w:pPr>
            <w:r>
              <w:t xml:space="preserve">Configuration</w:t>
            </w:r>
          </w:p>
        </w:tc>
        <w:tc>
          <w:tcPr/>
          <w:p>
            <w:pPr>
              <w:pStyle w:val="Compact"/>
              <w:jc w:val="left"/>
            </w:pPr>
            <w:r>
              <w:t xml:space="preserve">Status</w:t>
            </w:r>
          </w:p>
        </w:tc>
        <w:tc>
          <w:tcPr/>
          <w:p>
            <w:pPr>
              <w:pStyle w:val="Compact"/>
              <w:jc w:val="left"/>
            </w:pPr>
            <w:r>
              <w:t xml:space="preserve">2016 model</w:t>
            </w:r>
          </w:p>
        </w:tc>
        <w:tc>
          <w:tcPr/>
          <w:p>
            <w:pPr>
              <w:pStyle w:val="Compact"/>
              <w:jc w:val="left"/>
            </w:pPr>
            <w:r>
              <w:t xml:space="preserve">2020 Model 1</w:t>
            </w:r>
          </w:p>
        </w:tc>
      </w:tr>
      <w:tr>
        <w:tc>
          <w:tcPr/>
          <w:p>
            <w:pPr>
              <w:pStyle w:val="Compact"/>
              <w:jc w:val="left"/>
            </w:pPr>
            <w:r>
              <w:t xml:space="preserve">AUC0-last + Cmax (proposed)</w:t>
            </w:r>
          </w:p>
        </w:tc>
        <w:tc>
          <w:tcPr/>
          <w:p>
            <w:pPr>
              <w:pStyle w:val="Compact"/>
              <w:jc w:val="left"/>
            </w:pPr>
            <w:r>
              <w:t xml:space="preserve">pre-specified</w:t>
            </w:r>
          </w:p>
        </w:tc>
        <w:tc>
          <w:tcPr/>
          <w:p>
            <w:pPr>
              <w:pStyle w:val="Compact"/>
              <w:jc w:val="left"/>
            </w:pPr>
            <w:r>
              <w:t xml:space="preserve">0 (0); 3.97 [3.60, 4.37], V2 increased, true AUC0-inf ratio 0.80</w:t>
            </w:r>
          </w:p>
        </w:tc>
        <w:tc>
          <w:tcPr/>
          <w:p>
            <w:pPr>
              <w:pStyle w:val="Compact"/>
              <w:jc w:val="left"/>
            </w:pPr>
            <w:r>
              <w:t xml:space="preserve">1 (0); 5.18 [4.88, 5.50], V2 increased, true AUC0-inf ratio 0.80</w:t>
            </w:r>
          </w:p>
        </w:tc>
      </w:tr>
      <w:tr>
        <w:tc>
          <w:tcPr/>
          <w:p>
            <w:pPr>
              <w:pStyle w:val="Compact"/>
              <w:jc w:val="left"/>
            </w:pPr>
            <w:r>
              <w:t xml:space="preserve">AUC0-last alone (reference)</w:t>
            </w:r>
          </w:p>
        </w:tc>
        <w:tc>
          <w:tcPr/>
          <w:p>
            <w:pPr>
              <w:pStyle w:val="Compact"/>
              <w:jc w:val="left"/>
            </w:pPr>
            <w:r>
              <w:t xml:space="preserve">pre-specified (reference)</w:t>
            </w:r>
          </w:p>
        </w:tc>
        <w:tc>
          <w:tcPr/>
          <w:p>
            <w:pPr>
              <w:pStyle w:val="Compact"/>
              <w:jc w:val="left"/>
            </w:pPr>
            <w:r>
              <w:t xml:space="preserve">0 (0); 4.74 [4.34, 5.17], ka decreased, true AUC0-inf ratio 0.80</w:t>
            </w:r>
          </w:p>
        </w:tc>
        <w:tc>
          <w:tcPr/>
          <w:p>
            <w:pPr>
              <w:pStyle w:val="Compact"/>
              <w:jc w:val="left"/>
            </w:pPr>
            <w:r>
              <w:t xml:space="preserve">2 (0); 5.20 [4.90, 5.51], V2 increased, true AUC0-inf ratio 0.80</w:t>
            </w:r>
          </w:p>
        </w:tc>
      </w:tr>
      <w:tr>
        <w:tc>
          <w:tcPr/>
          <w:p>
            <w:pPr>
              <w:pStyle w:val="Compact"/>
              <w:jc w:val="left"/>
            </w:pPr>
            <w:r>
              <w:t xml:space="preserve">AUC0-inf + Cmax, rule A, criteria (ii) (guidance default as pre-specified)</w:t>
            </w:r>
          </w:p>
        </w:tc>
        <w:tc>
          <w:tcPr/>
          <w:p>
            <w:pPr>
              <w:pStyle w:val="Compact"/>
              <w:jc w:val="left"/>
            </w:pPr>
            <w:r>
              <w:t xml:space="preserve">pre-specified</w:t>
            </w:r>
          </w:p>
        </w:tc>
        <w:tc>
          <w:tcPr/>
          <w:p>
            <w:pPr>
              <w:pStyle w:val="Compact"/>
              <w:jc w:val="left"/>
            </w:pPr>
            <w:r>
              <w:t xml:space="preserve">6 (6); 24.58 [23.75, 25.43], Vmax decreased, true AUC0-inf ratio 1.25</w:t>
            </w:r>
          </w:p>
        </w:tc>
        <w:tc>
          <w:tcPr/>
          <w:p>
            <w:pPr>
              <w:pStyle w:val="Compact"/>
              <w:jc w:val="left"/>
            </w:pPr>
            <w:r>
              <w:t xml:space="preserve">6 (6); 27.60 [26.73, 28.48], Vmax decreased, true AUC0-inf ratio 1.25</w:t>
            </w:r>
          </w:p>
        </w:tc>
      </w:tr>
      <w:tr>
        <w:tc>
          <w:tcPr/>
          <w:p>
            <w:pPr>
              <w:pStyle w:val="Compact"/>
              <w:jc w:val="left"/>
            </w:pPr>
            <w:r>
              <w:t xml:space="preserve">AUC0-inf + Cmax, rule A, criteria (i)</w:t>
            </w:r>
          </w:p>
        </w:tc>
        <w:tc>
          <w:tcPr/>
          <w:p>
            <w:pPr>
              <w:pStyle w:val="Compact"/>
              <w:jc w:val="left"/>
            </w:pPr>
            <w:r>
              <w:t xml:space="preserve">post hoc</w:t>
            </w:r>
          </w:p>
        </w:tc>
        <w:tc>
          <w:tcPr/>
          <w:p>
            <w:pPr>
              <w:pStyle w:val="Compact"/>
              <w:jc w:val="left"/>
            </w:pPr>
            <w:r>
              <w:t xml:space="preserve">4 (4); 19.91 [19.14, 20.70], Vmax increased, true AUC0-inf ratio 0.80</w:t>
            </w:r>
          </w:p>
        </w:tc>
        <w:tc>
          <w:tcPr/>
          <w:p>
            <w:pPr>
              <w:pStyle w:val="Compact"/>
              <w:jc w:val="left"/>
            </w:pPr>
            <w:r>
              <w:t xml:space="preserve">4 (4); 17.37 [16.64, 18.13], Vmax increased, true AUC0-inf ratio 0.80</w:t>
            </w:r>
          </w:p>
        </w:tc>
      </w:tr>
      <w:tr>
        <w:tc>
          <w:tcPr/>
          <w:p>
            <w:pPr>
              <w:pStyle w:val="Compact"/>
              <w:jc w:val="left"/>
            </w:pPr>
            <w:r>
              <w:t xml:space="preserve">AUC0-inf + Cmax, rule B</w:t>
            </w:r>
          </w:p>
        </w:tc>
        <w:tc>
          <w:tcPr/>
          <w:p>
            <w:pPr>
              <w:pStyle w:val="Compact"/>
              <w:jc w:val="left"/>
            </w:pPr>
            <w:r>
              <w:t xml:space="preserve">post hoc</w:t>
            </w:r>
          </w:p>
        </w:tc>
        <w:tc>
          <w:tcPr/>
          <w:p>
            <w:pPr>
              <w:pStyle w:val="Compact"/>
              <w:jc w:val="left"/>
            </w:pPr>
            <w:r>
              <w:t xml:space="preserve">4 (3); 15.06 [14.37, 15.77], Vmax increased, true AUC0-inf ratio 0.80</w:t>
            </w:r>
          </w:p>
        </w:tc>
        <w:tc>
          <w:tcPr/>
          <w:p>
            <w:pPr>
              <w:pStyle w:val="Compact"/>
              <w:jc w:val="left"/>
            </w:pPr>
            <w:r>
              <w:t xml:space="preserve">4 (3); 11.87 [11.25, 12.52], Vmax increased, true AUC0-inf ratio 0.80</w:t>
            </w:r>
          </w:p>
        </w:tc>
      </w:tr>
      <w:tr>
        <w:tc>
          <w:tcPr/>
          <w:p>
            <w:pPr>
              <w:pStyle w:val="Compact"/>
              <w:jc w:val="left"/>
            </w:pPr>
            <w:r>
              <w:t xml:space="preserve">AUC0-inf + Cmax, rule C, criteria (ii)</w:t>
            </w:r>
          </w:p>
        </w:tc>
        <w:tc>
          <w:tcPr/>
          <w:p>
            <w:pPr>
              <w:pStyle w:val="Compact"/>
              <w:jc w:val="left"/>
            </w:pPr>
            <w:r>
              <w:t xml:space="preserve">post hoc</w:t>
            </w:r>
          </w:p>
        </w:tc>
        <w:tc>
          <w:tcPr/>
          <w:p>
            <w:pPr>
              <w:pStyle w:val="Compact"/>
              <w:jc w:val="left"/>
            </w:pPr>
            <w:r>
              <w:t xml:space="preserve">0 (0); 3.85 [3.49, 4.25], ke increased, true AUC0-inf ratio 0.80</w:t>
            </w:r>
          </w:p>
        </w:tc>
        <w:tc>
          <w:tcPr/>
          <w:p>
            <w:pPr>
              <w:pStyle w:val="Compact"/>
              <w:jc w:val="left"/>
            </w:pPr>
            <w:r>
              <w:t xml:space="preserve">1 (0); 5.01 [4.71, 5.32], V2 increased, true AUC0-inf ratio 0.80</w:t>
            </w:r>
          </w:p>
        </w:tc>
      </w:tr>
      <w:tr>
        <w:tc>
          <w:tcPr/>
          <w:p>
            <w:pPr>
              <w:pStyle w:val="Compact"/>
              <w:jc w:val="left"/>
            </w:pPr>
            <w:r>
              <w:t xml:space="preserve">AUC0-inf + Cmax, rule C, criteria (i)</w:t>
            </w:r>
          </w:p>
        </w:tc>
        <w:tc>
          <w:tcPr/>
          <w:p>
            <w:pPr>
              <w:pStyle w:val="Compact"/>
              <w:jc w:val="left"/>
            </w:pPr>
            <w:r>
              <w:t xml:space="preserve">post hoc</w:t>
            </w:r>
          </w:p>
        </w:tc>
        <w:tc>
          <w:tcPr/>
          <w:p>
            <w:pPr>
              <w:pStyle w:val="Compact"/>
              <w:jc w:val="left"/>
            </w:pPr>
            <w:r>
              <w:t xml:space="preserve">0 (0); 4.13 [3.76, 4.54], F decreased, true AUC0-inf ratio 0.80</w:t>
            </w:r>
          </w:p>
        </w:tc>
        <w:tc>
          <w:tcPr/>
          <w:p>
            <w:pPr>
              <w:pStyle w:val="Compact"/>
              <w:jc w:val="left"/>
            </w:pPr>
            <w:r>
              <w:t xml:space="preserve">0 (0); 4.63 [4.34, 4.92], V2 increased, true AUC0-inf ratio 0.80</w:t>
            </w:r>
          </w:p>
        </w:tc>
      </w:tr>
      <w:tr>
        <w:tc>
          <w:tcPr/>
          <w:p>
            <w:pPr>
              <w:pStyle w:val="Compact"/>
              <w:jc w:val="left"/>
            </w:pPr>
            <w:r>
              <w:t xml:space="preserve">AUC0-last + AUC0-inf + Cmax, rule A, criteria (ii)</w:t>
            </w:r>
          </w:p>
        </w:tc>
        <w:tc>
          <w:tcPr/>
          <w:p>
            <w:pPr>
              <w:pStyle w:val="Compact"/>
              <w:jc w:val="left"/>
            </w:pPr>
            <w:r>
              <w:t xml:space="preserve">pre-specified</w:t>
            </w:r>
          </w:p>
        </w:tc>
        <w:tc>
          <w:tcPr/>
          <w:p>
            <w:pPr>
              <w:pStyle w:val="Compact"/>
              <w:jc w:val="left"/>
            </w:pPr>
            <w:r>
              <w:t xml:space="preserve">0 (0); 2.69 [2.39, 3.03], F decreased, true AUC0-inf ratio 0.80</w:t>
            </w:r>
          </w:p>
        </w:tc>
        <w:tc>
          <w:tcPr/>
          <w:p>
            <w:pPr>
              <w:pStyle w:val="Compact"/>
              <w:jc w:val="left"/>
            </w:pPr>
            <w:r>
              <w:t xml:space="preserve">0 (0); 3.03 [2.71, 3.38], F decreased, true AUC0-inf ratio 0.80</w:t>
            </w:r>
          </w:p>
        </w:tc>
      </w:tr>
      <w:tr>
        <w:tc>
          <w:tcPr/>
          <w:p>
            <w:pPr>
              <w:pStyle w:val="Compact"/>
              <w:jc w:val="left"/>
            </w:pPr>
            <w:r>
              <w:t xml:space="preserve">AUC0-last + AUC0-inf + Cmax, rule C, criteria (ii)</w:t>
            </w:r>
          </w:p>
        </w:tc>
        <w:tc>
          <w:tcPr/>
          <w:p>
            <w:pPr>
              <w:pStyle w:val="Compact"/>
              <w:jc w:val="left"/>
            </w:pPr>
            <w:r>
              <w:t xml:space="preserve">pre-specified</w:t>
            </w:r>
          </w:p>
        </w:tc>
        <w:tc>
          <w:tcPr/>
          <w:p>
            <w:pPr>
              <w:pStyle w:val="Compact"/>
              <w:jc w:val="left"/>
            </w:pPr>
            <w:r>
              <w:t xml:space="preserve">0 (0); 3.51 [3.17, 3.89], F decreased, true AUC0-inf ratio 0.80</w:t>
            </w:r>
          </w:p>
        </w:tc>
        <w:tc>
          <w:tcPr/>
          <w:p>
            <w:pPr>
              <w:pStyle w:val="Compact"/>
              <w:jc w:val="left"/>
            </w:pPr>
            <w:r>
              <w:t xml:space="preserve">0 (0); 4.76 [4.47, 5.06], V2 increased, true AUC0-inf ratio 0.80</w:t>
            </w:r>
          </w:p>
        </w:tc>
      </w:tr>
      <w:tr>
        <w:tc>
          <w:tcPr/>
          <w:p>
            <w:pPr>
              <w:pStyle w:val="Compact"/>
              <w:jc w:val="left"/>
            </w:pPr>
            <w:r>
              <w:t xml:space="preserve">AUC0-inf alone, rule A, criteria (ii)</w:t>
            </w:r>
          </w:p>
        </w:tc>
        <w:tc>
          <w:tcPr/>
          <w:p>
            <w:pPr>
              <w:pStyle w:val="Compact"/>
              <w:jc w:val="left"/>
            </w:pPr>
            <w:r>
              <w:t xml:space="preserve">pre-specified (reference)</w:t>
            </w:r>
          </w:p>
        </w:tc>
        <w:tc>
          <w:tcPr/>
          <w:p>
            <w:pPr>
              <w:pStyle w:val="Compact"/>
              <w:jc w:val="left"/>
            </w:pPr>
            <w:r>
              <w:t xml:space="preserve">7 (7); 35.84 [34.91, 36.79], ka decreased, true AUC0-inf ratio 0.80</w:t>
            </w:r>
          </w:p>
        </w:tc>
        <w:tc>
          <w:tcPr/>
          <w:p>
            <w:pPr>
              <w:pStyle w:val="Compact"/>
              <w:jc w:val="left"/>
            </w:pPr>
            <w:r>
              <w:t xml:space="preserve">7 (7); 36.53 [35.59, 37.48], ka decreased, true AUC0-inf ratio 0.80</w:t>
            </w:r>
          </w:p>
        </w:tc>
      </w:tr>
      <w:tr>
        <w:tc>
          <w:tcPr/>
          <w:p>
            <w:pPr>
              <w:pStyle w:val="Compact"/>
              <w:jc w:val="left"/>
            </w:pPr>
            <w:r>
              <w:t xml:space="preserve">AUC0-inf alone, rule B</w:t>
            </w:r>
          </w:p>
        </w:tc>
        <w:tc>
          <w:tcPr/>
          <w:p>
            <w:pPr>
              <w:pStyle w:val="Compact"/>
              <w:jc w:val="left"/>
            </w:pPr>
            <w:r>
              <w:t xml:space="preserve">post hoc (reference)</w:t>
            </w:r>
          </w:p>
        </w:tc>
        <w:tc>
          <w:tcPr/>
          <w:p>
            <w:pPr>
              <w:pStyle w:val="Compact"/>
              <w:jc w:val="left"/>
            </w:pPr>
            <w:r>
              <w:t xml:space="preserve">5 (5); 16.02 [15.31, 16.75], ka decreased, true AUC0-inf ratio 0.80</w:t>
            </w:r>
          </w:p>
        </w:tc>
        <w:tc>
          <w:tcPr/>
          <w:p>
            <w:pPr>
              <w:pStyle w:val="Compact"/>
              <w:jc w:val="left"/>
            </w:pPr>
            <w:r>
              <w:t xml:space="preserve">5 (4); 16.23 [15.52, 16.97], ka decreased, true AUC0-inf ratio 0.80</w:t>
            </w:r>
          </w:p>
        </w:tc>
      </w:tr>
      <w:tr>
        <w:tc>
          <w:tcPr/>
          <w:p>
            <w:pPr>
              <w:pStyle w:val="Compact"/>
              <w:jc w:val="left"/>
            </w:pPr>
            <w:r>
              <w:t xml:space="preserve">AUC0-inf alone, rule C, criteria (ii)</w:t>
            </w:r>
          </w:p>
        </w:tc>
        <w:tc>
          <w:tcPr/>
          <w:p>
            <w:pPr>
              <w:pStyle w:val="Compact"/>
              <w:jc w:val="left"/>
            </w:pPr>
            <w:r>
              <w:t xml:space="preserve">post hoc (reference)</w:t>
            </w:r>
          </w:p>
        </w:tc>
        <w:tc>
          <w:tcPr/>
          <w:p>
            <w:pPr>
              <w:pStyle w:val="Compact"/>
              <w:jc w:val="left"/>
            </w:pPr>
            <w:r>
              <w:t xml:space="preserve">0 (0); 4.00 [3.63, 4.40], ka decreased, true AUC0-inf ratio 0.80</w:t>
            </w:r>
          </w:p>
        </w:tc>
        <w:tc>
          <w:tcPr/>
          <w:p>
            <w:pPr>
              <w:pStyle w:val="Compact"/>
              <w:jc w:val="left"/>
            </w:pPr>
            <w:r>
              <w:t xml:space="preserve">1 (0); 5.03 [4.73, 5.34], V2 increased, true AUC0-inf ratio 0.80</w:t>
            </w:r>
          </w:p>
        </w:tc>
      </w:tr>
    </w:tbl>
    <w:p>
      <w:pPr>
        <w:pStyle w:val="CaptionedFigure"/>
      </w:pPr>
      <w:r>
        <w:drawing>
          <wp:inline>
            <wp:extent cx="5334000" cy="2773680"/>
            <wp:effectExtent b="0" l="0" r="0" t="0"/>
            <wp:docPr descr="Figure 5-7. Boundary type I error of the proposed configuration and of AUC0-inf + Cmax under three handling rules, for the 16 boundary scenarios (rows: model and scenario). Points: estimate; horizontal lines: Wilson 95% intervals; dashed line: 5%. Orange marks scenarios whose Wilson lower bound is above 5%. 10,000 trials per scenario (20,000 for the 2020 model V2 scenario). Drawn from results/oc/g2_rules_flags.csv." title="" id="70" name="Picture"/>
            <a:graphic>
              <a:graphicData uri="http://schemas.openxmlformats.org/drawingml/2006/picture">
                <pic:pic>
                  <pic:nvPicPr>
                    <pic:cNvPr descr="../figures/fig5_4_boundary_type1.png" id="71" name="Picture"/>
                    <pic:cNvPicPr>
                      <a:picLocks noChangeArrowheads="1" noChangeAspect="1"/>
                    </pic:cNvPicPr>
                  </pic:nvPicPr>
                  <pic:blipFill>
                    <a:blip r:embed="rId69"/>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Figure 5-7. Boundary type I error of the proposed configuration and of AUC0-inf + Cmax under three handling rules, for the 16 boundary scenarios (rows: model and scenario). Points: estimate; horizontal lines: Wilson 95% intervals; dashed line: 5%. Orange marks scenarios whose Wilson lower bound is above 5%. 10,000 trials per scenario (20,000 for the 2020 model V2 scenario). Drawn from results/oc/g2_rules_flags.csv.</w:t>
      </w:r>
    </w:p>
    <w:bookmarkEnd w:id="72"/>
    <w:bookmarkStart w:id="73" w:name="X02d4f953bc14e90944658988886c072f274dda6"/>
    <w:p>
      <w:pPr>
        <w:pStyle w:val="Heading3"/>
      </w:pPr>
      <w:r>
        <w:t xml:space="preserve">Interpretation for the proposed configuration</w:t>
      </w:r>
    </w:p>
    <w:p>
      <w:pPr>
        <w:pStyle w:val="TableCaption"/>
      </w:pPr>
      <w:r>
        <w:t xml:space="preserve">Table 5-10. AUC0-last + Cmax at each boundary scenario, with the pass rate of the unbiased reference (model-integrated AUC0-inf of the same trial subjects, analysed identically), the bias of AUC0-last relative to the true AUC0-inf ratio and the Cmax pass rate.</w:t>
      </w:r>
    </w:p>
    <w:tbl>
      <w:tblPr>
        <w:tblStyle w:val="Table"/>
        <w:tblW w:type="pct" w:w="5000"/>
        <w:tblLook w:firstRow="1" w:lastRow="0" w:firstColumn="0" w:lastColumn="0" w:noHBand="0" w:noVBand="0" w:val="0020"/>
        <w:jc w:val="start"/>
        <w:tblCaption w:val="Table 5-10. AUC0-last + Cmax at each boundary scenario, with the pass rate of the unbiased reference (model-integrated AUC0-inf of the same trial subjects, analysed identically), the bias of AUC0-last relative to the true AUC0-inf ratio and the Cmax pass rate."/>
      </w:tblPr>
      <w:tblGrid>
        <w:gridCol w:w="517"/>
        <w:gridCol w:w="1950"/>
        <w:gridCol w:w="278"/>
        <w:gridCol w:w="1154"/>
        <w:gridCol w:w="517"/>
        <w:gridCol w:w="1512"/>
        <w:gridCol w:w="1432"/>
        <w:gridCol w:w="557"/>
      </w:tblGrid>
      <w:tr>
        <w:trPr>
          <w:tblHeader w:val="true"/>
        </w:trPr>
        <w:tc>
          <w:tcPr/>
          <w:p>
            <w:pPr>
              <w:pStyle w:val="Compact"/>
              <w:jc w:val="left"/>
            </w:pPr>
            <w:r>
              <w:t xml:space="preserve">Model</w:t>
            </w:r>
          </w:p>
        </w:tc>
        <w:tc>
          <w:tcPr/>
          <w:p>
            <w:pPr>
              <w:pStyle w:val="Compact"/>
              <w:jc w:val="left"/>
            </w:pPr>
            <w:r>
              <w:t xml:space="preserve">Scenario</w:t>
            </w:r>
          </w:p>
        </w:tc>
        <w:tc>
          <w:tcPr/>
          <w:p>
            <w:pPr>
              <w:pStyle w:val="Compact"/>
              <w:jc w:val="right"/>
            </w:pPr>
            <w:r>
              <w:t xml:space="preserve">Trials</w:t>
            </w:r>
          </w:p>
        </w:tc>
        <w:tc>
          <w:tcPr/>
          <w:p>
            <w:pPr>
              <w:pStyle w:val="Compact"/>
              <w:jc w:val="right"/>
            </w:pPr>
            <w:r>
              <w:t xml:space="preserve">AUC0-last + Cmax, % [95% CI]</w:t>
            </w:r>
          </w:p>
        </w:tc>
        <w:tc>
          <w:tcPr/>
          <w:p>
            <w:pPr>
              <w:pStyle w:val="Compact"/>
              <w:jc w:val="left"/>
            </w:pPr>
            <w:r>
              <w:t xml:space="preserve">Class</w:t>
            </w:r>
          </w:p>
        </w:tc>
        <w:tc>
          <w:tcPr/>
          <w:p>
            <w:pPr>
              <w:pStyle w:val="Compact"/>
              <w:jc w:val="right"/>
            </w:pPr>
            <w:r>
              <w:t xml:space="preserve">Unbiased reference (true AUC0-inf), %</w:t>
            </w:r>
          </w:p>
        </w:tc>
        <w:tc>
          <w:tcPr/>
          <w:p>
            <w:pPr>
              <w:pStyle w:val="Compact"/>
              <w:jc w:val="right"/>
            </w:pPr>
            <w:r>
              <w:t xml:space="preserve">AUC0-last bias vs true AUC0-inf (%)</w:t>
            </w:r>
          </w:p>
        </w:tc>
        <w:tc>
          <w:tcPr/>
          <w:p>
            <w:pPr>
              <w:pStyle w:val="Compact"/>
              <w:jc w:val="right"/>
            </w:pPr>
            <w:r>
              <w:t xml:space="preserve">Cmax pass (%)</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right"/>
            </w:pPr>
            <w:r>
              <w:t xml:space="preserve">10,000</w:t>
            </w:r>
          </w:p>
        </w:tc>
        <w:tc>
          <w:tcPr/>
          <w:p>
            <w:pPr>
              <w:pStyle w:val="Compact"/>
              <w:jc w:val="right"/>
            </w:pPr>
            <w:r>
              <w:t xml:space="preserve">3.71 [3.36, 4.10]</w:t>
            </w:r>
          </w:p>
        </w:tc>
        <w:tc>
          <w:tcPr/>
          <w:p>
            <w:pPr>
              <w:pStyle w:val="Compact"/>
              <w:jc w:val="left"/>
            </w:pPr>
            <w:r>
              <w:t xml:space="preserve">conservative</w:t>
            </w:r>
          </w:p>
        </w:tc>
        <w:tc>
          <w:tcPr/>
          <w:p>
            <w:pPr>
              <w:pStyle w:val="Compact"/>
              <w:jc w:val="right"/>
            </w:pPr>
            <w:r>
              <w:t xml:space="preserve">4.48</w:t>
            </w:r>
          </w:p>
        </w:tc>
        <w:tc>
          <w:tcPr/>
          <w:p>
            <w:pPr>
              <w:pStyle w:val="Compact"/>
              <w:jc w:val="right"/>
            </w:pPr>
            <w:r>
              <w:t xml:space="preserve">-0.51</w:t>
            </w:r>
          </w:p>
        </w:tc>
        <w:tc>
          <w:tcPr/>
          <w:p>
            <w:pPr>
              <w:pStyle w:val="Compact"/>
              <w:jc w:val="right"/>
            </w:pPr>
            <w:r>
              <w:t xml:space="preserve">39.8</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right"/>
            </w:pPr>
            <w:r>
              <w:t xml:space="preserve">10,000</w:t>
            </w:r>
          </w:p>
        </w:tc>
        <w:tc>
          <w:tcPr/>
          <w:p>
            <w:pPr>
              <w:pStyle w:val="Compact"/>
              <w:jc w:val="right"/>
            </w:pPr>
            <w:r>
              <w:t xml:space="preserve">3.97 [3.60, 4.37]</w:t>
            </w:r>
          </w:p>
        </w:tc>
        <w:tc>
          <w:tcPr/>
          <w:p>
            <w:pPr>
              <w:pStyle w:val="Compact"/>
              <w:jc w:val="left"/>
            </w:pPr>
            <w:r>
              <w:t xml:space="preserve">conservative</w:t>
            </w:r>
          </w:p>
        </w:tc>
        <w:tc>
          <w:tcPr/>
          <w:p>
            <w:pPr>
              <w:pStyle w:val="Compact"/>
              <w:jc w:val="right"/>
            </w:pPr>
            <w:r>
              <w:t xml:space="preserve">4.39</w:t>
            </w:r>
          </w:p>
        </w:tc>
        <w:tc>
          <w:tcPr/>
          <w:p>
            <w:pPr>
              <w:pStyle w:val="Compact"/>
              <w:jc w:val="right"/>
            </w:pPr>
            <w:r>
              <w:t xml:space="preserve">-0.30</w:t>
            </w:r>
          </w:p>
        </w:tc>
        <w:tc>
          <w:tcPr/>
          <w:p>
            <w:pPr>
              <w:pStyle w:val="Compact"/>
              <w:jc w:val="right"/>
            </w:pPr>
            <w:r>
              <w:t xml:space="preserve">99.2</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right"/>
            </w:pPr>
            <w:r>
              <w:t xml:space="preserve">10,000</w:t>
            </w:r>
          </w:p>
        </w:tc>
        <w:tc>
          <w:tcPr/>
          <w:p>
            <w:pPr>
              <w:pStyle w:val="Compact"/>
              <w:jc w:val="right"/>
            </w:pPr>
            <w:r>
              <w:t xml:space="preserve">2.25 [1.98, 2.56]</w:t>
            </w:r>
          </w:p>
        </w:tc>
        <w:tc>
          <w:tcPr/>
          <w:p>
            <w:pPr>
              <w:pStyle w:val="Compact"/>
              <w:jc w:val="left"/>
            </w:pPr>
            <w:r>
              <w:t xml:space="preserve">conservative</w:t>
            </w:r>
          </w:p>
        </w:tc>
        <w:tc>
          <w:tcPr/>
          <w:p>
            <w:pPr>
              <w:pStyle w:val="Compact"/>
              <w:jc w:val="right"/>
            </w:pPr>
            <w:r>
              <w:t xml:space="preserve">4.64</w:t>
            </w:r>
          </w:p>
        </w:tc>
        <w:tc>
          <w:tcPr/>
          <w:p>
            <w:pPr>
              <w:pStyle w:val="Compact"/>
              <w:jc w:val="right"/>
            </w:pPr>
            <w:r>
              <w:t xml:space="preserve">-1.50</w:t>
            </w:r>
          </w:p>
        </w:tc>
        <w:tc>
          <w:tcPr/>
          <w:p>
            <w:pPr>
              <w:pStyle w:val="Compact"/>
              <w:jc w:val="right"/>
            </w:pPr>
            <w:r>
              <w:t xml:space="preserve">96.0</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right"/>
            </w:pPr>
            <w:r>
              <w:t xml:space="preserve">10,000</w:t>
            </w:r>
          </w:p>
        </w:tc>
        <w:tc>
          <w:tcPr/>
          <w:p>
            <w:pPr>
              <w:pStyle w:val="Compact"/>
              <w:jc w:val="right"/>
            </w:pPr>
            <w:r>
              <w:t xml:space="preserve">0.00 [0.00, 0.04]</w:t>
            </w:r>
          </w:p>
        </w:tc>
        <w:tc>
          <w:tcPr/>
          <w:p>
            <w:pPr>
              <w:pStyle w:val="Compact"/>
              <w:jc w:val="left"/>
            </w:pPr>
            <w:r>
              <w:t xml:space="preserve">conservative</w:t>
            </w:r>
          </w:p>
        </w:tc>
        <w:tc>
          <w:tcPr/>
          <w:p>
            <w:pPr>
              <w:pStyle w:val="Compact"/>
              <w:jc w:val="right"/>
            </w:pPr>
            <w:r>
              <w:t xml:space="preserve">5.11</w:t>
            </w:r>
          </w:p>
        </w:tc>
        <w:tc>
          <w:tcPr/>
          <w:p>
            <w:pPr>
              <w:pStyle w:val="Compact"/>
              <w:jc w:val="right"/>
            </w:pPr>
            <w:r>
              <w:t xml:space="preserve">-0.23</w:t>
            </w:r>
          </w:p>
        </w:tc>
        <w:tc>
          <w:tcPr/>
          <w:p>
            <w:pPr>
              <w:pStyle w:val="Compact"/>
              <w:jc w:val="right"/>
            </w:pPr>
            <w:r>
              <w:t xml:space="preserve">0.0</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right"/>
            </w:pPr>
            <w:r>
              <w:t xml:space="preserve">10,000</w:t>
            </w:r>
          </w:p>
        </w:tc>
        <w:tc>
          <w:tcPr/>
          <w:p>
            <w:pPr>
              <w:pStyle w:val="Compact"/>
              <w:jc w:val="right"/>
            </w:pPr>
            <w:r>
              <w:t xml:space="preserve">3.67 [3.32, 4.06]</w:t>
            </w:r>
          </w:p>
        </w:tc>
        <w:tc>
          <w:tcPr/>
          <w:p>
            <w:pPr>
              <w:pStyle w:val="Compact"/>
              <w:jc w:val="left"/>
            </w:pPr>
            <w:r>
              <w:t xml:space="preserve">conservative</w:t>
            </w:r>
          </w:p>
        </w:tc>
        <w:tc>
          <w:tcPr/>
          <w:p>
            <w:pPr>
              <w:pStyle w:val="Compact"/>
              <w:jc w:val="right"/>
            </w:pPr>
            <w:r>
              <w:t xml:space="preserve">4.62</w:t>
            </w:r>
          </w:p>
        </w:tc>
        <w:tc>
          <w:tcPr/>
          <w:p>
            <w:pPr>
              <w:pStyle w:val="Compact"/>
              <w:jc w:val="right"/>
            </w:pPr>
            <w:r>
              <w:t xml:space="preserve">-0.57</w:t>
            </w:r>
          </w:p>
        </w:tc>
        <w:tc>
          <w:tcPr/>
          <w:p>
            <w:pPr>
              <w:pStyle w:val="Compact"/>
              <w:jc w:val="right"/>
            </w:pPr>
            <w:r>
              <w:t xml:space="preserve">94.4</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right"/>
            </w:pPr>
            <w:r>
              <w:t xml:space="preserve">10,000</w:t>
            </w:r>
          </w:p>
        </w:tc>
        <w:tc>
          <w:tcPr/>
          <w:p>
            <w:pPr>
              <w:pStyle w:val="Compact"/>
              <w:jc w:val="right"/>
            </w:pPr>
            <w:r>
              <w:t xml:space="preserve">3.24 [2.91, 3.61]</w:t>
            </w:r>
          </w:p>
        </w:tc>
        <w:tc>
          <w:tcPr/>
          <w:p>
            <w:pPr>
              <w:pStyle w:val="Compact"/>
              <w:jc w:val="left"/>
            </w:pPr>
            <w:r>
              <w:t xml:space="preserve">conservative</w:t>
            </w:r>
          </w:p>
        </w:tc>
        <w:tc>
          <w:tcPr/>
          <w:p>
            <w:pPr>
              <w:pStyle w:val="Compact"/>
              <w:jc w:val="right"/>
            </w:pPr>
            <w:r>
              <w:t xml:space="preserve">4.33</w:t>
            </w:r>
          </w:p>
        </w:tc>
        <w:tc>
          <w:tcPr/>
          <w:p>
            <w:pPr>
              <w:pStyle w:val="Compact"/>
              <w:jc w:val="right"/>
            </w:pPr>
            <w:r>
              <w:t xml:space="preserve">0.48</w:t>
            </w:r>
          </w:p>
        </w:tc>
        <w:tc>
          <w:tcPr/>
          <w:p>
            <w:pPr>
              <w:pStyle w:val="Compact"/>
              <w:jc w:val="right"/>
            </w:pPr>
            <w:r>
              <w:t xml:space="preserve">39.2</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right"/>
            </w:pPr>
            <w:r>
              <w:t xml:space="preserve">10,000</w:t>
            </w:r>
          </w:p>
        </w:tc>
        <w:tc>
          <w:tcPr/>
          <w:p>
            <w:pPr>
              <w:pStyle w:val="Compact"/>
              <w:jc w:val="right"/>
            </w:pPr>
            <w:r>
              <w:t xml:space="preserve">2.67 [2.37, 3.00]</w:t>
            </w:r>
          </w:p>
        </w:tc>
        <w:tc>
          <w:tcPr/>
          <w:p>
            <w:pPr>
              <w:pStyle w:val="Compact"/>
              <w:jc w:val="left"/>
            </w:pPr>
            <w:r>
              <w:t xml:space="preserve">conservative</w:t>
            </w:r>
          </w:p>
        </w:tc>
        <w:tc>
          <w:tcPr/>
          <w:p>
            <w:pPr>
              <w:pStyle w:val="Compact"/>
              <w:jc w:val="right"/>
            </w:pPr>
            <w:r>
              <w:t xml:space="preserve">4.12</w:t>
            </w:r>
          </w:p>
        </w:tc>
        <w:tc>
          <w:tcPr/>
          <w:p>
            <w:pPr>
              <w:pStyle w:val="Compact"/>
              <w:jc w:val="right"/>
            </w:pPr>
            <w:r>
              <w:t xml:space="preserve">0.92</w:t>
            </w:r>
          </w:p>
        </w:tc>
        <w:tc>
          <w:tcPr/>
          <w:p>
            <w:pPr>
              <w:pStyle w:val="Compact"/>
              <w:jc w:val="right"/>
            </w:pPr>
            <w:r>
              <w:t xml:space="preserve">98.8</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right"/>
            </w:pPr>
            <w:r>
              <w:t xml:space="preserve">10,000</w:t>
            </w:r>
          </w:p>
        </w:tc>
        <w:tc>
          <w:tcPr/>
          <w:p>
            <w:pPr>
              <w:pStyle w:val="Compact"/>
              <w:jc w:val="right"/>
            </w:pPr>
            <w:r>
              <w:t xml:space="preserve">3.37 [3.03, 3.74]</w:t>
            </w:r>
          </w:p>
        </w:tc>
        <w:tc>
          <w:tcPr/>
          <w:p>
            <w:pPr>
              <w:pStyle w:val="Compact"/>
              <w:jc w:val="left"/>
            </w:pPr>
            <w:r>
              <w:t xml:space="preserve">conservative</w:t>
            </w:r>
          </w:p>
        </w:tc>
        <w:tc>
          <w:tcPr/>
          <w:p>
            <w:pPr>
              <w:pStyle w:val="Compact"/>
              <w:jc w:val="right"/>
            </w:pPr>
            <w:r>
              <w:t xml:space="preserve">4.55</w:t>
            </w:r>
          </w:p>
        </w:tc>
        <w:tc>
          <w:tcPr/>
          <w:p>
            <w:pPr>
              <w:pStyle w:val="Compact"/>
              <w:jc w:val="right"/>
            </w:pPr>
            <w:r>
              <w:t xml:space="preserve">0.50</w:t>
            </w:r>
          </w:p>
        </w:tc>
        <w:tc>
          <w:tcPr/>
          <w:p>
            <w:pPr>
              <w:pStyle w:val="Compact"/>
              <w:jc w:val="right"/>
            </w:pPr>
            <w:r>
              <w:t xml:space="preserve">97.0</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right"/>
            </w:pPr>
            <w:r>
              <w:t xml:space="preserve">10,000</w:t>
            </w:r>
          </w:p>
        </w:tc>
        <w:tc>
          <w:tcPr/>
          <w:p>
            <w:pPr>
              <w:pStyle w:val="Compact"/>
              <w:jc w:val="right"/>
            </w:pPr>
            <w:r>
              <w:t xml:space="preserve">3.70 [3.35, 4.09]</w:t>
            </w:r>
          </w:p>
        </w:tc>
        <w:tc>
          <w:tcPr/>
          <w:p>
            <w:pPr>
              <w:pStyle w:val="Compact"/>
              <w:jc w:val="left"/>
            </w:pPr>
            <w:r>
              <w:t xml:space="preserve">conservative</w:t>
            </w:r>
          </w:p>
        </w:tc>
        <w:tc>
          <w:tcPr/>
          <w:p>
            <w:pPr>
              <w:pStyle w:val="Compact"/>
              <w:jc w:val="right"/>
            </w:pPr>
            <w:r>
              <w:t xml:space="preserve">4.61</w:t>
            </w:r>
          </w:p>
        </w:tc>
        <w:tc>
          <w:tcPr/>
          <w:p>
            <w:pPr>
              <w:pStyle w:val="Compact"/>
              <w:jc w:val="right"/>
            </w:pPr>
            <w:r>
              <w:t xml:space="preserve">-0.46</w:t>
            </w:r>
          </w:p>
        </w:tc>
        <w:tc>
          <w:tcPr/>
          <w:p>
            <w:pPr>
              <w:pStyle w:val="Compact"/>
              <w:jc w:val="right"/>
            </w:pPr>
            <w:r>
              <w:t xml:space="preserve">40.3</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right"/>
            </w:pPr>
            <w:r>
              <w:t xml:space="preserve">20,000</w:t>
            </w:r>
          </w:p>
        </w:tc>
        <w:tc>
          <w:tcPr/>
          <w:p>
            <w:pPr>
              <w:pStyle w:val="Compact"/>
              <w:jc w:val="right"/>
            </w:pPr>
            <w:r>
              <w:t xml:space="preserve">5.18 [4.88, 5.50]</w:t>
            </w:r>
          </w:p>
        </w:tc>
        <w:tc>
          <w:tcPr/>
          <w:p>
            <w:pPr>
              <w:pStyle w:val="Compact"/>
              <w:jc w:val="left"/>
            </w:pPr>
            <w:r>
              <w:t xml:space="preserve">nominal</w:t>
            </w:r>
          </w:p>
        </w:tc>
        <w:tc>
          <w:tcPr/>
          <w:p>
            <w:pPr>
              <w:pStyle w:val="Compact"/>
              <w:jc w:val="right"/>
            </w:pPr>
            <w:r>
              <w:t xml:space="preserve">4.59</w:t>
            </w:r>
          </w:p>
        </w:tc>
        <w:tc>
          <w:tcPr/>
          <w:p>
            <w:pPr>
              <w:pStyle w:val="Compact"/>
              <w:jc w:val="right"/>
            </w:pPr>
            <w:r>
              <w:t xml:space="preserve">0.41</w:t>
            </w:r>
          </w:p>
        </w:tc>
        <w:tc>
          <w:tcPr/>
          <w:p>
            <w:pPr>
              <w:pStyle w:val="Compact"/>
              <w:jc w:val="right"/>
            </w:pPr>
            <w:r>
              <w:t xml:space="preserve">65.3</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right"/>
            </w:pPr>
            <w:r>
              <w:t xml:space="preserve">10,000</w:t>
            </w:r>
          </w:p>
        </w:tc>
        <w:tc>
          <w:tcPr/>
          <w:p>
            <w:pPr>
              <w:pStyle w:val="Compact"/>
              <w:jc w:val="right"/>
            </w:pPr>
            <w:r>
              <w:t xml:space="preserve">2.76 [2.46, 3.10]</w:t>
            </w:r>
          </w:p>
        </w:tc>
        <w:tc>
          <w:tcPr/>
          <w:p>
            <w:pPr>
              <w:pStyle w:val="Compact"/>
              <w:jc w:val="left"/>
            </w:pPr>
            <w:r>
              <w:t xml:space="preserve">conservative</w:t>
            </w:r>
          </w:p>
        </w:tc>
        <w:tc>
          <w:tcPr/>
          <w:p>
            <w:pPr>
              <w:pStyle w:val="Compact"/>
              <w:jc w:val="right"/>
            </w:pPr>
            <w:r>
              <w:t xml:space="preserve">4.75</w:t>
            </w:r>
          </w:p>
        </w:tc>
        <w:tc>
          <w:tcPr/>
          <w:p>
            <w:pPr>
              <w:pStyle w:val="Compact"/>
              <w:jc w:val="right"/>
            </w:pPr>
            <w:r>
              <w:t xml:space="preserve">-1.34</w:t>
            </w:r>
          </w:p>
        </w:tc>
        <w:tc>
          <w:tcPr/>
          <w:p>
            <w:pPr>
              <w:pStyle w:val="Compact"/>
              <w:jc w:val="right"/>
            </w:pPr>
            <w:r>
              <w:t xml:space="preserve">96.8</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right"/>
            </w:pPr>
            <w:r>
              <w:t xml:space="preserve">10,000</w:t>
            </w:r>
          </w:p>
        </w:tc>
        <w:tc>
          <w:tcPr/>
          <w:p>
            <w:pPr>
              <w:pStyle w:val="Compact"/>
              <w:jc w:val="right"/>
            </w:pPr>
            <w:r>
              <w:t xml:space="preserve">0.00 [0.00, 0.04]</w:t>
            </w:r>
          </w:p>
        </w:tc>
        <w:tc>
          <w:tcPr/>
          <w:p>
            <w:pPr>
              <w:pStyle w:val="Compact"/>
              <w:jc w:val="left"/>
            </w:pPr>
            <w:r>
              <w:t xml:space="preserve">conservative</w:t>
            </w:r>
          </w:p>
        </w:tc>
        <w:tc>
          <w:tcPr/>
          <w:p>
            <w:pPr>
              <w:pStyle w:val="Compact"/>
              <w:jc w:val="right"/>
            </w:pPr>
            <w:r>
              <w:t xml:space="preserve">5.43</w:t>
            </w:r>
          </w:p>
        </w:tc>
        <w:tc>
          <w:tcPr/>
          <w:p>
            <w:pPr>
              <w:pStyle w:val="Compact"/>
              <w:jc w:val="right"/>
            </w:pPr>
            <w:r>
              <w:t xml:space="preserve">-0.24</w:t>
            </w:r>
          </w:p>
        </w:tc>
        <w:tc>
          <w:tcPr/>
          <w:p>
            <w:pPr>
              <w:pStyle w:val="Compact"/>
              <w:jc w:val="right"/>
            </w:pPr>
            <w:r>
              <w:t xml:space="preserve">0.0</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right"/>
            </w:pPr>
            <w:r>
              <w:t xml:space="preserve">10,000</w:t>
            </w:r>
          </w:p>
        </w:tc>
        <w:tc>
          <w:tcPr/>
          <w:p>
            <w:pPr>
              <w:pStyle w:val="Compact"/>
              <w:jc w:val="right"/>
            </w:pPr>
            <w:r>
              <w:t xml:space="preserve">3.77 [3.41, 4.16]</w:t>
            </w:r>
          </w:p>
        </w:tc>
        <w:tc>
          <w:tcPr/>
          <w:p>
            <w:pPr>
              <w:pStyle w:val="Compact"/>
              <w:jc w:val="left"/>
            </w:pPr>
            <w:r>
              <w:t xml:space="preserve">conservative</w:t>
            </w:r>
          </w:p>
        </w:tc>
        <w:tc>
          <w:tcPr/>
          <w:p>
            <w:pPr>
              <w:pStyle w:val="Compact"/>
              <w:jc w:val="right"/>
            </w:pPr>
            <w:r>
              <w:t xml:space="preserve">4.67</w:t>
            </w:r>
          </w:p>
        </w:tc>
        <w:tc>
          <w:tcPr/>
          <w:p>
            <w:pPr>
              <w:pStyle w:val="Compact"/>
              <w:jc w:val="right"/>
            </w:pPr>
            <w:r>
              <w:t xml:space="preserve">-0.55</w:t>
            </w:r>
          </w:p>
        </w:tc>
        <w:tc>
          <w:tcPr/>
          <w:p>
            <w:pPr>
              <w:pStyle w:val="Compact"/>
              <w:jc w:val="right"/>
            </w:pPr>
            <w:r>
              <w:t xml:space="preserve">96.0</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right"/>
            </w:pPr>
            <w:r>
              <w:t xml:space="preserve">10,000</w:t>
            </w:r>
          </w:p>
        </w:tc>
        <w:tc>
          <w:tcPr/>
          <w:p>
            <w:pPr>
              <w:pStyle w:val="Compact"/>
              <w:jc w:val="right"/>
            </w:pPr>
            <w:r>
              <w:t xml:space="preserve">3.41 [3.07, 3.78]</w:t>
            </w:r>
          </w:p>
        </w:tc>
        <w:tc>
          <w:tcPr/>
          <w:p>
            <w:pPr>
              <w:pStyle w:val="Compact"/>
              <w:jc w:val="left"/>
            </w:pPr>
            <w:r>
              <w:t xml:space="preserve">conservative</w:t>
            </w:r>
          </w:p>
        </w:tc>
        <w:tc>
          <w:tcPr/>
          <w:p>
            <w:pPr>
              <w:pStyle w:val="Compact"/>
              <w:jc w:val="right"/>
            </w:pPr>
            <w:r>
              <w:t xml:space="preserve">4.32</w:t>
            </w:r>
          </w:p>
        </w:tc>
        <w:tc>
          <w:tcPr/>
          <w:p>
            <w:pPr>
              <w:pStyle w:val="Compact"/>
              <w:jc w:val="right"/>
            </w:pPr>
            <w:r>
              <w:t xml:space="preserve">0.40</w:t>
            </w:r>
          </w:p>
        </w:tc>
        <w:tc>
          <w:tcPr/>
          <w:p>
            <w:pPr>
              <w:pStyle w:val="Compact"/>
              <w:jc w:val="right"/>
            </w:pPr>
            <w:r>
              <w:t xml:space="preserve">39.3</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right"/>
            </w:pPr>
            <w:r>
              <w:t xml:space="preserve">10,000</w:t>
            </w:r>
          </w:p>
        </w:tc>
        <w:tc>
          <w:tcPr/>
          <w:p>
            <w:pPr>
              <w:pStyle w:val="Compact"/>
              <w:jc w:val="right"/>
            </w:pPr>
            <w:r>
              <w:t xml:space="preserve">2.72 [2.42, 3.06]</w:t>
            </w:r>
          </w:p>
        </w:tc>
        <w:tc>
          <w:tcPr/>
          <w:p>
            <w:pPr>
              <w:pStyle w:val="Compact"/>
              <w:jc w:val="left"/>
            </w:pPr>
            <w:r>
              <w:t xml:space="preserve">conservative</w:t>
            </w:r>
          </w:p>
        </w:tc>
        <w:tc>
          <w:tcPr/>
          <w:p>
            <w:pPr>
              <w:pStyle w:val="Compact"/>
              <w:jc w:val="right"/>
            </w:pPr>
            <w:r>
              <w:t xml:space="preserve">4.24</w:t>
            </w:r>
          </w:p>
        </w:tc>
        <w:tc>
          <w:tcPr/>
          <w:p>
            <w:pPr>
              <w:pStyle w:val="Compact"/>
              <w:jc w:val="right"/>
            </w:pPr>
            <w:r>
              <w:t xml:space="preserve">0.73</w:t>
            </w:r>
          </w:p>
        </w:tc>
        <w:tc>
          <w:tcPr/>
          <w:p>
            <w:pPr>
              <w:pStyle w:val="Compact"/>
              <w:jc w:val="right"/>
            </w:pPr>
            <w:r>
              <w:t xml:space="preserve">99.0</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right"/>
            </w:pPr>
            <w:r>
              <w:t xml:space="preserve">10,000</w:t>
            </w:r>
          </w:p>
        </w:tc>
        <w:tc>
          <w:tcPr/>
          <w:p>
            <w:pPr>
              <w:pStyle w:val="Compact"/>
              <w:jc w:val="right"/>
            </w:pPr>
            <w:r>
              <w:t xml:space="preserve">3.68 [3.33, 4.07]</w:t>
            </w:r>
          </w:p>
        </w:tc>
        <w:tc>
          <w:tcPr/>
          <w:p>
            <w:pPr>
              <w:pStyle w:val="Compact"/>
              <w:jc w:val="left"/>
            </w:pPr>
            <w:r>
              <w:t xml:space="preserve">conservative</w:t>
            </w:r>
          </w:p>
        </w:tc>
        <w:tc>
          <w:tcPr/>
          <w:p>
            <w:pPr>
              <w:pStyle w:val="Compact"/>
              <w:jc w:val="right"/>
            </w:pPr>
            <w:r>
              <w:t xml:space="preserve">4.42</w:t>
            </w:r>
          </w:p>
        </w:tc>
        <w:tc>
          <w:tcPr/>
          <w:p>
            <w:pPr>
              <w:pStyle w:val="Compact"/>
              <w:jc w:val="right"/>
            </w:pPr>
            <w:r>
              <w:t xml:space="preserve">0.34</w:t>
            </w:r>
          </w:p>
        </w:tc>
        <w:tc>
          <w:tcPr/>
          <w:p>
            <w:pPr>
              <w:pStyle w:val="Compact"/>
              <w:jc w:val="right"/>
            </w:pPr>
            <w:r>
              <w:t xml:space="preserve">97.6</w:t>
            </w:r>
          </w:p>
        </w:tc>
      </w:tr>
    </w:tbl>
    <w:p>
      <w:pPr>
        <w:pStyle w:val="BodyText"/>
      </w:pPr>
      <w:r>
        <w:rPr>
          <w:bCs/>
          <w:b/>
        </w:rPr>
        <w:t xml:space="preserve">Baseline for an unbiased estimator.</w:t>
      </w:r>
      <w:r>
        <w:t xml:space="preserve"> </w:t>
      </w:r>
      <w:r>
        <w:t xml:space="preserve">With 232 degrees of freedom, the two one-sided tests reject at the near limit with probability 5% when the true ratio is exactly at that limit, so the boundary type I error of an unbiased estimator is 5% minus a negligible far-limit probability.</w:t>
      </w:r>
    </w:p>
    <w:p>
      <w:pPr>
        <w:numPr>
          <w:ilvl w:val="0"/>
          <w:numId w:val="1037"/>
        </w:numPr>
        <w:pStyle w:val="Compact"/>
      </w:pPr>
      <w:r>
        <w:t xml:space="preserve">At the inverted true ratios (within 0.1% of the limits), the theoretical value is 4.85 to 5.12%.</w:t>
      </w:r>
    </w:p>
    <w:p>
      <w:pPr>
        <w:numPr>
          <w:ilvl w:val="0"/>
          <w:numId w:val="1037"/>
        </w:numPr>
        <w:pStyle w:val="Compact"/>
      </w:pPr>
      <w:r>
        <w:t xml:space="preserve">The unbiased reference passed in 4.12 to 5.43% of trials.</w:t>
      </w:r>
    </w:p>
    <w:p>
      <w:pPr>
        <w:numPr>
          <w:ilvl w:val="0"/>
          <w:numId w:val="1037"/>
        </w:numPr>
        <w:pStyle w:val="Compact"/>
      </w:pPr>
      <w:r>
        <w:t xml:space="preserve">The reference leans slightly below 5% because the between-trial SD of the log GMR is slightly smaller than the average within-trial standard error (ratio 0.961 to 0.993). The cause of this was not investigated further; a candidate is the stratified 1:1 allocation, which the pooled t-test does not model.</w:t>
      </w:r>
    </w:p>
    <w:p>
      <w:pPr>
        <w:pStyle w:val="FirstParagraph"/>
      </w:pPr>
      <w:r>
        <w:rPr>
          <w:bCs/>
          <w:b/>
        </w:rPr>
        <w:t xml:space="preserve">AUC0-last against total exposure.</w:t>
      </w:r>
      <w:r>
        <w:t xml:space="preserve"> </w:t>
      </w:r>
      <w:r>
        <w:t xml:space="preserve">In 15 of 16 scenarios, AUC0-last is biased away from 1 relative to the true AUC0-inf ratio, which is conservative.</w:t>
      </w:r>
    </w:p>
    <w:p>
      <w:pPr>
        <w:pStyle w:val="BodyText"/>
      </w:pPr>
      <w:r>
        <w:rPr>
          <w:bCs/>
          <w:b/>
        </w:rPr>
        <w:t xml:space="preserve">The single nominal cell</w:t>
      </w:r>
      <w:r>
        <w:t xml:space="preserve"> </w:t>
      </w:r>
      <w:r>
        <w:t xml:space="preserve">(2020 model, peripheral volume increased 2.28-fold, which is 3.21-fold in the primary model):</w:t>
      </w:r>
    </w:p>
    <w:p>
      <w:pPr>
        <w:numPr>
          <w:ilvl w:val="0"/>
          <w:numId w:val="1038"/>
        </w:numPr>
        <w:pStyle w:val="Compact"/>
      </w:pPr>
      <w:r>
        <w:t xml:space="preserve">The AUC0-last ratio is biased toward 1 by 0.41%.</w:t>
      </w:r>
    </w:p>
    <w:p>
      <w:pPr>
        <w:numPr>
          <w:ilvl w:val="0"/>
          <w:numId w:val="1038"/>
        </w:numPr>
        <w:pStyle w:val="Compact"/>
      </w:pPr>
      <w:r>
        <w:t xml:space="preserve">The excess of 0.180 percentage points over 5% decomposes exactly within the same trials into three components (they sum to the excess):</w:t>
      </w:r>
    </w:p>
    <w:p>
      <w:pPr>
        <w:numPr>
          <w:ilvl w:val="1"/>
          <w:numId w:val="1039"/>
        </w:numPr>
        <w:pStyle w:val="Compact"/>
      </w:pPr>
      <w:r>
        <w:t xml:space="preserve">the unbiased reference minus 5%: -0.415 points;</w:t>
      </w:r>
    </w:p>
    <w:p>
      <w:pPr>
        <w:numPr>
          <w:ilvl w:val="1"/>
          <w:numId w:val="1039"/>
        </w:numPr>
        <w:pStyle w:val="Compact"/>
      </w:pPr>
      <w:r>
        <w:t xml:space="preserve">the AUC0-last effect: 0.610 points;</w:t>
      </w:r>
    </w:p>
    <w:p>
      <w:pPr>
        <w:numPr>
          <w:ilvl w:val="1"/>
          <w:numId w:val="1039"/>
        </w:numPr>
        <w:pStyle w:val="Compact"/>
      </w:pPr>
      <w:r>
        <w:t xml:space="preserve">the Cmax effect: -0.015 points.</w:t>
      </w:r>
    </w:p>
    <w:p>
      <w:pPr>
        <w:numPr>
          <w:ilvl w:val="0"/>
          <w:numId w:val="1038"/>
        </w:numPr>
        <w:pStyle w:val="Compact"/>
      </w:pPr>
      <w:r>
        <w:t xml:space="preserve">The value at the pre-specified 10,000 trials was 5.32% (95% CI 4.90 to 5.78), which was also nominal.</w:t>
      </w:r>
    </w:p>
    <w:p>
      <w:pPr>
        <w:numPr>
          <w:ilvl w:val="0"/>
          <w:numId w:val="1038"/>
        </w:numPr>
        <w:pStyle w:val="Compact"/>
      </w:pPr>
      <w:r>
        <w:t xml:space="preserve">Section 6.2 states the facts relevant to the plausibility of this mechanism.</w:t>
      </w:r>
    </w:p>
    <w:bookmarkEnd w:id="73"/>
    <w:bookmarkStart w:id="74" w:name="Xe5e502f30bd17656a3c8b48503de3e33fad6e5c"/>
    <w:p>
      <w:pPr>
        <w:pStyle w:val="Heading3"/>
      </w:pPr>
      <w:r>
        <w:t xml:space="preserve">Why configurations based on NCA AUC0-inf exceed 5%</w:t>
      </w:r>
    </w:p>
    <w:p>
      <w:pPr>
        <w:pStyle w:val="TableCaption"/>
      </w:pPr>
      <w:r>
        <w:t xml:space="preserve">Table 5-11. Relative bias (%) of the geometric mean of trial GMRs against the truth at the boundary scenarios (AUC endpoints against the true AUC0-inf ratio, Cmax against the true Cmax ratio). A negative bias at 1.25 and a positive bias at 0.80 point toward 1 and raise the boundary type I error.</w:t>
      </w:r>
    </w:p>
    <w:tbl>
      <w:tblPr>
        <w:tblStyle w:val="Table"/>
        <w:tblW w:type="pct" w:w="5000"/>
        <w:tblLook w:firstRow="1" w:lastRow="0" w:firstColumn="0" w:lastColumn="0" w:noHBand="0" w:noVBand="0" w:val="0020"/>
        <w:jc w:val="start"/>
        <w:tblCaption w:val="Table 5-11. Relative bias (%) of the geometric mean of trial GMRs against the truth at the boundary scenarios (AUC endpoints against the true AUC0-inf ratio, Cmax against the true Cmax ratio). A negative bias at 1.25 and a positive bias at 0.80 point toward 1 and raise the boundary type I error."/>
      </w:tblPr>
      <w:tblGrid>
        <w:gridCol w:w="810"/>
        <w:gridCol w:w="2556"/>
        <w:gridCol w:w="623"/>
        <w:gridCol w:w="1309"/>
        <w:gridCol w:w="997"/>
        <w:gridCol w:w="1309"/>
        <w:gridCol w:w="311"/>
      </w:tblGrid>
      <w:tr>
        <w:trPr>
          <w:tblHeader w:val="true"/>
        </w:trPr>
        <w:tc>
          <w:tcPr/>
          <w:p>
            <w:pPr>
              <w:pStyle w:val="Compact"/>
              <w:jc w:val="left"/>
            </w:pPr>
            <w:r>
              <w:t xml:space="preserve">Model</w:t>
            </w:r>
          </w:p>
        </w:tc>
        <w:tc>
          <w:tcPr/>
          <w:p>
            <w:pPr>
              <w:pStyle w:val="Compact"/>
              <w:jc w:val="left"/>
            </w:pPr>
            <w:r>
              <w:t xml:space="preserve">Scenario</w:t>
            </w:r>
          </w:p>
        </w:tc>
        <w:tc>
          <w:tcPr/>
          <w:p>
            <w:pPr>
              <w:pStyle w:val="Compact"/>
              <w:jc w:val="right"/>
            </w:pPr>
            <w:r>
              <w:t xml:space="preserve">AUC0-last</w:t>
            </w:r>
          </w:p>
        </w:tc>
        <w:tc>
          <w:tcPr/>
          <w:p>
            <w:pPr>
              <w:pStyle w:val="Compact"/>
              <w:jc w:val="right"/>
            </w:pPr>
            <w:r>
              <w:t xml:space="preserve">AUC0-inf rule A (ii)</w:t>
            </w:r>
          </w:p>
        </w:tc>
        <w:tc>
          <w:tcPr/>
          <w:p>
            <w:pPr>
              <w:pStyle w:val="Compact"/>
              <w:jc w:val="right"/>
            </w:pPr>
            <w:r>
              <w:t xml:space="preserve">AUC0-inf rule B</w:t>
            </w:r>
          </w:p>
        </w:tc>
        <w:tc>
          <w:tcPr/>
          <w:p>
            <w:pPr>
              <w:pStyle w:val="Compact"/>
              <w:jc w:val="right"/>
            </w:pPr>
            <w:r>
              <w:t xml:space="preserve">AUC0-inf rule C (ii)</w:t>
            </w:r>
          </w:p>
        </w:tc>
        <w:tc>
          <w:tcPr/>
          <w:p>
            <w:pPr>
              <w:pStyle w:val="Compact"/>
              <w:jc w:val="right"/>
            </w:pPr>
            <w:r>
              <w:t xml:space="preserve">Cmax</w:t>
            </w:r>
          </w:p>
        </w:tc>
      </w:tr>
      <w:tr>
        <w:tc>
          <w:tcPr/>
          <w:p>
            <w:pPr>
              <w:pStyle w:val="Compact"/>
              <w:jc w:val="left"/>
            </w:pPr>
            <w:r>
              <w:t xml:space="preserve">2016 model</w:t>
            </w:r>
          </w:p>
        </w:tc>
        <w:tc>
          <w:tcPr/>
          <w:p>
            <w:pPr>
              <w:pStyle w:val="Compact"/>
              <w:jc w:val="left"/>
            </w:pPr>
            <w:r>
              <w:t xml:space="preserve">F decreased, true AUC0-inf ratio 0.80</w:t>
            </w:r>
          </w:p>
        </w:tc>
        <w:tc>
          <w:tcPr/>
          <w:p>
            <w:pPr>
              <w:pStyle w:val="Compact"/>
              <w:jc w:val="right"/>
            </w:pPr>
            <w:r>
              <w:t xml:space="preserve">-0.5</w:t>
            </w:r>
          </w:p>
        </w:tc>
        <w:tc>
          <w:tcPr/>
          <w:p>
            <w:pPr>
              <w:pStyle w:val="Compact"/>
              <w:jc w:val="right"/>
            </w:pPr>
            <w:r>
              <w:t xml:space="preserve">2.0</w:t>
            </w:r>
          </w:p>
        </w:tc>
        <w:tc>
          <w:tcPr/>
          <w:p>
            <w:pPr>
              <w:pStyle w:val="Compact"/>
              <w:jc w:val="right"/>
            </w:pPr>
            <w:r>
              <w:t xml:space="preserve">1.1</w:t>
            </w:r>
          </w:p>
        </w:tc>
        <w:tc>
          <w:tcPr/>
          <w:p>
            <w:pPr>
              <w:pStyle w:val="Compact"/>
              <w:jc w:val="right"/>
            </w:pPr>
            <w:r>
              <w:t xml:space="preserve">-0.4</w:t>
            </w:r>
          </w:p>
        </w:tc>
        <w:tc>
          <w:tcPr/>
          <w:p>
            <w:pPr>
              <w:pStyle w:val="Compact"/>
              <w:jc w:val="right"/>
            </w:pPr>
            <w:r>
              <w:t xml:space="preserve">-0.2</w:t>
            </w:r>
          </w:p>
        </w:tc>
      </w:tr>
      <w:tr>
        <w:tc>
          <w:tcPr/>
          <w:p>
            <w:pPr>
              <w:pStyle w:val="Compact"/>
              <w:jc w:val="left"/>
            </w:pPr>
            <w:r>
              <w:t xml:space="preserve">2016 model</w:t>
            </w:r>
          </w:p>
        </w:tc>
        <w:tc>
          <w:tcPr/>
          <w:p>
            <w:pPr>
              <w:pStyle w:val="Compact"/>
              <w:jc w:val="left"/>
            </w:pPr>
            <w:r>
              <w:t xml:space="preserve">V2 increased, true AUC0-inf ratio 0.80</w:t>
            </w:r>
          </w:p>
        </w:tc>
        <w:tc>
          <w:tcPr/>
          <w:p>
            <w:pPr>
              <w:pStyle w:val="Compact"/>
              <w:jc w:val="right"/>
            </w:pPr>
            <w:r>
              <w:t xml:space="preserve">-0.3</w:t>
            </w:r>
          </w:p>
        </w:tc>
        <w:tc>
          <w:tcPr/>
          <w:p>
            <w:pPr>
              <w:pStyle w:val="Compact"/>
              <w:jc w:val="right"/>
            </w:pPr>
            <w:r>
              <w:t xml:space="preserve">-0.2</w:t>
            </w:r>
          </w:p>
        </w:tc>
        <w:tc>
          <w:tcPr/>
          <w:p>
            <w:pPr>
              <w:pStyle w:val="Compact"/>
              <w:jc w:val="right"/>
            </w:pPr>
            <w:r>
              <w:t xml:space="preserve">-0.6</w:t>
            </w:r>
          </w:p>
        </w:tc>
        <w:tc>
          <w:tcPr/>
          <w:p>
            <w:pPr>
              <w:pStyle w:val="Compact"/>
              <w:jc w:val="right"/>
            </w:pPr>
            <w:r>
              <w:t xml:space="preserve">-0.7</w:t>
            </w:r>
          </w:p>
        </w:tc>
        <w:tc>
          <w:tcPr/>
          <w:p>
            <w:pPr>
              <w:pStyle w:val="Compact"/>
              <w:jc w:val="right"/>
            </w:pPr>
            <w:r>
              <w:t xml:space="preserve">-1.1</w:t>
            </w:r>
          </w:p>
        </w:tc>
      </w:tr>
      <w:tr>
        <w:tc>
          <w:tcPr/>
          <w:p>
            <w:pPr>
              <w:pStyle w:val="Compact"/>
              <w:jc w:val="left"/>
            </w:pPr>
            <w:r>
              <w:t xml:space="preserve">2016 model</w:t>
            </w:r>
          </w:p>
        </w:tc>
        <w:tc>
          <w:tcPr/>
          <w:p>
            <w:pPr>
              <w:pStyle w:val="Compact"/>
              <w:jc w:val="left"/>
            </w:pPr>
            <w:r>
              <w:t xml:space="preserve">Vmax increased, true AUC0-inf ratio 0.80</w:t>
            </w:r>
          </w:p>
        </w:tc>
        <w:tc>
          <w:tcPr/>
          <w:p>
            <w:pPr>
              <w:pStyle w:val="Compact"/>
              <w:jc w:val="right"/>
            </w:pPr>
            <w:r>
              <w:t xml:space="preserve">-1.5</w:t>
            </w:r>
          </w:p>
        </w:tc>
        <w:tc>
          <w:tcPr/>
          <w:p>
            <w:pPr>
              <w:pStyle w:val="Compact"/>
              <w:jc w:val="right"/>
            </w:pPr>
            <w:r>
              <w:t xml:space="preserve">5.2</w:t>
            </w:r>
          </w:p>
        </w:tc>
        <w:tc>
          <w:tcPr/>
          <w:p>
            <w:pPr>
              <w:pStyle w:val="Compact"/>
              <w:jc w:val="right"/>
            </w:pPr>
            <w:r>
              <w:t xml:space="preserve">3.3</w:t>
            </w:r>
          </w:p>
        </w:tc>
        <w:tc>
          <w:tcPr/>
          <w:p>
            <w:pPr>
              <w:pStyle w:val="Compact"/>
              <w:jc w:val="right"/>
            </w:pPr>
            <w:r>
              <w:t xml:space="preserve">-1.4</w:t>
            </w:r>
          </w:p>
        </w:tc>
        <w:tc>
          <w:tcPr/>
          <w:p>
            <w:pPr>
              <w:pStyle w:val="Compact"/>
              <w:jc w:val="right"/>
            </w:pPr>
            <w:r>
              <w:t xml:space="preserve">-0.6</w:t>
            </w:r>
          </w:p>
        </w:tc>
      </w:tr>
      <w:tr>
        <w:tc>
          <w:tcPr/>
          <w:p>
            <w:pPr>
              <w:pStyle w:val="Compact"/>
              <w:jc w:val="left"/>
            </w:pPr>
            <w:r>
              <w:t xml:space="preserve">2016 model</w:t>
            </w:r>
          </w:p>
        </w:tc>
        <w:tc>
          <w:tcPr/>
          <w:p>
            <w:pPr>
              <w:pStyle w:val="Compact"/>
              <w:jc w:val="left"/>
            </w:pPr>
            <w:r>
              <w:t xml:space="preserve">ka decreased, true AUC0-inf ratio 0.80</w:t>
            </w:r>
          </w:p>
        </w:tc>
        <w:tc>
          <w:tcPr/>
          <w:p>
            <w:pPr>
              <w:pStyle w:val="Compact"/>
              <w:jc w:val="right"/>
            </w:pPr>
            <w:r>
              <w:t xml:space="preserve">-0.2</w:t>
            </w:r>
          </w:p>
        </w:tc>
        <w:tc>
          <w:tcPr/>
          <w:p>
            <w:pPr>
              <w:pStyle w:val="Compact"/>
              <w:jc w:val="right"/>
            </w:pPr>
            <w:r>
              <w:t xml:space="preserve">8.0</w:t>
            </w:r>
          </w:p>
        </w:tc>
        <w:tc>
          <w:tcPr/>
          <w:p>
            <w:pPr>
              <w:pStyle w:val="Compact"/>
              <w:jc w:val="right"/>
            </w:pPr>
            <w:r>
              <w:t xml:space="preserve">3.7</w:t>
            </w:r>
          </w:p>
        </w:tc>
        <w:tc>
          <w:tcPr/>
          <w:p>
            <w:pPr>
              <w:pStyle w:val="Compact"/>
              <w:jc w:val="right"/>
            </w:pPr>
            <w:r>
              <w:t xml:space="preserve">-0.7</w:t>
            </w:r>
          </w:p>
        </w:tc>
        <w:tc>
          <w:tcPr/>
          <w:p>
            <w:pPr>
              <w:pStyle w:val="Compact"/>
              <w:jc w:val="right"/>
            </w:pPr>
            <w:r>
              <w:t xml:space="preserve">1.2</w:t>
            </w:r>
          </w:p>
        </w:tc>
      </w:tr>
      <w:tr>
        <w:tc>
          <w:tcPr/>
          <w:p>
            <w:pPr>
              <w:pStyle w:val="Compact"/>
              <w:jc w:val="left"/>
            </w:pPr>
            <w:r>
              <w:t xml:space="preserve">2016 model</w:t>
            </w:r>
          </w:p>
        </w:tc>
        <w:tc>
          <w:tcPr/>
          <w:p>
            <w:pPr>
              <w:pStyle w:val="Compact"/>
              <w:jc w:val="left"/>
            </w:pPr>
            <w:r>
              <w:t xml:space="preserve">ke increased, true AUC0-inf ratio 0.80</w:t>
            </w:r>
          </w:p>
        </w:tc>
        <w:tc>
          <w:tcPr/>
          <w:p>
            <w:pPr>
              <w:pStyle w:val="Compact"/>
              <w:jc w:val="right"/>
            </w:pPr>
            <w:r>
              <w:t xml:space="preserve">-0.6</w:t>
            </w:r>
          </w:p>
        </w:tc>
        <w:tc>
          <w:tcPr/>
          <w:p>
            <w:pPr>
              <w:pStyle w:val="Compact"/>
              <w:jc w:val="right"/>
            </w:pPr>
            <w:r>
              <w:t xml:space="preserve">0.5</w:t>
            </w:r>
          </w:p>
        </w:tc>
        <w:tc>
          <w:tcPr/>
          <w:p>
            <w:pPr>
              <w:pStyle w:val="Compact"/>
              <w:jc w:val="right"/>
            </w:pPr>
            <w:r>
              <w:t xml:space="preserve">0.1</w:t>
            </w:r>
          </w:p>
        </w:tc>
        <w:tc>
          <w:tcPr/>
          <w:p>
            <w:pPr>
              <w:pStyle w:val="Compact"/>
              <w:jc w:val="right"/>
            </w:pPr>
            <w:r>
              <w:t xml:space="preserve">-0.5</w:t>
            </w:r>
          </w:p>
        </w:tc>
        <w:tc>
          <w:tcPr/>
          <w:p>
            <w:pPr>
              <w:pStyle w:val="Compact"/>
              <w:jc w:val="right"/>
            </w:pPr>
            <w:r>
              <w:t xml:space="preserve">-0.8</w:t>
            </w:r>
          </w:p>
        </w:tc>
      </w:tr>
      <w:tr>
        <w:tc>
          <w:tcPr/>
          <w:p>
            <w:pPr>
              <w:pStyle w:val="Compact"/>
              <w:jc w:val="left"/>
            </w:pPr>
            <w:r>
              <w:t xml:space="preserve">2016 model</w:t>
            </w:r>
          </w:p>
        </w:tc>
        <w:tc>
          <w:tcPr/>
          <w:p>
            <w:pPr>
              <w:pStyle w:val="Compact"/>
              <w:jc w:val="left"/>
            </w:pPr>
            <w:r>
              <w:t xml:space="preserve">F increased, true AUC0-inf ratio 1.25</w:t>
            </w:r>
          </w:p>
        </w:tc>
        <w:tc>
          <w:tcPr/>
          <w:p>
            <w:pPr>
              <w:pStyle w:val="Compact"/>
              <w:jc w:val="right"/>
            </w:pPr>
            <w:r>
              <w:t xml:space="preserve">0.5</w:t>
            </w:r>
          </w:p>
        </w:tc>
        <w:tc>
          <w:tcPr/>
          <w:p>
            <w:pPr>
              <w:pStyle w:val="Compact"/>
              <w:jc w:val="right"/>
            </w:pPr>
            <w:r>
              <w:t xml:space="preserve">-1.7</w:t>
            </w:r>
          </w:p>
        </w:tc>
        <w:tc>
          <w:tcPr/>
          <w:p>
            <w:pPr>
              <w:pStyle w:val="Compact"/>
              <w:jc w:val="right"/>
            </w:pPr>
            <w:r>
              <w:t xml:space="preserve">-0.6</w:t>
            </w:r>
          </w:p>
        </w:tc>
        <w:tc>
          <w:tcPr/>
          <w:p>
            <w:pPr>
              <w:pStyle w:val="Compact"/>
              <w:jc w:val="right"/>
            </w:pPr>
            <w:r>
              <w:t xml:space="preserve">0.3</w:t>
            </w:r>
          </w:p>
        </w:tc>
        <w:tc>
          <w:tcPr/>
          <w:p>
            <w:pPr>
              <w:pStyle w:val="Compact"/>
              <w:jc w:val="right"/>
            </w:pPr>
            <w:r>
              <w:t xml:space="preserve">0.3</w:t>
            </w:r>
          </w:p>
        </w:tc>
      </w:tr>
      <w:tr>
        <w:tc>
          <w:tcPr/>
          <w:p>
            <w:pPr>
              <w:pStyle w:val="Compact"/>
              <w:jc w:val="left"/>
            </w:pPr>
            <w:r>
              <w:t xml:space="preserve">2016 model</w:t>
            </w:r>
          </w:p>
        </w:tc>
        <w:tc>
          <w:tcPr/>
          <w:p>
            <w:pPr>
              <w:pStyle w:val="Compact"/>
              <w:jc w:val="left"/>
            </w:pPr>
            <w:r>
              <w:t xml:space="preserve">Vmax decreased, true AUC0-inf ratio 1.25</w:t>
            </w:r>
          </w:p>
        </w:tc>
        <w:tc>
          <w:tcPr/>
          <w:p>
            <w:pPr>
              <w:pStyle w:val="Compact"/>
              <w:jc w:val="right"/>
            </w:pPr>
            <w:r>
              <w:t xml:space="preserve">0.9</w:t>
            </w:r>
          </w:p>
        </w:tc>
        <w:tc>
          <w:tcPr/>
          <w:p>
            <w:pPr>
              <w:pStyle w:val="Compact"/>
              <w:jc w:val="right"/>
            </w:pPr>
            <w:r>
              <w:t xml:space="preserve">-4.8</w:t>
            </w:r>
          </w:p>
        </w:tc>
        <w:tc>
          <w:tcPr/>
          <w:p>
            <w:pPr>
              <w:pStyle w:val="Compact"/>
              <w:jc w:val="right"/>
            </w:pPr>
            <w:r>
              <w:t xml:space="preserve">-0.9</w:t>
            </w:r>
          </w:p>
        </w:tc>
        <w:tc>
          <w:tcPr/>
          <w:p>
            <w:pPr>
              <w:pStyle w:val="Compact"/>
              <w:jc w:val="right"/>
            </w:pPr>
            <w:r>
              <w:t xml:space="preserve">0.4</w:t>
            </w:r>
          </w:p>
        </w:tc>
        <w:tc>
          <w:tcPr/>
          <w:p>
            <w:pPr>
              <w:pStyle w:val="Compact"/>
              <w:jc w:val="right"/>
            </w:pPr>
            <w:r>
              <w:t xml:space="preserve">0.6</w:t>
            </w:r>
          </w:p>
        </w:tc>
      </w:tr>
      <w:tr>
        <w:tc>
          <w:tcPr/>
          <w:p>
            <w:pPr>
              <w:pStyle w:val="Compact"/>
              <w:jc w:val="left"/>
            </w:pPr>
            <w:r>
              <w:t xml:space="preserve">2016 model</w:t>
            </w:r>
          </w:p>
        </w:tc>
        <w:tc>
          <w:tcPr/>
          <w:p>
            <w:pPr>
              <w:pStyle w:val="Compact"/>
              <w:jc w:val="left"/>
            </w:pPr>
            <w:r>
              <w:t xml:space="preserve">ke decreased, true AUC0-inf ratio 1.25</w:t>
            </w:r>
          </w:p>
        </w:tc>
        <w:tc>
          <w:tcPr/>
          <w:p>
            <w:pPr>
              <w:pStyle w:val="Compact"/>
              <w:jc w:val="right"/>
            </w:pPr>
            <w:r>
              <w:t xml:space="preserve">0.5</w:t>
            </w:r>
          </w:p>
        </w:tc>
        <w:tc>
          <w:tcPr/>
          <w:p>
            <w:pPr>
              <w:pStyle w:val="Compact"/>
              <w:jc w:val="right"/>
            </w:pPr>
            <w:r>
              <w:t xml:space="preserve">-1.1</w:t>
            </w:r>
          </w:p>
        </w:tc>
        <w:tc>
          <w:tcPr/>
          <w:p>
            <w:pPr>
              <w:pStyle w:val="Compact"/>
              <w:jc w:val="right"/>
            </w:pPr>
            <w:r>
              <w:t xml:space="preserve">0.1</w:t>
            </w:r>
          </w:p>
        </w:tc>
        <w:tc>
          <w:tcPr/>
          <w:p>
            <w:pPr>
              <w:pStyle w:val="Compact"/>
              <w:jc w:val="right"/>
            </w:pPr>
            <w:r>
              <w:t xml:space="preserve">0.4</w:t>
            </w:r>
          </w:p>
        </w:tc>
        <w:tc>
          <w:tcPr/>
          <w:p>
            <w:pPr>
              <w:pStyle w:val="Compact"/>
              <w:jc w:val="right"/>
            </w:pPr>
            <w:r>
              <w:t xml:space="preserve">0.9</w:t>
            </w:r>
          </w:p>
        </w:tc>
      </w:tr>
      <w:tr>
        <w:tc>
          <w:tcPr/>
          <w:p>
            <w:pPr>
              <w:pStyle w:val="Compact"/>
              <w:jc w:val="left"/>
            </w:pPr>
            <w:r>
              <w:t xml:space="preserve">2020 Model 1</w:t>
            </w:r>
          </w:p>
        </w:tc>
        <w:tc>
          <w:tcPr/>
          <w:p>
            <w:pPr>
              <w:pStyle w:val="Compact"/>
              <w:jc w:val="left"/>
            </w:pPr>
            <w:r>
              <w:t xml:space="preserve">F decreased, true AUC0-inf ratio 0.80</w:t>
            </w:r>
          </w:p>
        </w:tc>
        <w:tc>
          <w:tcPr/>
          <w:p>
            <w:pPr>
              <w:pStyle w:val="Compact"/>
              <w:jc w:val="right"/>
            </w:pPr>
            <w:r>
              <w:t xml:space="preserve">-0.5</w:t>
            </w:r>
          </w:p>
        </w:tc>
        <w:tc>
          <w:tcPr/>
          <w:p>
            <w:pPr>
              <w:pStyle w:val="Compact"/>
              <w:jc w:val="right"/>
            </w:pPr>
            <w:r>
              <w:t xml:space="preserve">2.1</w:t>
            </w:r>
          </w:p>
        </w:tc>
        <w:tc>
          <w:tcPr/>
          <w:p>
            <w:pPr>
              <w:pStyle w:val="Compact"/>
              <w:jc w:val="right"/>
            </w:pPr>
            <w:r>
              <w:t xml:space="preserve">0.8</w:t>
            </w:r>
          </w:p>
        </w:tc>
        <w:tc>
          <w:tcPr/>
          <w:p>
            <w:pPr>
              <w:pStyle w:val="Compact"/>
              <w:jc w:val="right"/>
            </w:pPr>
            <w:r>
              <w:t xml:space="preserve">-0.2</w:t>
            </w:r>
          </w:p>
        </w:tc>
        <w:tc>
          <w:tcPr/>
          <w:p>
            <w:pPr>
              <w:pStyle w:val="Compact"/>
              <w:jc w:val="right"/>
            </w:pPr>
            <w:r>
              <w:t xml:space="preserve">-0.1</w:t>
            </w:r>
          </w:p>
        </w:tc>
      </w:tr>
      <w:tr>
        <w:tc>
          <w:tcPr/>
          <w:p>
            <w:pPr>
              <w:pStyle w:val="Compact"/>
              <w:jc w:val="left"/>
            </w:pPr>
            <w:r>
              <w:t xml:space="preserve">2020 Model 1</w:t>
            </w:r>
          </w:p>
        </w:tc>
        <w:tc>
          <w:tcPr/>
          <w:p>
            <w:pPr>
              <w:pStyle w:val="Compact"/>
              <w:jc w:val="left"/>
            </w:pPr>
            <w:r>
              <w:t xml:space="preserve">V2 increased, true AUC0-inf ratio 0.80</w:t>
            </w:r>
          </w:p>
        </w:tc>
        <w:tc>
          <w:tcPr/>
          <w:p>
            <w:pPr>
              <w:pStyle w:val="Compact"/>
              <w:jc w:val="right"/>
            </w:pPr>
            <w:r>
              <w:t xml:space="preserve">0.4</w:t>
            </w:r>
          </w:p>
        </w:tc>
        <w:tc>
          <w:tcPr/>
          <w:p>
            <w:pPr>
              <w:pStyle w:val="Compact"/>
              <w:jc w:val="right"/>
            </w:pPr>
            <w:r>
              <w:t xml:space="preserve">-3.3</w:t>
            </w:r>
          </w:p>
        </w:tc>
        <w:tc>
          <w:tcPr/>
          <w:p>
            <w:pPr>
              <w:pStyle w:val="Compact"/>
              <w:jc w:val="right"/>
            </w:pPr>
            <w:r>
              <w:t xml:space="preserve">-0.5</w:t>
            </w:r>
          </w:p>
        </w:tc>
        <w:tc>
          <w:tcPr/>
          <w:p>
            <w:pPr>
              <w:pStyle w:val="Compact"/>
              <w:jc w:val="right"/>
            </w:pPr>
            <w:r>
              <w:t xml:space="preserve">0.3</w:t>
            </w:r>
          </w:p>
        </w:tc>
        <w:tc>
          <w:tcPr/>
          <w:p>
            <w:pPr>
              <w:pStyle w:val="Compact"/>
              <w:jc w:val="right"/>
            </w:pPr>
            <w:r>
              <w:t xml:space="preserve">-1.7</w:t>
            </w:r>
          </w:p>
        </w:tc>
      </w:tr>
      <w:tr>
        <w:tc>
          <w:tcPr/>
          <w:p>
            <w:pPr>
              <w:pStyle w:val="Compact"/>
              <w:jc w:val="left"/>
            </w:pPr>
            <w:r>
              <w:t xml:space="preserve">2020 Model 1</w:t>
            </w:r>
          </w:p>
        </w:tc>
        <w:tc>
          <w:tcPr/>
          <w:p>
            <w:pPr>
              <w:pStyle w:val="Compact"/>
              <w:jc w:val="left"/>
            </w:pPr>
            <w:r>
              <w:t xml:space="preserve">Vmax increased, true AUC0-inf ratio 0.80</w:t>
            </w:r>
          </w:p>
        </w:tc>
        <w:tc>
          <w:tcPr/>
          <w:p>
            <w:pPr>
              <w:pStyle w:val="Compact"/>
              <w:jc w:val="right"/>
            </w:pPr>
            <w:r>
              <w:t xml:space="preserve">-1.3</w:t>
            </w:r>
          </w:p>
        </w:tc>
        <w:tc>
          <w:tcPr/>
          <w:p>
            <w:pPr>
              <w:pStyle w:val="Compact"/>
              <w:jc w:val="right"/>
            </w:pPr>
            <w:r>
              <w:t xml:space="preserve">5.5</w:t>
            </w:r>
          </w:p>
        </w:tc>
        <w:tc>
          <w:tcPr/>
          <w:p>
            <w:pPr>
              <w:pStyle w:val="Compact"/>
              <w:jc w:val="right"/>
            </w:pPr>
            <w:r>
              <w:t xml:space="preserve">2.6</w:t>
            </w:r>
          </w:p>
        </w:tc>
        <w:tc>
          <w:tcPr/>
          <w:p>
            <w:pPr>
              <w:pStyle w:val="Compact"/>
              <w:jc w:val="right"/>
            </w:pPr>
            <w:r>
              <w:t xml:space="preserve">-1.0</w:t>
            </w:r>
          </w:p>
        </w:tc>
        <w:tc>
          <w:tcPr/>
          <w:p>
            <w:pPr>
              <w:pStyle w:val="Compact"/>
              <w:jc w:val="right"/>
            </w:pPr>
            <w:r>
              <w:t xml:space="preserve">-0.5</w:t>
            </w:r>
          </w:p>
        </w:tc>
      </w:tr>
      <w:tr>
        <w:tc>
          <w:tcPr/>
          <w:p>
            <w:pPr>
              <w:pStyle w:val="Compact"/>
              <w:jc w:val="left"/>
            </w:pPr>
            <w:r>
              <w:t xml:space="preserve">2020 Model 1</w:t>
            </w:r>
          </w:p>
        </w:tc>
        <w:tc>
          <w:tcPr/>
          <w:p>
            <w:pPr>
              <w:pStyle w:val="Compact"/>
              <w:jc w:val="left"/>
            </w:pPr>
            <w:r>
              <w:t xml:space="preserve">ka decreased, true AUC0-inf ratio 0.80</w:t>
            </w:r>
          </w:p>
        </w:tc>
        <w:tc>
          <w:tcPr/>
          <w:p>
            <w:pPr>
              <w:pStyle w:val="Compact"/>
              <w:jc w:val="right"/>
            </w:pPr>
            <w:r>
              <w:t xml:space="preserve">-0.2</w:t>
            </w:r>
          </w:p>
        </w:tc>
        <w:tc>
          <w:tcPr/>
          <w:p>
            <w:pPr>
              <w:pStyle w:val="Compact"/>
              <w:jc w:val="right"/>
            </w:pPr>
            <w:r>
              <w:t xml:space="preserve">8.2</w:t>
            </w:r>
          </w:p>
        </w:tc>
        <w:tc>
          <w:tcPr/>
          <w:p>
            <w:pPr>
              <w:pStyle w:val="Compact"/>
              <w:jc w:val="right"/>
            </w:pPr>
            <w:r>
              <w:t xml:space="preserve">3.9</w:t>
            </w:r>
          </w:p>
        </w:tc>
        <w:tc>
          <w:tcPr/>
          <w:p>
            <w:pPr>
              <w:pStyle w:val="Compact"/>
              <w:jc w:val="right"/>
            </w:pPr>
            <w:r>
              <w:t xml:space="preserve">-0.9</w:t>
            </w:r>
          </w:p>
        </w:tc>
        <w:tc>
          <w:tcPr/>
          <w:p>
            <w:pPr>
              <w:pStyle w:val="Compact"/>
              <w:jc w:val="right"/>
            </w:pPr>
            <w:r>
              <w:t xml:space="preserve">0.7</w:t>
            </w:r>
          </w:p>
        </w:tc>
      </w:tr>
      <w:tr>
        <w:tc>
          <w:tcPr/>
          <w:p>
            <w:pPr>
              <w:pStyle w:val="Compact"/>
              <w:jc w:val="left"/>
            </w:pPr>
            <w:r>
              <w:t xml:space="preserve">2020 Model 1</w:t>
            </w:r>
          </w:p>
        </w:tc>
        <w:tc>
          <w:tcPr/>
          <w:p>
            <w:pPr>
              <w:pStyle w:val="Compact"/>
              <w:jc w:val="left"/>
            </w:pPr>
            <w:r>
              <w:t xml:space="preserve">ke increased, true AUC0-inf ratio 0.80</w:t>
            </w:r>
          </w:p>
        </w:tc>
        <w:tc>
          <w:tcPr/>
          <w:p>
            <w:pPr>
              <w:pStyle w:val="Compact"/>
              <w:jc w:val="right"/>
            </w:pPr>
            <w:r>
              <w:t xml:space="preserve">-0.5</w:t>
            </w:r>
          </w:p>
        </w:tc>
        <w:tc>
          <w:tcPr/>
          <w:p>
            <w:pPr>
              <w:pStyle w:val="Compact"/>
              <w:jc w:val="right"/>
            </w:pPr>
            <w:r>
              <w:t xml:space="preserve">0.6</w:t>
            </w:r>
          </w:p>
        </w:tc>
        <w:tc>
          <w:tcPr/>
          <w:p>
            <w:pPr>
              <w:pStyle w:val="Compact"/>
              <w:jc w:val="right"/>
            </w:pPr>
            <w:r>
              <w:t xml:space="preserve">0.0</w:t>
            </w:r>
          </w:p>
        </w:tc>
        <w:tc>
          <w:tcPr/>
          <w:p>
            <w:pPr>
              <w:pStyle w:val="Compact"/>
              <w:jc w:val="right"/>
            </w:pPr>
            <w:r>
              <w:t xml:space="preserve">-0.3</w:t>
            </w:r>
          </w:p>
        </w:tc>
        <w:tc>
          <w:tcPr/>
          <w:p>
            <w:pPr>
              <w:pStyle w:val="Compact"/>
              <w:jc w:val="right"/>
            </w:pPr>
            <w:r>
              <w:t xml:space="preserve">-0.7</w:t>
            </w:r>
          </w:p>
        </w:tc>
      </w:tr>
      <w:tr>
        <w:tc>
          <w:tcPr/>
          <w:p>
            <w:pPr>
              <w:pStyle w:val="Compact"/>
              <w:jc w:val="left"/>
            </w:pPr>
            <w:r>
              <w:t xml:space="preserve">2020 Model 1</w:t>
            </w:r>
          </w:p>
        </w:tc>
        <w:tc>
          <w:tcPr/>
          <w:p>
            <w:pPr>
              <w:pStyle w:val="Compact"/>
              <w:jc w:val="left"/>
            </w:pPr>
            <w:r>
              <w:t xml:space="preserve">F increased, true AUC0-inf ratio 1.25</w:t>
            </w:r>
          </w:p>
        </w:tc>
        <w:tc>
          <w:tcPr/>
          <w:p>
            <w:pPr>
              <w:pStyle w:val="Compact"/>
              <w:jc w:val="right"/>
            </w:pPr>
            <w:r>
              <w:t xml:space="preserve">0.4</w:t>
            </w:r>
          </w:p>
        </w:tc>
        <w:tc>
          <w:tcPr/>
          <w:p>
            <w:pPr>
              <w:pStyle w:val="Compact"/>
              <w:jc w:val="right"/>
            </w:pPr>
            <w:r>
              <w:t xml:space="preserve">-1.9</w:t>
            </w:r>
          </w:p>
        </w:tc>
        <w:tc>
          <w:tcPr/>
          <w:p>
            <w:pPr>
              <w:pStyle w:val="Compact"/>
              <w:jc w:val="right"/>
            </w:pPr>
            <w:r>
              <w:t xml:space="preserve">-0.5</w:t>
            </w:r>
          </w:p>
        </w:tc>
        <w:tc>
          <w:tcPr/>
          <w:p>
            <w:pPr>
              <w:pStyle w:val="Compact"/>
              <w:jc w:val="right"/>
            </w:pPr>
            <w:r>
              <w:t xml:space="preserve">0.1</w:t>
            </w:r>
          </w:p>
        </w:tc>
        <w:tc>
          <w:tcPr/>
          <w:p>
            <w:pPr>
              <w:pStyle w:val="Compact"/>
              <w:jc w:val="right"/>
            </w:pPr>
            <w:r>
              <w:t xml:space="preserve">0.2</w:t>
            </w:r>
          </w:p>
        </w:tc>
      </w:tr>
      <w:tr>
        <w:tc>
          <w:tcPr/>
          <w:p>
            <w:pPr>
              <w:pStyle w:val="Compact"/>
              <w:jc w:val="left"/>
            </w:pPr>
            <w:r>
              <w:t xml:space="preserve">2020 Model 1</w:t>
            </w:r>
          </w:p>
        </w:tc>
        <w:tc>
          <w:tcPr/>
          <w:p>
            <w:pPr>
              <w:pStyle w:val="Compact"/>
              <w:jc w:val="left"/>
            </w:pPr>
            <w:r>
              <w:t xml:space="preserve">Vmax decreased, true AUC0-inf ratio 1.25</w:t>
            </w:r>
          </w:p>
        </w:tc>
        <w:tc>
          <w:tcPr/>
          <w:p>
            <w:pPr>
              <w:pStyle w:val="Compact"/>
              <w:jc w:val="right"/>
            </w:pPr>
            <w:r>
              <w:t xml:space="preserve">0.7</w:t>
            </w:r>
          </w:p>
        </w:tc>
        <w:tc>
          <w:tcPr/>
          <w:p>
            <w:pPr>
              <w:pStyle w:val="Compact"/>
              <w:jc w:val="right"/>
            </w:pPr>
            <w:r>
              <w:t xml:space="preserve">-5.4</w:t>
            </w:r>
          </w:p>
        </w:tc>
        <w:tc>
          <w:tcPr/>
          <w:p>
            <w:pPr>
              <w:pStyle w:val="Compact"/>
              <w:jc w:val="right"/>
            </w:pPr>
            <w:r>
              <w:t xml:space="preserve">-0.7</w:t>
            </w:r>
          </w:p>
        </w:tc>
        <w:tc>
          <w:tcPr/>
          <w:p>
            <w:pPr>
              <w:pStyle w:val="Compact"/>
              <w:jc w:val="right"/>
            </w:pPr>
            <w:r>
              <w:t xml:space="preserve">0.1</w:t>
            </w:r>
          </w:p>
        </w:tc>
        <w:tc>
          <w:tcPr/>
          <w:p>
            <w:pPr>
              <w:pStyle w:val="Compact"/>
              <w:jc w:val="right"/>
            </w:pPr>
            <w:r>
              <w:t xml:space="preserve">0.5</w:t>
            </w:r>
          </w:p>
        </w:tc>
      </w:tr>
      <w:tr>
        <w:tc>
          <w:tcPr/>
          <w:p>
            <w:pPr>
              <w:pStyle w:val="Compact"/>
              <w:jc w:val="left"/>
            </w:pPr>
            <w:r>
              <w:t xml:space="preserve">2020 Model 1</w:t>
            </w:r>
          </w:p>
        </w:tc>
        <w:tc>
          <w:tcPr/>
          <w:p>
            <w:pPr>
              <w:pStyle w:val="Compact"/>
              <w:jc w:val="left"/>
            </w:pPr>
            <w:r>
              <w:t xml:space="preserve">ke decreased, true AUC0-inf ratio 1.25</w:t>
            </w:r>
          </w:p>
        </w:tc>
        <w:tc>
          <w:tcPr/>
          <w:p>
            <w:pPr>
              <w:pStyle w:val="Compact"/>
              <w:jc w:val="right"/>
            </w:pPr>
            <w:r>
              <w:t xml:space="preserve">0.3</w:t>
            </w:r>
          </w:p>
        </w:tc>
        <w:tc>
          <w:tcPr/>
          <w:p>
            <w:pPr>
              <w:pStyle w:val="Compact"/>
              <w:jc w:val="right"/>
            </w:pPr>
            <w:r>
              <w:t xml:space="preserve">-2.1</w:t>
            </w:r>
          </w:p>
        </w:tc>
        <w:tc>
          <w:tcPr/>
          <w:p>
            <w:pPr>
              <w:pStyle w:val="Compact"/>
              <w:jc w:val="right"/>
            </w:pPr>
            <w:r>
              <w:t xml:space="preserve">0.3</w:t>
            </w:r>
          </w:p>
        </w:tc>
        <w:tc>
          <w:tcPr/>
          <w:p>
            <w:pPr>
              <w:pStyle w:val="Compact"/>
              <w:jc w:val="right"/>
            </w:pPr>
            <w:r>
              <w:t xml:space="preserve">0.1</w:t>
            </w:r>
          </w:p>
        </w:tc>
        <w:tc>
          <w:tcPr/>
          <w:p>
            <w:pPr>
              <w:pStyle w:val="Compact"/>
              <w:jc w:val="right"/>
            </w:pPr>
            <w:r>
              <w:t xml:space="preserve">0.7</w:t>
            </w:r>
          </w:p>
        </w:tc>
      </w:tr>
    </w:tbl>
    <w:p>
      <w:pPr>
        <w:pStyle w:val="BodyText"/>
      </w:pPr>
      <w:r>
        <w:rPr>
          <w:bCs/>
          <w:b/>
        </w:rPr>
        <w:t xml:space="preserve">Extrapolation bias.</w:t>
      </w:r>
      <w:r>
        <w:t xml:space="preserve"> </w:t>
      </w:r>
      <w:r>
        <w:t xml:space="preserve">NCA AUC0-inf adds the tail Clast/lambda-z, estimated with a lambda-z from the decline before the cliff. This lambda-z is smaller than the true terminal decline in both arms, so the added tail dilutes a true exposure difference toward a ratio of 1. AUC0-inf including every subject with a lambda-z (rule B) is biased toward 1 in 12 of 16 scenarios, and rule A in 14 (Table 5-11). The effect of adding the extrapolated area to all subjects with a lambda-z (rule B minus AUC0-last + Cmax, paired) ranges from -1.47 to 12.81 percentage points across the boundary scenarios.</w:t>
      </w:r>
    </w:p>
    <w:p>
      <w:pPr>
        <w:pStyle w:val="BodyText"/>
      </w:pPr>
      <w:r>
        <w:rPr>
          <w:bCs/>
          <w:b/>
        </w:rPr>
        <w:t xml:space="preserve">Selection bias.</w:t>
      </w:r>
      <w:r>
        <w:t xml:space="preserve"> </w:t>
      </w:r>
      <w:r>
        <w:t xml:space="preserve">Excluding subjects who fail the criteria (rule A) changes the subjects compared in each arm, in a way that depends on the product difference itself. The effect of the exclusion (rule B minus rule A, criteria (ii), paired) ranges from -21.94 to 2.65 percentage points. It is negative, meaning that exclusion raises the pass rate, in 13 of 16 scenarios.</w:t>
      </w:r>
    </w:p>
    <w:p>
      <w:pPr>
        <w:pStyle w:val="BodyText"/>
      </w:pPr>
      <w:r>
        <w:rPr>
          <w:bCs/>
          <w:b/>
        </w:rPr>
        <w:t xml:space="preserve">Rule C</w:t>
      </w:r>
      <w:r>
        <w:t xml:space="preserve"> </w:t>
      </w:r>
      <w:r>
        <w:t xml:space="preserve">(substituting AUC0-last for subjects failing the criteria) removes most of both effects: its pass rate minus that of AUC0-last + Cmax ranges from -0.58 to 1.24 percentage points.</w:t>
      </w:r>
    </w:p>
    <w:bookmarkEnd w:id="74"/>
    <w:bookmarkStart w:id="78" w:name="X8895056d841058f770b0e0a042c9494820f2bc3"/>
    <w:p>
      <w:pPr>
        <w:pStyle w:val="Heading3"/>
      </w:pPr>
      <w:r>
        <w:t xml:space="preserve">AUC0-inf configurations under the conventional criteria sets</w:t>
      </w:r>
    </w:p>
    <w:p>
      <w:pPr>
        <w:pStyle w:val="TableCaption"/>
      </w:pPr>
      <w:r>
        <w:t xml:space="preserve">Table 5-12. Boundary type I error of AUC0-inf + Cmax by handling rule and criteria set, 16 boundary scenarios: number of scenarios with a point estimate above 5% (Wilson lower bound above 5%); range of the pass rate. Same regenerated trials as Section 5.9 (10,000 per scenario, extended to 20,000 where the Section 3.7 rule applied).</w:t>
      </w:r>
    </w:p>
    <w:tbl>
      <w:tblPr>
        <w:tblStyle w:val="Table"/>
        <w:tblW w:type="pct" w:w="5000"/>
        <w:tblLook w:firstRow="1" w:lastRow="0" w:firstColumn="0" w:lastColumn="0" w:noHBand="0" w:noVBand="0" w:val="0020"/>
        <w:jc w:val="start"/>
        <w:tblCaption w:val="Table 5-12. Boundary type I error of AUC0-inf + Cmax by handling rule and criteria set, 16 boundary scenarios: number of scenarios with a point estimate above 5% (Wilson lower bound above 5%); range of the pass rate. Same regenerated trials as Section 5.9 (10,000 per scenario, extended to 20,000 where the Section 3.7 rule applied)."/>
      </w:tblPr>
      <w:tblGrid>
        <w:gridCol w:w="3696"/>
        <w:gridCol w:w="1885"/>
        <w:gridCol w:w="2338"/>
      </w:tblGrid>
      <w:tr>
        <w:trPr>
          <w:tblHeader w:val="true"/>
        </w:trPr>
        <w:tc>
          <w:tcPr/>
          <w:p>
            <w:pPr>
              <w:pStyle w:val="Compact"/>
              <w:jc w:val="left"/>
            </w:pPr>
            <w:r>
              <w:t xml:space="preserve">Configuration</w:t>
            </w:r>
          </w:p>
        </w:tc>
        <w:tc>
          <w:tcPr/>
          <w:p>
            <w:pPr>
              <w:pStyle w:val="Compact"/>
              <w:jc w:val="left"/>
            </w:pPr>
            <w:r>
              <w:t xml:space="preserve">M0 (pooled t-test)</w:t>
            </w:r>
          </w:p>
        </w:tc>
        <w:tc>
          <w:tcPr/>
          <w:p>
            <w:pPr>
              <w:pStyle w:val="Compact"/>
              <w:jc w:val="left"/>
            </w:pPr>
            <w:r>
              <w:t xml:space="preserve">M1 (ANOVA with weight stratum)</w:t>
            </w:r>
          </w:p>
        </w:tc>
      </w:tr>
      <w:tr>
        <w:tc>
          <w:tcPr/>
          <w:p>
            <w:pPr>
              <w:pStyle w:val="Compact"/>
              <w:jc w:val="left"/>
            </w:pPr>
            <w:r>
              <w:t xml:space="preserve">AUC0-inf + Cmax, rule A, criteria (i)</w:t>
            </w:r>
          </w:p>
        </w:tc>
        <w:tc>
          <w:tcPr/>
          <w:p>
            <w:pPr>
              <w:pStyle w:val="Compact"/>
              <w:jc w:val="left"/>
            </w:pPr>
            <w:r>
              <w:t xml:space="preserve">8 (8); 0.00% to 19.91%</w:t>
            </w:r>
          </w:p>
        </w:tc>
        <w:tc>
          <w:tcPr/>
          <w:p>
            <w:pPr>
              <w:pStyle w:val="Compact"/>
              <w:jc w:val="left"/>
            </w:pPr>
            <w:r>
              <w:t xml:space="preserve">10 (8); 0.00% to 20.27%</w:t>
            </w:r>
          </w:p>
        </w:tc>
      </w:tr>
      <w:tr>
        <w:tc>
          <w:tcPr/>
          <w:p>
            <w:pPr>
              <w:pStyle w:val="Compact"/>
              <w:jc w:val="left"/>
            </w:pPr>
            <w:r>
              <w:t xml:space="preserve">AUC0-inf + Cmax, rule A, criteria (ii)</w:t>
            </w:r>
          </w:p>
        </w:tc>
        <w:tc>
          <w:tcPr/>
          <w:p>
            <w:pPr>
              <w:pStyle w:val="Compact"/>
              <w:jc w:val="left"/>
            </w:pPr>
            <w:r>
              <w:t xml:space="preserve">12 (12); 0.00% to 27.60%</w:t>
            </w:r>
          </w:p>
        </w:tc>
        <w:tc>
          <w:tcPr/>
          <w:p>
            <w:pPr>
              <w:pStyle w:val="Compact"/>
              <w:jc w:val="left"/>
            </w:pPr>
            <w:r>
              <w:t xml:space="preserve">12 (12); 0.00% to 27.44%</w:t>
            </w:r>
          </w:p>
        </w:tc>
      </w:tr>
      <w:tr>
        <w:tc>
          <w:tcPr/>
          <w:p>
            <w:pPr>
              <w:pStyle w:val="Compact"/>
              <w:jc w:val="left"/>
            </w:pPr>
            <w:r>
              <w:t xml:space="preserve">AUC0-inf + Cmax, rule A, criteria (iii)</w:t>
            </w:r>
          </w:p>
        </w:tc>
        <w:tc>
          <w:tcPr/>
          <w:p>
            <w:pPr>
              <w:pStyle w:val="Compact"/>
              <w:jc w:val="left"/>
            </w:pPr>
            <w:r>
              <w:t xml:space="preserve">9 (8); 0.00% to 17.04%</w:t>
            </w:r>
          </w:p>
        </w:tc>
        <w:tc>
          <w:tcPr/>
          <w:p>
            <w:pPr>
              <w:pStyle w:val="Compact"/>
              <w:jc w:val="left"/>
            </w:pPr>
            <w:r>
              <w:t xml:space="preserve">10 (9); 0.00% to 17.47%</w:t>
            </w:r>
          </w:p>
        </w:tc>
      </w:tr>
      <w:tr>
        <w:tc>
          <w:tcPr/>
          <w:p>
            <w:pPr>
              <w:pStyle w:val="Compact"/>
              <w:jc w:val="left"/>
            </w:pPr>
            <w:r>
              <w:t xml:space="preserve">AUC0-inf + Cmax, rule A, criteria (iv)</w:t>
            </w:r>
          </w:p>
        </w:tc>
        <w:tc>
          <w:tcPr/>
          <w:p>
            <w:pPr>
              <w:pStyle w:val="Compact"/>
              <w:jc w:val="left"/>
            </w:pPr>
            <w:r>
              <w:t xml:space="preserve">12 (9); 0.00% to 27.04%</w:t>
            </w:r>
          </w:p>
        </w:tc>
        <w:tc>
          <w:tcPr/>
          <w:p>
            <w:pPr>
              <w:pStyle w:val="Compact"/>
              <w:jc w:val="left"/>
            </w:pPr>
            <w:r>
              <w:t xml:space="preserve">12 (11); 0.00% to 27.19%</w:t>
            </w:r>
          </w:p>
        </w:tc>
      </w:tr>
      <w:tr>
        <w:tc>
          <w:tcPr/>
          <w:p>
            <w:pPr>
              <w:pStyle w:val="Compact"/>
              <w:jc w:val="left"/>
            </w:pPr>
            <w:r>
              <w:t xml:space="preserve">AUC0-inf + Cmax, rule B (any estimable lambda-z)</w:t>
            </w:r>
          </w:p>
        </w:tc>
        <w:tc>
          <w:tcPr/>
          <w:p>
            <w:pPr>
              <w:pStyle w:val="Compact"/>
              <w:jc w:val="left"/>
            </w:pPr>
            <w:r>
              <w:t xml:space="preserve">8 (6); 0.00% to 15.06%</w:t>
            </w:r>
          </w:p>
        </w:tc>
        <w:tc>
          <w:tcPr/>
          <w:p>
            <w:pPr>
              <w:pStyle w:val="Compact"/>
              <w:jc w:val="left"/>
            </w:pPr>
            <w:r>
              <w:t xml:space="preserve">10 (8); 0.00% to 16.03%</w:t>
            </w:r>
          </w:p>
        </w:tc>
      </w:tr>
      <w:tr>
        <w:tc>
          <w:tcPr/>
          <w:p>
            <w:pPr>
              <w:pStyle w:val="Compact"/>
              <w:jc w:val="left"/>
            </w:pPr>
            <w:r>
              <w:t xml:space="preserve">AUC0-inf + Cmax, rule C, criteria (i)</w:t>
            </w:r>
          </w:p>
        </w:tc>
        <w:tc>
          <w:tcPr/>
          <w:p>
            <w:pPr>
              <w:pStyle w:val="Compact"/>
              <w:jc w:val="left"/>
            </w:pPr>
            <w:r>
              <w:t xml:space="preserve">0 (0); 0.00% to 4.63%</w:t>
            </w:r>
          </w:p>
        </w:tc>
        <w:tc>
          <w:tcPr/>
          <w:p>
            <w:pPr>
              <w:pStyle w:val="Compact"/>
              <w:jc w:val="left"/>
            </w:pPr>
            <w:r>
              <w:t xml:space="preserve">1 (0); 0.00% to 5.06%</w:t>
            </w:r>
          </w:p>
        </w:tc>
      </w:tr>
      <w:tr>
        <w:tc>
          <w:tcPr/>
          <w:p>
            <w:pPr>
              <w:pStyle w:val="Compact"/>
              <w:jc w:val="left"/>
            </w:pPr>
            <w:r>
              <w:t xml:space="preserve">AUC0-inf + Cmax, rule C, criteria (ii)</w:t>
            </w:r>
          </w:p>
        </w:tc>
        <w:tc>
          <w:tcPr/>
          <w:p>
            <w:pPr>
              <w:pStyle w:val="Compact"/>
              <w:jc w:val="left"/>
            </w:pPr>
            <w:r>
              <w:t xml:space="preserve">1 (0); 0.00% to 5.01%</w:t>
            </w:r>
          </w:p>
        </w:tc>
        <w:tc>
          <w:tcPr/>
          <w:p>
            <w:pPr>
              <w:pStyle w:val="Compact"/>
              <w:jc w:val="left"/>
            </w:pPr>
            <w:r>
              <w:t xml:space="preserve">1 (1); 0.00% to 5.39%</w:t>
            </w:r>
          </w:p>
        </w:tc>
      </w:tr>
      <w:tr>
        <w:tc>
          <w:tcPr/>
          <w:p>
            <w:pPr>
              <w:pStyle w:val="Compact"/>
              <w:jc w:val="left"/>
            </w:pPr>
            <w:r>
              <w:t xml:space="preserve">AUC0-inf + Cmax, rule C, criteria (iii)</w:t>
            </w:r>
          </w:p>
        </w:tc>
        <w:tc>
          <w:tcPr/>
          <w:p>
            <w:pPr>
              <w:pStyle w:val="Compact"/>
              <w:jc w:val="left"/>
            </w:pPr>
            <w:r>
              <w:t xml:space="preserve">1 (0); 0.00% to 5.21%</w:t>
            </w:r>
          </w:p>
        </w:tc>
        <w:tc>
          <w:tcPr/>
          <w:p>
            <w:pPr>
              <w:pStyle w:val="Compact"/>
              <w:jc w:val="left"/>
            </w:pPr>
            <w:r>
              <w:t xml:space="preserve">1 (1); 0.00% to 5.65%</w:t>
            </w:r>
          </w:p>
        </w:tc>
      </w:tr>
      <w:tr>
        <w:tc>
          <w:tcPr/>
          <w:p>
            <w:pPr>
              <w:pStyle w:val="Compact"/>
              <w:jc w:val="left"/>
            </w:pPr>
            <w:r>
              <w:t xml:space="preserve">AUC0-inf + Cmax, rule C, criteria (iv)</w:t>
            </w:r>
          </w:p>
        </w:tc>
        <w:tc>
          <w:tcPr/>
          <w:p>
            <w:pPr>
              <w:pStyle w:val="Compact"/>
              <w:jc w:val="left"/>
            </w:pPr>
            <w:r>
              <w:t xml:space="preserve">1 (1); 0.00% to 6.05%</w:t>
            </w:r>
          </w:p>
        </w:tc>
        <w:tc>
          <w:tcPr/>
          <w:p>
            <w:pPr>
              <w:pStyle w:val="Compact"/>
              <w:jc w:val="left"/>
            </w:pPr>
            <w:r>
              <w:t xml:space="preserve">1 (1); 0.00% to 6.65%</w:t>
            </w:r>
          </w:p>
        </w:tc>
      </w:tr>
    </w:tbl>
    <w:p>
      <w:pPr>
        <w:numPr>
          <w:ilvl w:val="0"/>
          <w:numId w:val="1040"/>
        </w:numPr>
        <w:pStyle w:val="Compact"/>
      </w:pPr>
      <w:r>
        <w:t xml:space="preserve">With rule A, AUC0-inf + Cmax exceeds 5% (point estimate) in 8, 12, 9 and 12 of 16 boundary scenarios under criteria sets (i) to (iv) (M0).</w:t>
      </w:r>
    </w:p>
    <w:p>
      <w:pPr>
        <w:numPr>
          <w:ilvl w:val="0"/>
          <w:numId w:val="1040"/>
        </w:numPr>
        <w:pStyle w:val="Compact"/>
      </w:pPr>
      <w:r>
        <w:t xml:space="preserve">Bias of the AUC0-inf GMR against the true AUC0-inf ratio across the boundary scenarios (M0): rule A -2.73% to 8.13% (set (i)) and -2.72% to 11.05% (set (iii)); rule B -0.90% to 3.89%; rule C -0.93% to 0.43% (set (i)) and -1.13% to 0.49% (set (iii)).</w:t>
      </w:r>
    </w:p>
    <w:p>
      <w:pPr>
        <w:numPr>
          <w:ilvl w:val="0"/>
          <w:numId w:val="1040"/>
        </w:numPr>
        <w:pStyle w:val="Compact"/>
      </w:pPr>
      <w:r>
        <w:rPr>
          <w:bCs/>
          <w:b/>
        </w:rPr>
        <w:t xml:space="preserve">Decision instability.</w:t>
      </w:r>
      <w:r>
        <w:t xml:space="preserve"> </w:t>
      </w:r>
      <w:r>
        <w:t xml:space="preserve">In the same trials, the AUC0-inf + Cmax decision differs between the nine rule and criteria-set variants in a median of 12.6% and up to 39.6% of trials per boundary scenario (M0). Between rules A, B and C it differs in a median of 4.7% and up to 19.7% of trials with set (i) and a median of 6.2% and up to 20.7% with set (iii); between criteria sets it differs in a median of 11.4% and up to 37.5% within rule A and a median of 1.2% and up to 1.7% within rule C. With AUC0-inf as a primary endpoint, the equivalence decision of a given study would thus depend on handling choices that the software leaves to the analysis plan.</w:t>
      </w:r>
    </w:p>
    <w:p>
      <w:pPr>
        <w:pStyle w:val="CaptionedFigure"/>
      </w:pPr>
      <w:r>
        <w:drawing>
          <wp:inline>
            <wp:extent cx="5334000" cy="2963333"/>
            <wp:effectExtent b="0" l="0" r="0" t="0"/>
            <wp:docPr descr="Figure 5-8. Boundary type I error of AUC0-inf + Cmax by handling rule and criteria set, 16 boundary scenarios, pooled t-test (M0); dashed line 5%. Analysis figure results/criteria/fig_criteria_g2.png." title="" id="76" name="Picture"/>
            <a:graphic>
              <a:graphicData uri="http://schemas.openxmlformats.org/drawingml/2006/picture">
                <pic:pic>
                  <pic:nvPicPr>
                    <pic:cNvPr descr="../../results/criteria/fig_criteria_g2.png" id="77" name="Picture"/>
                    <pic:cNvPicPr>
                      <a:picLocks noChangeArrowheads="1" noChangeAspect="1"/>
                    </pic:cNvPicPr>
                  </pic:nvPicPr>
                  <pic:blipFill>
                    <a:blip r:embed="rId7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5-8. Boundary type I error of AUC0-inf + Cmax by handling rule and criteria set, 16 boundary scenarios, pooled t-test (M0); dashed line 5%. Analysis figure results/criteria/fig_criteria_g2.png.</w:t>
      </w:r>
    </w:p>
    <w:bookmarkEnd w:id="78"/>
    <w:bookmarkStart w:id="79" w:name="power-and-comparison-of-configurations"/>
    <w:p>
      <w:pPr>
        <w:pStyle w:val="Heading3"/>
      </w:pPr>
      <w:r>
        <w:t xml:space="preserve">Power and comparison of configurations</w:t>
      </w:r>
    </w:p>
    <w:p>
      <w:pPr>
        <w:pStyle w:val="FirstParagraph"/>
      </w:pPr>
      <w:r>
        <w:rPr>
          <w:bCs/>
          <w:b/>
        </w:rPr>
        <w:t xml:space="preserve">Power:</w:t>
      </w:r>
    </w:p>
    <w:p>
      <w:pPr>
        <w:numPr>
          <w:ilvl w:val="0"/>
          <w:numId w:val="1041"/>
        </w:numPr>
        <w:pStyle w:val="Compact"/>
      </w:pPr>
      <w:r>
        <w:t xml:space="preserve">For identical products, power is 99.6% (95% CI 99.4 to 99.7) for AUC0-last + Cmax and 99.3% (95% CI 99.2 to 99.5) for AUC0-inf (rule A, criteria (ii)) + Cmax in the primary model. In the 2020 model the values are 99.0% (95% CI 98.8 to 99.2) and 98.9% (95% CI 98.7 to 99.1).</w:t>
      </w:r>
    </w:p>
    <w:p>
      <w:pPr>
        <w:numPr>
          <w:ilvl w:val="0"/>
          <w:numId w:val="1041"/>
        </w:numPr>
        <w:pStyle w:val="Compact"/>
      </w:pPr>
      <w:r>
        <w:t xml:space="preserve">At true AUC0-inf ratios of 0.95 or 1.05, power for AUC0-last + Cmax ranges from 52.4 to 97.3% (primary model) and from 34.0 to 94.8% (2020 model), depending on the mechanism. It is lowest when absorption is faster (ka increased to a true AUC0-inf ratio of 1.05, true Cmax ratio 1.19 to 1.21), because Cmax then changes more than AUC.</w:t>
      </w:r>
    </w:p>
    <w:p>
      <w:pPr>
        <w:pStyle w:val="FirstParagraph"/>
      </w:pPr>
      <w:r>
        <w:rPr>
          <w:bCs/>
          <w:b/>
        </w:rPr>
        <w:t xml:space="preserve">Adding AUC0-inf (rule A, criteria (ii)) as a third co-primary endpoint:</w:t>
      </w:r>
    </w:p>
    <w:p>
      <w:pPr>
        <w:numPr>
          <w:ilvl w:val="0"/>
          <w:numId w:val="1042"/>
        </w:numPr>
        <w:pStyle w:val="Compact"/>
      </w:pPr>
      <w:r>
        <w:t xml:space="preserve">It prevents passing in only 0.00 to 4.23 percentage points of boundary trials.</w:t>
      </w:r>
    </w:p>
    <w:p>
      <w:pPr>
        <w:numPr>
          <w:ilvl w:val="0"/>
          <w:numId w:val="1042"/>
        </w:numPr>
        <w:pStyle w:val="Compact"/>
      </w:pPr>
      <w:r>
        <w:t xml:space="preserve">It causes additional failures in up to 20.50 percentage points of trials of products whose true AUC0-inf ratio is inside the limits.</w:t>
      </w:r>
    </w:p>
    <w:bookmarkEnd w:id="79"/>
    <w:bookmarkEnd w:id="80"/>
    <w:bookmarkStart w:id="81" w:name="random-product-space-secondary-metric-1"/>
    <w:p>
      <w:pPr>
        <w:pStyle w:val="Heading2"/>
      </w:pPr>
      <w:r>
        <w:t xml:space="preserve">5.5 Random product space (secondary metric)</w:t>
      </w:r>
    </w:p>
    <w:p>
      <w:pPr>
        <w:pStyle w:val="FirstParagraph"/>
      </w:pPr>
      <w:r>
        <w:t xml:space="preserve">These risks depend on the assumed distribution of virtual products and are not used for the primary judgement. Consumer risk is the share of products with a true AUC0-inf ratio outside the limits that pass; producer risk is the share of products inside the limits that fail. Near the boundaries means true ratios of 0.75 to 0.80 and 1.25 to 1.33 for consumer risk, and 0.80 to 0.85 and 1.18 to 1.25 for producer risk.</w:t>
      </w:r>
    </w:p>
    <w:p>
      <w:pPr>
        <w:pStyle w:val="TableCaption"/>
      </w:pPr>
      <w:r>
        <w:t xml:space="preserve">Table 5-13. Consumer and producer risk in the random product space (20,000 products per model, one trial each).</w:t>
      </w:r>
    </w:p>
    <w:tbl>
      <w:tblPr>
        <w:tblStyle w:val="Table"/>
        <w:tblW w:type="pct" w:w="5000"/>
        <w:tblLook w:firstRow="1" w:lastRow="0" w:firstColumn="0" w:lastColumn="0" w:noHBand="0" w:noVBand="0" w:val="0020"/>
        <w:jc w:val="start"/>
        <w:tblCaption w:val="Table 5-13. Consumer and producer risk in the random product space (20,000 products per model, one trial each)."/>
      </w:tblPr>
      <w:tblGrid>
        <w:gridCol w:w="730"/>
        <w:gridCol w:w="4212"/>
        <w:gridCol w:w="505"/>
        <w:gridCol w:w="786"/>
        <w:gridCol w:w="1179"/>
        <w:gridCol w:w="505"/>
      </w:tblGrid>
      <w:tr>
        <w:trPr>
          <w:tblHeader w:val="true"/>
        </w:trPr>
        <w:tc>
          <w:tcPr/>
          <w:p>
            <w:pPr>
              <w:pStyle w:val="Compact"/>
              <w:jc w:val="left"/>
            </w:pPr>
            <w:r>
              <w:t xml:space="preserve">Model</w:t>
            </w:r>
          </w:p>
        </w:tc>
        <w:tc>
          <w:tcPr/>
          <w:p>
            <w:pPr>
              <w:pStyle w:val="Compact"/>
              <w:jc w:val="left"/>
            </w:pPr>
            <w:r>
              <w:t xml:space="preserve">Configuration</w:t>
            </w:r>
          </w:p>
        </w:tc>
        <w:tc>
          <w:tcPr/>
          <w:p>
            <w:pPr>
              <w:pStyle w:val="Compact"/>
              <w:jc w:val="left"/>
            </w:pPr>
            <w:r>
              <w:t xml:space="preserve">Risk</w:t>
            </w:r>
          </w:p>
        </w:tc>
        <w:tc>
          <w:tcPr/>
          <w:p>
            <w:pPr>
              <w:pStyle w:val="Compact"/>
              <w:jc w:val="left"/>
            </w:pPr>
            <w:r>
              <w:t xml:space="preserve">Scope</w:t>
            </w:r>
          </w:p>
        </w:tc>
        <w:tc>
          <w:tcPr/>
          <w:p>
            <w:pPr>
              <w:pStyle w:val="Compact"/>
              <w:jc w:val="right"/>
            </w:pPr>
            <w:r>
              <w:t xml:space="preserve">% [95% CI]</w:t>
            </w:r>
          </w:p>
        </w:tc>
        <w:tc>
          <w:tcPr/>
          <w:p>
            <w:pPr>
              <w:pStyle w:val="Compact"/>
              <w:jc w:val="right"/>
            </w:pPr>
            <w:r>
              <w:t xml:space="preserve">Products</w:t>
            </w:r>
          </w:p>
        </w:tc>
      </w:tr>
      <w:tr>
        <w:tc>
          <w:tcPr/>
          <w:p>
            <w:pPr>
              <w:pStyle w:val="Compact"/>
              <w:jc w:val="left"/>
            </w:pPr>
            <w:r>
              <w:t xml:space="preserve">2016 model</w:t>
            </w:r>
          </w:p>
        </w:tc>
        <w:tc>
          <w:tcPr/>
          <w:p>
            <w:pPr>
              <w:pStyle w:val="Compact"/>
              <w:jc w:val="left"/>
            </w:pPr>
            <w:r>
              <w:t xml:space="preserve">AUC0-inf + Cmax, rule A, criteria (ii) (guidance default as pre-specified)</w:t>
            </w:r>
          </w:p>
        </w:tc>
        <w:tc>
          <w:tcPr/>
          <w:p>
            <w:pPr>
              <w:pStyle w:val="Compact"/>
              <w:jc w:val="left"/>
            </w:pPr>
            <w:r>
              <w:t xml:space="preserve">consumer</w:t>
            </w:r>
          </w:p>
        </w:tc>
        <w:tc>
          <w:tcPr/>
          <w:p>
            <w:pPr>
              <w:pStyle w:val="Compact"/>
              <w:jc w:val="left"/>
            </w:pPr>
            <w:r>
              <w:t xml:space="preserve">all</w:t>
            </w:r>
          </w:p>
        </w:tc>
        <w:tc>
          <w:tcPr/>
          <w:p>
            <w:pPr>
              <w:pStyle w:val="Compact"/>
              <w:jc w:val="right"/>
            </w:pPr>
            <w:r>
              <w:t xml:space="preserve">1.08 [0.88, 1.32]</w:t>
            </w:r>
          </w:p>
        </w:tc>
        <w:tc>
          <w:tcPr/>
          <w:p>
            <w:pPr>
              <w:pStyle w:val="Compact"/>
              <w:jc w:val="right"/>
            </w:pPr>
            <w:r>
              <w:t xml:space="preserve">8,540</w:t>
            </w:r>
          </w:p>
        </w:tc>
      </w:tr>
      <w:tr>
        <w:tc>
          <w:tcPr/>
          <w:p>
            <w:pPr>
              <w:pStyle w:val="Compact"/>
              <w:jc w:val="left"/>
            </w:pPr>
            <w:r>
              <w:t xml:space="preserve">2016 model</w:t>
            </w:r>
          </w:p>
        </w:tc>
        <w:tc>
          <w:tcPr/>
          <w:p>
            <w:pPr>
              <w:pStyle w:val="Compact"/>
              <w:jc w:val="left"/>
            </w:pPr>
            <w:r>
              <w:t xml:space="preserve">AUC0-last + AUC0-inf + Cmax, rule A, criteria (ii)</w:t>
            </w:r>
          </w:p>
        </w:tc>
        <w:tc>
          <w:tcPr/>
          <w:p>
            <w:pPr>
              <w:pStyle w:val="Compact"/>
              <w:jc w:val="left"/>
            </w:pPr>
            <w:r>
              <w:t xml:space="preserve">consumer</w:t>
            </w:r>
          </w:p>
        </w:tc>
        <w:tc>
          <w:tcPr/>
          <w:p>
            <w:pPr>
              <w:pStyle w:val="Compact"/>
              <w:jc w:val="left"/>
            </w:pPr>
            <w:r>
              <w:t xml:space="preserve">all</w:t>
            </w:r>
          </w:p>
        </w:tc>
        <w:tc>
          <w:tcPr/>
          <w:p>
            <w:pPr>
              <w:pStyle w:val="Compact"/>
              <w:jc w:val="right"/>
            </w:pPr>
            <w:r>
              <w:t xml:space="preserve">0.12 [0.06, 0.22]</w:t>
            </w:r>
          </w:p>
        </w:tc>
        <w:tc>
          <w:tcPr/>
          <w:p>
            <w:pPr>
              <w:pStyle w:val="Compact"/>
              <w:jc w:val="right"/>
            </w:pPr>
            <w:r>
              <w:t xml:space="preserve">8,540</w:t>
            </w:r>
          </w:p>
        </w:tc>
      </w:tr>
      <w:tr>
        <w:tc>
          <w:tcPr/>
          <w:p>
            <w:pPr>
              <w:pStyle w:val="Compact"/>
              <w:jc w:val="left"/>
            </w:pPr>
            <w:r>
              <w:t xml:space="preserve">2016 model</w:t>
            </w:r>
          </w:p>
        </w:tc>
        <w:tc>
          <w:tcPr/>
          <w:p>
            <w:pPr>
              <w:pStyle w:val="Compact"/>
              <w:jc w:val="left"/>
            </w:pPr>
            <w:r>
              <w:t xml:space="preserve">AUC0-last + AUC0-inf + Cmax, rule C, criteria (ii)</w:t>
            </w:r>
          </w:p>
        </w:tc>
        <w:tc>
          <w:tcPr/>
          <w:p>
            <w:pPr>
              <w:pStyle w:val="Compact"/>
              <w:jc w:val="left"/>
            </w:pPr>
            <w:r>
              <w:t xml:space="preserve">consumer</w:t>
            </w:r>
          </w:p>
        </w:tc>
        <w:tc>
          <w:tcPr/>
          <w:p>
            <w:pPr>
              <w:pStyle w:val="Compact"/>
              <w:jc w:val="left"/>
            </w:pPr>
            <w:r>
              <w:t xml:space="preserve">all</w:t>
            </w:r>
          </w:p>
        </w:tc>
        <w:tc>
          <w:tcPr/>
          <w:p>
            <w:pPr>
              <w:pStyle w:val="Compact"/>
              <w:jc w:val="right"/>
            </w:pPr>
            <w:r>
              <w:t xml:space="preserve">0.14 [0.08, 0.25]</w:t>
            </w:r>
          </w:p>
        </w:tc>
        <w:tc>
          <w:tcPr/>
          <w:p>
            <w:pPr>
              <w:pStyle w:val="Compact"/>
              <w:jc w:val="right"/>
            </w:pPr>
            <w:r>
              <w:t xml:space="preserve">8,540</w:t>
            </w:r>
          </w:p>
        </w:tc>
      </w:tr>
      <w:tr>
        <w:tc>
          <w:tcPr/>
          <w:p>
            <w:pPr>
              <w:pStyle w:val="Compact"/>
              <w:jc w:val="left"/>
            </w:pPr>
            <w:r>
              <w:t xml:space="preserve">2016 model</w:t>
            </w:r>
          </w:p>
        </w:tc>
        <w:tc>
          <w:tcPr/>
          <w:p>
            <w:pPr>
              <w:pStyle w:val="Compact"/>
              <w:jc w:val="left"/>
            </w:pPr>
            <w:r>
              <w:t xml:space="preserve">AUC0-last + Cmax (proposed)</w:t>
            </w:r>
          </w:p>
        </w:tc>
        <w:tc>
          <w:tcPr/>
          <w:p>
            <w:pPr>
              <w:pStyle w:val="Compact"/>
              <w:jc w:val="left"/>
            </w:pPr>
            <w:r>
              <w:t xml:space="preserve">consumer</w:t>
            </w:r>
          </w:p>
        </w:tc>
        <w:tc>
          <w:tcPr/>
          <w:p>
            <w:pPr>
              <w:pStyle w:val="Compact"/>
              <w:jc w:val="left"/>
            </w:pPr>
            <w:r>
              <w:t xml:space="preserve">all</w:t>
            </w:r>
          </w:p>
        </w:tc>
        <w:tc>
          <w:tcPr/>
          <w:p>
            <w:pPr>
              <w:pStyle w:val="Compact"/>
              <w:jc w:val="right"/>
            </w:pPr>
            <w:r>
              <w:t xml:space="preserve">0.14 [0.08, 0.25]</w:t>
            </w:r>
          </w:p>
        </w:tc>
        <w:tc>
          <w:tcPr/>
          <w:p>
            <w:pPr>
              <w:pStyle w:val="Compact"/>
              <w:jc w:val="right"/>
            </w:pPr>
            <w:r>
              <w:t xml:space="preserve">8,540</w:t>
            </w:r>
          </w:p>
        </w:tc>
      </w:tr>
      <w:tr>
        <w:tc>
          <w:tcPr/>
          <w:p>
            <w:pPr>
              <w:pStyle w:val="Compact"/>
              <w:jc w:val="left"/>
            </w:pPr>
            <w:r>
              <w:t xml:space="preserve">2016 model</w:t>
            </w:r>
          </w:p>
        </w:tc>
        <w:tc>
          <w:tcPr/>
          <w:p>
            <w:pPr>
              <w:pStyle w:val="Compact"/>
              <w:jc w:val="left"/>
            </w:pPr>
            <w:r>
              <w:t xml:space="preserve">AUC0-inf + Cmax, rule A, criteria (ii) (guidance default as pre-specified)</w:t>
            </w:r>
          </w:p>
        </w:tc>
        <w:tc>
          <w:tcPr/>
          <w:p>
            <w:pPr>
              <w:pStyle w:val="Compact"/>
              <w:jc w:val="left"/>
            </w:pPr>
            <w:r>
              <w:t xml:space="preserve">consumer</w:t>
            </w:r>
          </w:p>
        </w:tc>
        <w:tc>
          <w:tcPr/>
          <w:p>
            <w:pPr>
              <w:pStyle w:val="Compact"/>
              <w:jc w:val="left"/>
            </w:pPr>
            <w:r>
              <w:t xml:space="preserve">near boundary</w:t>
            </w:r>
          </w:p>
        </w:tc>
        <w:tc>
          <w:tcPr/>
          <w:p>
            <w:pPr>
              <w:pStyle w:val="Compact"/>
              <w:jc w:val="right"/>
            </w:pPr>
            <w:r>
              <w:t xml:space="preserve">3.42 [2.78, 4.21]</w:t>
            </w:r>
          </w:p>
        </w:tc>
        <w:tc>
          <w:tcPr/>
          <w:p>
            <w:pPr>
              <w:pStyle w:val="Compact"/>
              <w:jc w:val="right"/>
            </w:pPr>
            <w:r>
              <w:t xml:space="preserve">2,483</w:t>
            </w:r>
          </w:p>
        </w:tc>
      </w:tr>
      <w:tr>
        <w:tc>
          <w:tcPr/>
          <w:p>
            <w:pPr>
              <w:pStyle w:val="Compact"/>
              <w:jc w:val="left"/>
            </w:pPr>
            <w:r>
              <w:t xml:space="preserve">2016 model</w:t>
            </w:r>
          </w:p>
        </w:tc>
        <w:tc>
          <w:tcPr/>
          <w:p>
            <w:pPr>
              <w:pStyle w:val="Compact"/>
              <w:jc w:val="left"/>
            </w:pPr>
            <w:r>
              <w:t xml:space="preserve">AUC0-last + AUC0-inf + Cmax, rule A, criteria (ii)</w:t>
            </w:r>
          </w:p>
        </w:tc>
        <w:tc>
          <w:tcPr/>
          <w:p>
            <w:pPr>
              <w:pStyle w:val="Compact"/>
              <w:jc w:val="left"/>
            </w:pPr>
            <w:r>
              <w:t xml:space="preserve">consumer</w:t>
            </w:r>
          </w:p>
        </w:tc>
        <w:tc>
          <w:tcPr/>
          <w:p>
            <w:pPr>
              <w:pStyle w:val="Compact"/>
              <w:jc w:val="left"/>
            </w:pPr>
            <w:r>
              <w:t xml:space="preserve">near boundary</w:t>
            </w:r>
          </w:p>
        </w:tc>
        <w:tc>
          <w:tcPr/>
          <w:p>
            <w:pPr>
              <w:pStyle w:val="Compact"/>
              <w:jc w:val="right"/>
            </w:pPr>
            <w:r>
              <w:t xml:space="preserve">0.40 [0.22, 0.74]</w:t>
            </w:r>
          </w:p>
        </w:tc>
        <w:tc>
          <w:tcPr/>
          <w:p>
            <w:pPr>
              <w:pStyle w:val="Compact"/>
              <w:jc w:val="right"/>
            </w:pPr>
            <w:r>
              <w:t xml:space="preserve">2,483</w:t>
            </w:r>
          </w:p>
        </w:tc>
      </w:tr>
      <w:tr>
        <w:tc>
          <w:tcPr/>
          <w:p>
            <w:pPr>
              <w:pStyle w:val="Compact"/>
              <w:jc w:val="left"/>
            </w:pPr>
            <w:r>
              <w:t xml:space="preserve">2016 model</w:t>
            </w:r>
          </w:p>
        </w:tc>
        <w:tc>
          <w:tcPr/>
          <w:p>
            <w:pPr>
              <w:pStyle w:val="Compact"/>
              <w:jc w:val="left"/>
            </w:pPr>
            <w:r>
              <w:t xml:space="preserve">AUC0-last + AUC0-inf + Cmax, rule C, criteria (ii)</w:t>
            </w:r>
          </w:p>
        </w:tc>
        <w:tc>
          <w:tcPr/>
          <w:p>
            <w:pPr>
              <w:pStyle w:val="Compact"/>
              <w:jc w:val="left"/>
            </w:pPr>
            <w:r>
              <w:t xml:space="preserve">consumer</w:t>
            </w:r>
          </w:p>
        </w:tc>
        <w:tc>
          <w:tcPr/>
          <w:p>
            <w:pPr>
              <w:pStyle w:val="Compact"/>
              <w:jc w:val="left"/>
            </w:pPr>
            <w:r>
              <w:t xml:space="preserve">near boundary</w:t>
            </w:r>
          </w:p>
        </w:tc>
        <w:tc>
          <w:tcPr/>
          <w:p>
            <w:pPr>
              <w:pStyle w:val="Compact"/>
              <w:jc w:val="right"/>
            </w:pPr>
            <w:r>
              <w:t xml:space="preserve">0.48 [0.28, 0.84]</w:t>
            </w:r>
          </w:p>
        </w:tc>
        <w:tc>
          <w:tcPr/>
          <w:p>
            <w:pPr>
              <w:pStyle w:val="Compact"/>
              <w:jc w:val="right"/>
            </w:pPr>
            <w:r>
              <w:t xml:space="preserve">2,483</w:t>
            </w:r>
          </w:p>
        </w:tc>
      </w:tr>
      <w:tr>
        <w:tc>
          <w:tcPr/>
          <w:p>
            <w:pPr>
              <w:pStyle w:val="Compact"/>
              <w:jc w:val="left"/>
            </w:pPr>
            <w:r>
              <w:t xml:space="preserve">2016 model</w:t>
            </w:r>
          </w:p>
        </w:tc>
        <w:tc>
          <w:tcPr/>
          <w:p>
            <w:pPr>
              <w:pStyle w:val="Compact"/>
              <w:jc w:val="left"/>
            </w:pPr>
            <w:r>
              <w:t xml:space="preserve">AUC0-last + Cmax (proposed)</w:t>
            </w:r>
          </w:p>
        </w:tc>
        <w:tc>
          <w:tcPr/>
          <w:p>
            <w:pPr>
              <w:pStyle w:val="Compact"/>
              <w:jc w:val="left"/>
            </w:pPr>
            <w:r>
              <w:t xml:space="preserve">consumer</w:t>
            </w:r>
          </w:p>
        </w:tc>
        <w:tc>
          <w:tcPr/>
          <w:p>
            <w:pPr>
              <w:pStyle w:val="Compact"/>
              <w:jc w:val="left"/>
            </w:pPr>
            <w:r>
              <w:t xml:space="preserve">near boundary</w:t>
            </w:r>
          </w:p>
        </w:tc>
        <w:tc>
          <w:tcPr/>
          <w:p>
            <w:pPr>
              <w:pStyle w:val="Compact"/>
              <w:jc w:val="right"/>
            </w:pPr>
            <w:r>
              <w:t xml:space="preserve">0.48 [0.28, 0.84]</w:t>
            </w:r>
          </w:p>
        </w:tc>
        <w:tc>
          <w:tcPr/>
          <w:p>
            <w:pPr>
              <w:pStyle w:val="Compact"/>
              <w:jc w:val="right"/>
            </w:pPr>
            <w:r>
              <w:t xml:space="preserve">2,483</w:t>
            </w:r>
          </w:p>
        </w:tc>
      </w:tr>
      <w:tr>
        <w:tc>
          <w:tcPr/>
          <w:p>
            <w:pPr>
              <w:pStyle w:val="Compact"/>
              <w:jc w:val="left"/>
            </w:pPr>
            <w:r>
              <w:t xml:space="preserve">2016 model</w:t>
            </w:r>
          </w:p>
        </w:tc>
        <w:tc>
          <w:tcPr/>
          <w:p>
            <w:pPr>
              <w:pStyle w:val="Compact"/>
              <w:jc w:val="left"/>
            </w:pPr>
            <w:r>
              <w:t xml:space="preserve">AUC0-inf + Cmax, rule A, criteria (ii) (guidance default as pre-specified)</w:t>
            </w:r>
          </w:p>
        </w:tc>
        <w:tc>
          <w:tcPr/>
          <w:p>
            <w:pPr>
              <w:pStyle w:val="Compact"/>
              <w:jc w:val="left"/>
            </w:pPr>
            <w:r>
              <w:t xml:space="preserve">producer</w:t>
            </w:r>
          </w:p>
        </w:tc>
        <w:tc>
          <w:tcPr/>
          <w:p>
            <w:pPr>
              <w:pStyle w:val="Compact"/>
              <w:jc w:val="left"/>
            </w:pPr>
            <w:r>
              <w:t xml:space="preserve">all</w:t>
            </w:r>
          </w:p>
        </w:tc>
        <w:tc>
          <w:tcPr/>
          <w:p>
            <w:pPr>
              <w:pStyle w:val="Compact"/>
              <w:jc w:val="right"/>
            </w:pPr>
            <w:r>
              <w:t xml:space="preserve">45.42 [44.51, 46.33]</w:t>
            </w:r>
          </w:p>
        </w:tc>
        <w:tc>
          <w:tcPr/>
          <w:p>
            <w:pPr>
              <w:pStyle w:val="Compact"/>
              <w:jc w:val="right"/>
            </w:pPr>
            <w:r>
              <w:t xml:space="preserve">11,460</w:t>
            </w:r>
          </w:p>
        </w:tc>
      </w:tr>
      <w:tr>
        <w:tc>
          <w:tcPr/>
          <w:p>
            <w:pPr>
              <w:pStyle w:val="Compact"/>
              <w:jc w:val="left"/>
            </w:pPr>
            <w:r>
              <w:t xml:space="preserve">2016 model</w:t>
            </w:r>
          </w:p>
        </w:tc>
        <w:tc>
          <w:tcPr/>
          <w:p>
            <w:pPr>
              <w:pStyle w:val="Compact"/>
              <w:jc w:val="left"/>
            </w:pPr>
            <w:r>
              <w:t xml:space="preserve">AUC0-last + AUC0-inf + Cmax, rule A, criteria (ii)</w:t>
            </w:r>
          </w:p>
        </w:tc>
        <w:tc>
          <w:tcPr/>
          <w:p>
            <w:pPr>
              <w:pStyle w:val="Compact"/>
              <w:jc w:val="left"/>
            </w:pPr>
            <w:r>
              <w:t xml:space="preserve">producer</w:t>
            </w:r>
          </w:p>
        </w:tc>
        <w:tc>
          <w:tcPr/>
          <w:p>
            <w:pPr>
              <w:pStyle w:val="Compact"/>
              <w:jc w:val="left"/>
            </w:pPr>
            <w:r>
              <w:t xml:space="preserve">all</w:t>
            </w:r>
          </w:p>
        </w:tc>
        <w:tc>
          <w:tcPr/>
          <w:p>
            <w:pPr>
              <w:pStyle w:val="Compact"/>
              <w:jc w:val="right"/>
            </w:pPr>
            <w:r>
              <w:t xml:space="preserve">52.57 [51.65, 53.48]</w:t>
            </w:r>
          </w:p>
        </w:tc>
        <w:tc>
          <w:tcPr/>
          <w:p>
            <w:pPr>
              <w:pStyle w:val="Compact"/>
              <w:jc w:val="right"/>
            </w:pPr>
            <w:r>
              <w:t xml:space="preserve">11,460</w:t>
            </w:r>
          </w:p>
        </w:tc>
      </w:tr>
      <w:tr>
        <w:tc>
          <w:tcPr/>
          <w:p>
            <w:pPr>
              <w:pStyle w:val="Compact"/>
              <w:jc w:val="left"/>
            </w:pPr>
            <w:r>
              <w:t xml:space="preserve">2016 model</w:t>
            </w:r>
          </w:p>
        </w:tc>
        <w:tc>
          <w:tcPr/>
          <w:p>
            <w:pPr>
              <w:pStyle w:val="Compact"/>
              <w:jc w:val="left"/>
            </w:pPr>
            <w:r>
              <w:t xml:space="preserve">AUC0-last + AUC0-inf + Cmax, rule C, criteria (ii)</w:t>
            </w:r>
          </w:p>
        </w:tc>
        <w:tc>
          <w:tcPr/>
          <w:p>
            <w:pPr>
              <w:pStyle w:val="Compact"/>
              <w:jc w:val="left"/>
            </w:pPr>
            <w:r>
              <w:t xml:space="preserve">producer</w:t>
            </w:r>
          </w:p>
        </w:tc>
        <w:tc>
          <w:tcPr/>
          <w:p>
            <w:pPr>
              <w:pStyle w:val="Compact"/>
              <w:jc w:val="left"/>
            </w:pPr>
            <w:r>
              <w:t xml:space="preserve">all</w:t>
            </w:r>
          </w:p>
        </w:tc>
        <w:tc>
          <w:tcPr/>
          <w:p>
            <w:pPr>
              <w:pStyle w:val="Compact"/>
              <w:jc w:val="right"/>
            </w:pPr>
            <w:r>
              <w:t xml:space="preserve">49.84 [48.93, 50.76]</w:t>
            </w:r>
          </w:p>
        </w:tc>
        <w:tc>
          <w:tcPr/>
          <w:p>
            <w:pPr>
              <w:pStyle w:val="Compact"/>
              <w:jc w:val="right"/>
            </w:pPr>
            <w:r>
              <w:t xml:space="preserve">11,460</w:t>
            </w:r>
          </w:p>
        </w:tc>
      </w:tr>
      <w:tr>
        <w:tc>
          <w:tcPr/>
          <w:p>
            <w:pPr>
              <w:pStyle w:val="Compact"/>
              <w:jc w:val="left"/>
            </w:pPr>
            <w:r>
              <w:t xml:space="preserve">2016 model</w:t>
            </w:r>
          </w:p>
        </w:tc>
        <w:tc>
          <w:tcPr/>
          <w:p>
            <w:pPr>
              <w:pStyle w:val="Compact"/>
              <w:jc w:val="left"/>
            </w:pPr>
            <w:r>
              <w:t xml:space="preserve">AUC0-last + Cmax (proposed)</w:t>
            </w:r>
          </w:p>
        </w:tc>
        <w:tc>
          <w:tcPr/>
          <w:p>
            <w:pPr>
              <w:pStyle w:val="Compact"/>
              <w:jc w:val="left"/>
            </w:pPr>
            <w:r>
              <w:t xml:space="preserve">producer</w:t>
            </w:r>
          </w:p>
        </w:tc>
        <w:tc>
          <w:tcPr/>
          <w:p>
            <w:pPr>
              <w:pStyle w:val="Compact"/>
              <w:jc w:val="left"/>
            </w:pPr>
            <w:r>
              <w:t xml:space="preserve">all</w:t>
            </w:r>
          </w:p>
        </w:tc>
        <w:tc>
          <w:tcPr/>
          <w:p>
            <w:pPr>
              <w:pStyle w:val="Compact"/>
              <w:jc w:val="right"/>
            </w:pPr>
            <w:r>
              <w:t xml:space="preserve">49.59 [48.67, 50.51]</w:t>
            </w:r>
          </w:p>
        </w:tc>
        <w:tc>
          <w:tcPr/>
          <w:p>
            <w:pPr>
              <w:pStyle w:val="Compact"/>
              <w:jc w:val="right"/>
            </w:pPr>
            <w:r>
              <w:t xml:space="preserve">11,460</w:t>
            </w:r>
          </w:p>
        </w:tc>
      </w:tr>
      <w:tr>
        <w:tc>
          <w:tcPr/>
          <w:p>
            <w:pPr>
              <w:pStyle w:val="Compact"/>
              <w:jc w:val="left"/>
            </w:pPr>
            <w:r>
              <w:t xml:space="preserve">2016 model</w:t>
            </w:r>
          </w:p>
        </w:tc>
        <w:tc>
          <w:tcPr/>
          <w:p>
            <w:pPr>
              <w:pStyle w:val="Compact"/>
              <w:jc w:val="left"/>
            </w:pPr>
            <w:r>
              <w:t xml:space="preserve">AUC0-inf + Cmax, rule A, criteria (ii) (guidance default as pre-specified)</w:t>
            </w:r>
          </w:p>
        </w:tc>
        <w:tc>
          <w:tcPr/>
          <w:p>
            <w:pPr>
              <w:pStyle w:val="Compact"/>
              <w:jc w:val="left"/>
            </w:pPr>
            <w:r>
              <w:t xml:space="preserve">producer</w:t>
            </w:r>
          </w:p>
        </w:tc>
        <w:tc>
          <w:tcPr/>
          <w:p>
            <w:pPr>
              <w:pStyle w:val="Compact"/>
              <w:jc w:val="left"/>
            </w:pPr>
            <w:r>
              <w:t xml:space="preserve">near boundary</w:t>
            </w:r>
          </w:p>
        </w:tc>
        <w:tc>
          <w:tcPr/>
          <w:p>
            <w:pPr>
              <w:pStyle w:val="Compact"/>
              <w:jc w:val="right"/>
            </w:pPr>
            <w:r>
              <w:t xml:space="preserve">81.54 [80.05, 82.94]</w:t>
            </w:r>
          </w:p>
        </w:tc>
        <w:tc>
          <w:tcPr/>
          <w:p>
            <w:pPr>
              <w:pStyle w:val="Compact"/>
              <w:jc w:val="right"/>
            </w:pPr>
            <w:r>
              <w:t xml:space="preserve">2,763</w:t>
            </w:r>
          </w:p>
        </w:tc>
      </w:tr>
      <w:tr>
        <w:tc>
          <w:tcPr/>
          <w:p>
            <w:pPr>
              <w:pStyle w:val="Compact"/>
              <w:jc w:val="left"/>
            </w:pPr>
            <w:r>
              <w:t xml:space="preserve">2016 model</w:t>
            </w:r>
          </w:p>
        </w:tc>
        <w:tc>
          <w:tcPr/>
          <w:p>
            <w:pPr>
              <w:pStyle w:val="Compact"/>
              <w:jc w:val="left"/>
            </w:pPr>
            <w:r>
              <w:t xml:space="preserve">AUC0-last + AUC0-inf + Cmax, rule A, criteria (ii)</w:t>
            </w:r>
          </w:p>
        </w:tc>
        <w:tc>
          <w:tcPr/>
          <w:p>
            <w:pPr>
              <w:pStyle w:val="Compact"/>
              <w:jc w:val="left"/>
            </w:pPr>
            <w:r>
              <w:t xml:space="preserve">producer</w:t>
            </w:r>
          </w:p>
        </w:tc>
        <w:tc>
          <w:tcPr/>
          <w:p>
            <w:pPr>
              <w:pStyle w:val="Compact"/>
              <w:jc w:val="left"/>
            </w:pPr>
            <w:r>
              <w:t xml:space="preserve">near boundary</w:t>
            </w:r>
          </w:p>
        </w:tc>
        <w:tc>
          <w:tcPr/>
          <w:p>
            <w:pPr>
              <w:pStyle w:val="Compact"/>
              <w:jc w:val="right"/>
            </w:pPr>
            <w:r>
              <w:t xml:space="preserve">92.47 [91.43, 93.40]</w:t>
            </w:r>
          </w:p>
        </w:tc>
        <w:tc>
          <w:tcPr/>
          <w:p>
            <w:pPr>
              <w:pStyle w:val="Compact"/>
              <w:jc w:val="right"/>
            </w:pPr>
            <w:r>
              <w:t xml:space="preserve">2,763</w:t>
            </w:r>
          </w:p>
        </w:tc>
      </w:tr>
      <w:tr>
        <w:tc>
          <w:tcPr/>
          <w:p>
            <w:pPr>
              <w:pStyle w:val="Compact"/>
              <w:jc w:val="left"/>
            </w:pPr>
            <w:r>
              <w:t xml:space="preserve">2016 model</w:t>
            </w:r>
          </w:p>
        </w:tc>
        <w:tc>
          <w:tcPr/>
          <w:p>
            <w:pPr>
              <w:pStyle w:val="Compact"/>
              <w:jc w:val="left"/>
            </w:pPr>
            <w:r>
              <w:t xml:space="preserve">AUC0-last + AUC0-inf + Cmax, rule C, criteria (ii)</w:t>
            </w:r>
          </w:p>
        </w:tc>
        <w:tc>
          <w:tcPr/>
          <w:p>
            <w:pPr>
              <w:pStyle w:val="Compact"/>
              <w:jc w:val="left"/>
            </w:pPr>
            <w:r>
              <w:t xml:space="preserve">producer</w:t>
            </w:r>
          </w:p>
        </w:tc>
        <w:tc>
          <w:tcPr/>
          <w:p>
            <w:pPr>
              <w:pStyle w:val="Compact"/>
              <w:jc w:val="left"/>
            </w:pPr>
            <w:r>
              <w:t xml:space="preserve">near boundary</w:t>
            </w:r>
          </w:p>
        </w:tc>
        <w:tc>
          <w:tcPr/>
          <w:p>
            <w:pPr>
              <w:pStyle w:val="Compact"/>
              <w:jc w:val="right"/>
            </w:pPr>
            <w:r>
              <w:t xml:space="preserve">90.84 [89.71, 91.86]</w:t>
            </w:r>
          </w:p>
        </w:tc>
        <w:tc>
          <w:tcPr/>
          <w:p>
            <w:pPr>
              <w:pStyle w:val="Compact"/>
              <w:jc w:val="right"/>
            </w:pPr>
            <w:r>
              <w:t xml:space="preserve">2,763</w:t>
            </w:r>
          </w:p>
        </w:tc>
      </w:tr>
      <w:tr>
        <w:tc>
          <w:tcPr/>
          <w:p>
            <w:pPr>
              <w:pStyle w:val="Compact"/>
              <w:jc w:val="left"/>
            </w:pPr>
            <w:r>
              <w:t xml:space="preserve">2016 model</w:t>
            </w:r>
          </w:p>
        </w:tc>
        <w:tc>
          <w:tcPr/>
          <w:p>
            <w:pPr>
              <w:pStyle w:val="Compact"/>
              <w:jc w:val="left"/>
            </w:pPr>
            <w:r>
              <w:t xml:space="preserve">AUC0-last + Cmax (proposed)</w:t>
            </w:r>
          </w:p>
        </w:tc>
        <w:tc>
          <w:tcPr/>
          <w:p>
            <w:pPr>
              <w:pStyle w:val="Compact"/>
              <w:jc w:val="left"/>
            </w:pPr>
            <w:r>
              <w:t xml:space="preserve">producer</w:t>
            </w:r>
          </w:p>
        </w:tc>
        <w:tc>
          <w:tcPr/>
          <w:p>
            <w:pPr>
              <w:pStyle w:val="Compact"/>
              <w:jc w:val="left"/>
            </w:pPr>
            <w:r>
              <w:t xml:space="preserve">near boundary</w:t>
            </w:r>
          </w:p>
        </w:tc>
        <w:tc>
          <w:tcPr/>
          <w:p>
            <w:pPr>
              <w:pStyle w:val="Compact"/>
              <w:jc w:val="right"/>
            </w:pPr>
            <w:r>
              <w:t xml:space="preserve">90.73 [89.60, 91.76]</w:t>
            </w:r>
          </w:p>
        </w:tc>
        <w:tc>
          <w:tcPr/>
          <w:p>
            <w:pPr>
              <w:pStyle w:val="Compact"/>
              <w:jc w:val="right"/>
            </w:pPr>
            <w:r>
              <w:t xml:space="preserve">2,763</w:t>
            </w:r>
          </w:p>
        </w:tc>
      </w:tr>
      <w:tr>
        <w:tc>
          <w:tcPr/>
          <w:p>
            <w:pPr>
              <w:pStyle w:val="Compact"/>
              <w:jc w:val="left"/>
            </w:pPr>
            <w:r>
              <w:t xml:space="preserve">2020 Model 1</w:t>
            </w:r>
          </w:p>
        </w:tc>
        <w:tc>
          <w:tcPr/>
          <w:p>
            <w:pPr>
              <w:pStyle w:val="Compact"/>
              <w:jc w:val="left"/>
            </w:pPr>
            <w:r>
              <w:t xml:space="preserve">AUC0-inf + Cmax, rule A, criteria (ii) (guidance default as pre-specified)</w:t>
            </w:r>
          </w:p>
        </w:tc>
        <w:tc>
          <w:tcPr/>
          <w:p>
            <w:pPr>
              <w:pStyle w:val="Compact"/>
              <w:jc w:val="left"/>
            </w:pPr>
            <w:r>
              <w:t xml:space="preserve">consumer</w:t>
            </w:r>
          </w:p>
        </w:tc>
        <w:tc>
          <w:tcPr/>
          <w:p>
            <w:pPr>
              <w:pStyle w:val="Compact"/>
              <w:jc w:val="left"/>
            </w:pPr>
            <w:r>
              <w:t xml:space="preserve">all</w:t>
            </w:r>
          </w:p>
        </w:tc>
        <w:tc>
          <w:tcPr/>
          <w:p>
            <w:pPr>
              <w:pStyle w:val="Compact"/>
              <w:jc w:val="right"/>
            </w:pPr>
            <w:r>
              <w:t xml:space="preserve">1.39 [1.17, 1.67]</w:t>
            </w:r>
          </w:p>
        </w:tc>
        <w:tc>
          <w:tcPr/>
          <w:p>
            <w:pPr>
              <w:pStyle w:val="Compact"/>
              <w:jc w:val="right"/>
            </w:pPr>
            <w:r>
              <w:t xml:space="preserve">8,460</w:t>
            </w:r>
          </w:p>
        </w:tc>
      </w:tr>
      <w:tr>
        <w:tc>
          <w:tcPr/>
          <w:p>
            <w:pPr>
              <w:pStyle w:val="Compact"/>
              <w:jc w:val="left"/>
            </w:pPr>
            <w:r>
              <w:t xml:space="preserve">2020 Model 1</w:t>
            </w:r>
          </w:p>
        </w:tc>
        <w:tc>
          <w:tcPr/>
          <w:p>
            <w:pPr>
              <w:pStyle w:val="Compact"/>
              <w:jc w:val="left"/>
            </w:pPr>
            <w:r>
              <w:t xml:space="preserve">AUC0-last + AUC0-inf + Cmax, rule A, criteria (ii)</w:t>
            </w:r>
          </w:p>
        </w:tc>
        <w:tc>
          <w:tcPr/>
          <w:p>
            <w:pPr>
              <w:pStyle w:val="Compact"/>
              <w:jc w:val="left"/>
            </w:pPr>
            <w:r>
              <w:t xml:space="preserve">consumer</w:t>
            </w:r>
          </w:p>
        </w:tc>
        <w:tc>
          <w:tcPr/>
          <w:p>
            <w:pPr>
              <w:pStyle w:val="Compact"/>
              <w:jc w:val="left"/>
            </w:pPr>
            <w:r>
              <w:t xml:space="preserve">all</w:t>
            </w:r>
          </w:p>
        </w:tc>
        <w:tc>
          <w:tcPr/>
          <w:p>
            <w:pPr>
              <w:pStyle w:val="Compact"/>
              <w:jc w:val="right"/>
            </w:pPr>
            <w:r>
              <w:t xml:space="preserve">0.13 [0.07, 0.23]</w:t>
            </w:r>
          </w:p>
        </w:tc>
        <w:tc>
          <w:tcPr/>
          <w:p>
            <w:pPr>
              <w:pStyle w:val="Compact"/>
              <w:jc w:val="right"/>
            </w:pPr>
            <w:r>
              <w:t xml:space="preserve">8,460</w:t>
            </w:r>
          </w:p>
        </w:tc>
      </w:tr>
      <w:tr>
        <w:tc>
          <w:tcPr/>
          <w:p>
            <w:pPr>
              <w:pStyle w:val="Compact"/>
              <w:jc w:val="left"/>
            </w:pPr>
            <w:r>
              <w:t xml:space="preserve">2020 Model 1</w:t>
            </w:r>
          </w:p>
        </w:tc>
        <w:tc>
          <w:tcPr/>
          <w:p>
            <w:pPr>
              <w:pStyle w:val="Compact"/>
              <w:jc w:val="left"/>
            </w:pPr>
            <w:r>
              <w:t xml:space="preserve">AUC0-last + AUC0-inf + Cmax, rule C, criteria (ii)</w:t>
            </w:r>
          </w:p>
        </w:tc>
        <w:tc>
          <w:tcPr/>
          <w:p>
            <w:pPr>
              <w:pStyle w:val="Compact"/>
              <w:jc w:val="left"/>
            </w:pPr>
            <w:r>
              <w:t xml:space="preserve">consumer</w:t>
            </w:r>
          </w:p>
        </w:tc>
        <w:tc>
          <w:tcPr/>
          <w:p>
            <w:pPr>
              <w:pStyle w:val="Compact"/>
              <w:jc w:val="left"/>
            </w:pPr>
            <w:r>
              <w:t xml:space="preserve">all</w:t>
            </w:r>
          </w:p>
        </w:tc>
        <w:tc>
          <w:tcPr/>
          <w:p>
            <w:pPr>
              <w:pStyle w:val="Compact"/>
              <w:jc w:val="right"/>
            </w:pPr>
            <w:r>
              <w:t xml:space="preserve">0.17 [0.10, 0.28]</w:t>
            </w:r>
          </w:p>
        </w:tc>
        <w:tc>
          <w:tcPr/>
          <w:p>
            <w:pPr>
              <w:pStyle w:val="Compact"/>
              <w:jc w:val="right"/>
            </w:pPr>
            <w:r>
              <w:t xml:space="preserve">8,460</w:t>
            </w:r>
          </w:p>
        </w:tc>
      </w:tr>
      <w:tr>
        <w:tc>
          <w:tcPr/>
          <w:p>
            <w:pPr>
              <w:pStyle w:val="Compact"/>
              <w:jc w:val="left"/>
            </w:pPr>
            <w:r>
              <w:t xml:space="preserve">2020 Model 1</w:t>
            </w:r>
          </w:p>
        </w:tc>
        <w:tc>
          <w:tcPr/>
          <w:p>
            <w:pPr>
              <w:pStyle w:val="Compact"/>
              <w:jc w:val="left"/>
            </w:pPr>
            <w:r>
              <w:t xml:space="preserve">AUC0-last + Cmax (proposed)</w:t>
            </w:r>
          </w:p>
        </w:tc>
        <w:tc>
          <w:tcPr/>
          <w:p>
            <w:pPr>
              <w:pStyle w:val="Compact"/>
              <w:jc w:val="left"/>
            </w:pPr>
            <w:r>
              <w:t xml:space="preserve">consumer</w:t>
            </w:r>
          </w:p>
        </w:tc>
        <w:tc>
          <w:tcPr/>
          <w:p>
            <w:pPr>
              <w:pStyle w:val="Compact"/>
              <w:jc w:val="left"/>
            </w:pPr>
            <w:r>
              <w:t xml:space="preserve">all</w:t>
            </w:r>
          </w:p>
        </w:tc>
        <w:tc>
          <w:tcPr/>
          <w:p>
            <w:pPr>
              <w:pStyle w:val="Compact"/>
              <w:jc w:val="right"/>
            </w:pPr>
            <w:r>
              <w:t xml:space="preserve">0.18 [0.11, 0.29]</w:t>
            </w:r>
          </w:p>
        </w:tc>
        <w:tc>
          <w:tcPr/>
          <w:p>
            <w:pPr>
              <w:pStyle w:val="Compact"/>
              <w:jc w:val="right"/>
            </w:pPr>
            <w:r>
              <w:t xml:space="preserve">8,460</w:t>
            </w:r>
          </w:p>
        </w:tc>
      </w:tr>
      <w:tr>
        <w:tc>
          <w:tcPr/>
          <w:p>
            <w:pPr>
              <w:pStyle w:val="Compact"/>
              <w:jc w:val="left"/>
            </w:pPr>
            <w:r>
              <w:t xml:space="preserve">2020 Model 1</w:t>
            </w:r>
          </w:p>
        </w:tc>
        <w:tc>
          <w:tcPr/>
          <w:p>
            <w:pPr>
              <w:pStyle w:val="Compact"/>
              <w:jc w:val="left"/>
            </w:pPr>
            <w:r>
              <w:t xml:space="preserve">AUC0-inf + Cmax, rule A, criteria (ii) (guidance default as pre-specified)</w:t>
            </w:r>
          </w:p>
        </w:tc>
        <w:tc>
          <w:tcPr/>
          <w:p>
            <w:pPr>
              <w:pStyle w:val="Compact"/>
              <w:jc w:val="left"/>
            </w:pPr>
            <w:r>
              <w:t xml:space="preserve">consumer</w:t>
            </w:r>
          </w:p>
        </w:tc>
        <w:tc>
          <w:tcPr/>
          <w:p>
            <w:pPr>
              <w:pStyle w:val="Compact"/>
              <w:jc w:val="left"/>
            </w:pPr>
            <w:r>
              <w:t xml:space="preserve">near boundary</w:t>
            </w:r>
          </w:p>
        </w:tc>
        <w:tc>
          <w:tcPr/>
          <w:p>
            <w:pPr>
              <w:pStyle w:val="Compact"/>
              <w:jc w:val="right"/>
            </w:pPr>
            <w:r>
              <w:t xml:space="preserve">4.44 [3.70, 5.32]</w:t>
            </w:r>
          </w:p>
        </w:tc>
        <w:tc>
          <w:tcPr/>
          <w:p>
            <w:pPr>
              <w:pStyle w:val="Compact"/>
              <w:jc w:val="right"/>
            </w:pPr>
            <w:r>
              <w:t xml:space="preserve">2,498</w:t>
            </w:r>
          </w:p>
        </w:tc>
      </w:tr>
      <w:tr>
        <w:tc>
          <w:tcPr/>
          <w:p>
            <w:pPr>
              <w:pStyle w:val="Compact"/>
              <w:jc w:val="left"/>
            </w:pPr>
            <w:r>
              <w:t xml:space="preserve">2020 Model 1</w:t>
            </w:r>
          </w:p>
        </w:tc>
        <w:tc>
          <w:tcPr/>
          <w:p>
            <w:pPr>
              <w:pStyle w:val="Compact"/>
              <w:jc w:val="left"/>
            </w:pPr>
            <w:r>
              <w:t xml:space="preserve">AUC0-last + AUC0-inf + Cmax, rule A, criteria (ii)</w:t>
            </w:r>
          </w:p>
        </w:tc>
        <w:tc>
          <w:tcPr/>
          <w:p>
            <w:pPr>
              <w:pStyle w:val="Compact"/>
              <w:jc w:val="left"/>
            </w:pPr>
            <w:r>
              <w:t xml:space="preserve">consumer</w:t>
            </w:r>
          </w:p>
        </w:tc>
        <w:tc>
          <w:tcPr/>
          <w:p>
            <w:pPr>
              <w:pStyle w:val="Compact"/>
              <w:jc w:val="left"/>
            </w:pPr>
            <w:r>
              <w:t xml:space="preserve">near boundary</w:t>
            </w:r>
          </w:p>
        </w:tc>
        <w:tc>
          <w:tcPr/>
          <w:p>
            <w:pPr>
              <w:pStyle w:val="Compact"/>
              <w:jc w:val="right"/>
            </w:pPr>
            <w:r>
              <w:t xml:space="preserve">0.44 [0.25, 0.79]</w:t>
            </w:r>
          </w:p>
        </w:tc>
        <w:tc>
          <w:tcPr/>
          <w:p>
            <w:pPr>
              <w:pStyle w:val="Compact"/>
              <w:jc w:val="right"/>
            </w:pPr>
            <w:r>
              <w:t xml:space="preserve">2,498</w:t>
            </w:r>
          </w:p>
        </w:tc>
      </w:tr>
      <w:tr>
        <w:tc>
          <w:tcPr/>
          <w:p>
            <w:pPr>
              <w:pStyle w:val="Compact"/>
              <w:jc w:val="left"/>
            </w:pPr>
            <w:r>
              <w:t xml:space="preserve">2020 Model 1</w:t>
            </w:r>
          </w:p>
        </w:tc>
        <w:tc>
          <w:tcPr/>
          <w:p>
            <w:pPr>
              <w:pStyle w:val="Compact"/>
              <w:jc w:val="left"/>
            </w:pPr>
            <w:r>
              <w:t xml:space="preserve">AUC0-last + AUC0-inf + Cmax, rule C, criteria (ii)</w:t>
            </w:r>
          </w:p>
        </w:tc>
        <w:tc>
          <w:tcPr/>
          <w:p>
            <w:pPr>
              <w:pStyle w:val="Compact"/>
              <w:jc w:val="left"/>
            </w:pPr>
            <w:r>
              <w:t xml:space="preserve">consumer</w:t>
            </w:r>
          </w:p>
        </w:tc>
        <w:tc>
          <w:tcPr/>
          <w:p>
            <w:pPr>
              <w:pStyle w:val="Compact"/>
              <w:jc w:val="left"/>
            </w:pPr>
            <w:r>
              <w:t xml:space="preserve">near boundary</w:t>
            </w:r>
          </w:p>
        </w:tc>
        <w:tc>
          <w:tcPr/>
          <w:p>
            <w:pPr>
              <w:pStyle w:val="Compact"/>
              <w:jc w:val="right"/>
            </w:pPr>
            <w:r>
              <w:t xml:space="preserve">0.52 [0.30, 0.89]</w:t>
            </w:r>
          </w:p>
        </w:tc>
        <w:tc>
          <w:tcPr/>
          <w:p>
            <w:pPr>
              <w:pStyle w:val="Compact"/>
              <w:jc w:val="right"/>
            </w:pPr>
            <w:r>
              <w:t xml:space="preserve">2,498</w:t>
            </w:r>
          </w:p>
        </w:tc>
      </w:tr>
      <w:tr>
        <w:tc>
          <w:tcPr/>
          <w:p>
            <w:pPr>
              <w:pStyle w:val="Compact"/>
              <w:jc w:val="left"/>
            </w:pPr>
            <w:r>
              <w:t xml:space="preserve">2020 Model 1</w:t>
            </w:r>
          </w:p>
        </w:tc>
        <w:tc>
          <w:tcPr/>
          <w:p>
            <w:pPr>
              <w:pStyle w:val="Compact"/>
              <w:jc w:val="left"/>
            </w:pPr>
            <w:r>
              <w:t xml:space="preserve">AUC0-last + Cmax (proposed)</w:t>
            </w:r>
          </w:p>
        </w:tc>
        <w:tc>
          <w:tcPr/>
          <w:p>
            <w:pPr>
              <w:pStyle w:val="Compact"/>
              <w:jc w:val="left"/>
            </w:pPr>
            <w:r>
              <w:t xml:space="preserve">consumer</w:t>
            </w:r>
          </w:p>
        </w:tc>
        <w:tc>
          <w:tcPr/>
          <w:p>
            <w:pPr>
              <w:pStyle w:val="Compact"/>
              <w:jc w:val="left"/>
            </w:pPr>
            <w:r>
              <w:t xml:space="preserve">near boundary</w:t>
            </w:r>
          </w:p>
        </w:tc>
        <w:tc>
          <w:tcPr/>
          <w:p>
            <w:pPr>
              <w:pStyle w:val="Compact"/>
              <w:jc w:val="right"/>
            </w:pPr>
            <w:r>
              <w:t xml:space="preserve">0.56 [0.33, 0.94]</w:t>
            </w:r>
          </w:p>
        </w:tc>
        <w:tc>
          <w:tcPr/>
          <w:p>
            <w:pPr>
              <w:pStyle w:val="Compact"/>
              <w:jc w:val="right"/>
            </w:pPr>
            <w:r>
              <w:t xml:space="preserve">2,498</w:t>
            </w:r>
          </w:p>
        </w:tc>
      </w:tr>
      <w:tr>
        <w:tc>
          <w:tcPr/>
          <w:p>
            <w:pPr>
              <w:pStyle w:val="Compact"/>
              <w:jc w:val="left"/>
            </w:pPr>
            <w:r>
              <w:t xml:space="preserve">2020 Model 1</w:t>
            </w:r>
          </w:p>
        </w:tc>
        <w:tc>
          <w:tcPr/>
          <w:p>
            <w:pPr>
              <w:pStyle w:val="Compact"/>
              <w:jc w:val="left"/>
            </w:pPr>
            <w:r>
              <w:t xml:space="preserve">AUC0-inf + Cmax, rule A, criteria (ii) (guidance default as pre-specified)</w:t>
            </w:r>
          </w:p>
        </w:tc>
        <w:tc>
          <w:tcPr/>
          <w:p>
            <w:pPr>
              <w:pStyle w:val="Compact"/>
              <w:jc w:val="left"/>
            </w:pPr>
            <w:r>
              <w:t xml:space="preserve">producer</w:t>
            </w:r>
          </w:p>
        </w:tc>
        <w:tc>
          <w:tcPr/>
          <w:p>
            <w:pPr>
              <w:pStyle w:val="Compact"/>
              <w:jc w:val="left"/>
            </w:pPr>
            <w:r>
              <w:t xml:space="preserve">all</w:t>
            </w:r>
          </w:p>
        </w:tc>
        <w:tc>
          <w:tcPr/>
          <w:p>
            <w:pPr>
              <w:pStyle w:val="Compact"/>
              <w:jc w:val="right"/>
            </w:pPr>
            <w:r>
              <w:t xml:space="preserve">46.20 [45.29, 47.11]</w:t>
            </w:r>
          </w:p>
        </w:tc>
        <w:tc>
          <w:tcPr/>
          <w:p>
            <w:pPr>
              <w:pStyle w:val="Compact"/>
              <w:jc w:val="right"/>
            </w:pPr>
            <w:r>
              <w:t xml:space="preserve">11,540</w:t>
            </w:r>
          </w:p>
        </w:tc>
      </w:tr>
      <w:tr>
        <w:tc>
          <w:tcPr/>
          <w:p>
            <w:pPr>
              <w:pStyle w:val="Compact"/>
              <w:jc w:val="left"/>
            </w:pPr>
            <w:r>
              <w:t xml:space="preserve">2020 Model 1</w:t>
            </w:r>
          </w:p>
        </w:tc>
        <w:tc>
          <w:tcPr/>
          <w:p>
            <w:pPr>
              <w:pStyle w:val="Compact"/>
              <w:jc w:val="left"/>
            </w:pPr>
            <w:r>
              <w:t xml:space="preserve">AUC0-last + AUC0-inf + Cmax, rule A, criteria (ii)</w:t>
            </w:r>
          </w:p>
        </w:tc>
        <w:tc>
          <w:tcPr/>
          <w:p>
            <w:pPr>
              <w:pStyle w:val="Compact"/>
              <w:jc w:val="left"/>
            </w:pPr>
            <w:r>
              <w:t xml:space="preserve">producer</w:t>
            </w:r>
          </w:p>
        </w:tc>
        <w:tc>
          <w:tcPr/>
          <w:p>
            <w:pPr>
              <w:pStyle w:val="Compact"/>
              <w:jc w:val="left"/>
            </w:pPr>
            <w:r>
              <w:t xml:space="preserve">all</w:t>
            </w:r>
          </w:p>
        </w:tc>
        <w:tc>
          <w:tcPr/>
          <w:p>
            <w:pPr>
              <w:pStyle w:val="Compact"/>
              <w:jc w:val="right"/>
            </w:pPr>
            <w:r>
              <w:t xml:space="preserve">54.02 [53.11, 54.93]</w:t>
            </w:r>
          </w:p>
        </w:tc>
        <w:tc>
          <w:tcPr/>
          <w:p>
            <w:pPr>
              <w:pStyle w:val="Compact"/>
              <w:jc w:val="right"/>
            </w:pPr>
            <w:r>
              <w:t xml:space="preserve">11,540</w:t>
            </w:r>
          </w:p>
        </w:tc>
      </w:tr>
      <w:tr>
        <w:tc>
          <w:tcPr/>
          <w:p>
            <w:pPr>
              <w:pStyle w:val="Compact"/>
              <w:jc w:val="left"/>
            </w:pPr>
            <w:r>
              <w:t xml:space="preserve">2020 Model 1</w:t>
            </w:r>
          </w:p>
        </w:tc>
        <w:tc>
          <w:tcPr/>
          <w:p>
            <w:pPr>
              <w:pStyle w:val="Compact"/>
              <w:jc w:val="left"/>
            </w:pPr>
            <w:r>
              <w:t xml:space="preserve">AUC0-last + AUC0-inf + Cmax, rule C, criteria (ii)</w:t>
            </w:r>
          </w:p>
        </w:tc>
        <w:tc>
          <w:tcPr/>
          <w:p>
            <w:pPr>
              <w:pStyle w:val="Compact"/>
              <w:jc w:val="left"/>
            </w:pPr>
            <w:r>
              <w:t xml:space="preserve">producer</w:t>
            </w:r>
          </w:p>
        </w:tc>
        <w:tc>
          <w:tcPr/>
          <w:p>
            <w:pPr>
              <w:pStyle w:val="Compact"/>
              <w:jc w:val="left"/>
            </w:pPr>
            <w:r>
              <w:t xml:space="preserve">all</w:t>
            </w:r>
          </w:p>
        </w:tc>
        <w:tc>
          <w:tcPr/>
          <w:p>
            <w:pPr>
              <w:pStyle w:val="Compact"/>
              <w:jc w:val="right"/>
            </w:pPr>
            <w:r>
              <w:t xml:space="preserve">51.15 [50.24, 52.06]</w:t>
            </w:r>
          </w:p>
        </w:tc>
        <w:tc>
          <w:tcPr/>
          <w:p>
            <w:pPr>
              <w:pStyle w:val="Compact"/>
              <w:jc w:val="right"/>
            </w:pPr>
            <w:r>
              <w:t xml:space="preserve">11,540</w:t>
            </w:r>
          </w:p>
        </w:tc>
      </w:tr>
      <w:tr>
        <w:tc>
          <w:tcPr/>
          <w:p>
            <w:pPr>
              <w:pStyle w:val="Compact"/>
              <w:jc w:val="left"/>
            </w:pPr>
            <w:r>
              <w:t xml:space="preserve">2020 Model 1</w:t>
            </w:r>
          </w:p>
        </w:tc>
        <w:tc>
          <w:tcPr/>
          <w:p>
            <w:pPr>
              <w:pStyle w:val="Compact"/>
              <w:jc w:val="left"/>
            </w:pPr>
            <w:r>
              <w:t xml:space="preserve">AUC0-last + Cmax (proposed)</w:t>
            </w:r>
          </w:p>
        </w:tc>
        <w:tc>
          <w:tcPr/>
          <w:p>
            <w:pPr>
              <w:pStyle w:val="Compact"/>
              <w:jc w:val="left"/>
            </w:pPr>
            <w:r>
              <w:t xml:space="preserve">producer</w:t>
            </w:r>
          </w:p>
        </w:tc>
        <w:tc>
          <w:tcPr/>
          <w:p>
            <w:pPr>
              <w:pStyle w:val="Compact"/>
              <w:jc w:val="left"/>
            </w:pPr>
            <w:r>
              <w:t xml:space="preserve">all</w:t>
            </w:r>
          </w:p>
        </w:tc>
        <w:tc>
          <w:tcPr/>
          <w:p>
            <w:pPr>
              <w:pStyle w:val="Compact"/>
              <w:jc w:val="right"/>
            </w:pPr>
            <w:r>
              <w:t xml:space="preserve">50.94 [50.02, 51.85]</w:t>
            </w:r>
          </w:p>
        </w:tc>
        <w:tc>
          <w:tcPr/>
          <w:p>
            <w:pPr>
              <w:pStyle w:val="Compact"/>
              <w:jc w:val="right"/>
            </w:pPr>
            <w:r>
              <w:t xml:space="preserve">11,540</w:t>
            </w:r>
          </w:p>
        </w:tc>
      </w:tr>
      <w:tr>
        <w:tc>
          <w:tcPr/>
          <w:p>
            <w:pPr>
              <w:pStyle w:val="Compact"/>
              <w:jc w:val="left"/>
            </w:pPr>
            <w:r>
              <w:t xml:space="preserve">2020 Model 1</w:t>
            </w:r>
          </w:p>
        </w:tc>
        <w:tc>
          <w:tcPr/>
          <w:p>
            <w:pPr>
              <w:pStyle w:val="Compact"/>
              <w:jc w:val="left"/>
            </w:pPr>
            <w:r>
              <w:t xml:space="preserve">AUC0-inf + Cmax, rule A, criteria (ii) (guidance default as pre-specified)</w:t>
            </w:r>
          </w:p>
        </w:tc>
        <w:tc>
          <w:tcPr/>
          <w:p>
            <w:pPr>
              <w:pStyle w:val="Compact"/>
              <w:jc w:val="left"/>
            </w:pPr>
            <w:r>
              <w:t xml:space="preserve">producer</w:t>
            </w:r>
          </w:p>
        </w:tc>
        <w:tc>
          <w:tcPr/>
          <w:p>
            <w:pPr>
              <w:pStyle w:val="Compact"/>
              <w:jc w:val="left"/>
            </w:pPr>
            <w:r>
              <w:t xml:space="preserve">near boundary</w:t>
            </w:r>
          </w:p>
        </w:tc>
        <w:tc>
          <w:tcPr/>
          <w:p>
            <w:pPr>
              <w:pStyle w:val="Compact"/>
              <w:jc w:val="right"/>
            </w:pPr>
            <w:r>
              <w:t xml:space="preserve">80.37 [78.85, 81.81]</w:t>
            </w:r>
          </w:p>
        </w:tc>
        <w:tc>
          <w:tcPr/>
          <w:p>
            <w:pPr>
              <w:pStyle w:val="Compact"/>
              <w:jc w:val="right"/>
            </w:pPr>
            <w:r>
              <w:t xml:space="preserve">2,756</w:t>
            </w:r>
          </w:p>
        </w:tc>
      </w:tr>
      <w:tr>
        <w:tc>
          <w:tcPr/>
          <w:p>
            <w:pPr>
              <w:pStyle w:val="Compact"/>
              <w:jc w:val="left"/>
            </w:pPr>
            <w:r>
              <w:t xml:space="preserve">2020 Model 1</w:t>
            </w:r>
          </w:p>
        </w:tc>
        <w:tc>
          <w:tcPr/>
          <w:p>
            <w:pPr>
              <w:pStyle w:val="Compact"/>
              <w:jc w:val="left"/>
            </w:pPr>
            <w:r>
              <w:t xml:space="preserve">AUC0-last + AUC0-inf + Cmax, rule A, criteria (ii)</w:t>
            </w:r>
          </w:p>
        </w:tc>
        <w:tc>
          <w:tcPr/>
          <w:p>
            <w:pPr>
              <w:pStyle w:val="Compact"/>
              <w:jc w:val="left"/>
            </w:pPr>
            <w:r>
              <w:t xml:space="preserve">producer</w:t>
            </w:r>
          </w:p>
        </w:tc>
        <w:tc>
          <w:tcPr/>
          <w:p>
            <w:pPr>
              <w:pStyle w:val="Compact"/>
              <w:jc w:val="left"/>
            </w:pPr>
            <w:r>
              <w:t xml:space="preserve">near boundary</w:t>
            </w:r>
          </w:p>
        </w:tc>
        <w:tc>
          <w:tcPr/>
          <w:p>
            <w:pPr>
              <w:pStyle w:val="Compact"/>
              <w:jc w:val="right"/>
            </w:pPr>
            <w:r>
              <w:t xml:space="preserve">91.69 [90.60, 92.66]</w:t>
            </w:r>
          </w:p>
        </w:tc>
        <w:tc>
          <w:tcPr/>
          <w:p>
            <w:pPr>
              <w:pStyle w:val="Compact"/>
              <w:jc w:val="right"/>
            </w:pPr>
            <w:r>
              <w:t xml:space="preserve">2,756</w:t>
            </w:r>
          </w:p>
        </w:tc>
      </w:tr>
      <w:tr>
        <w:tc>
          <w:tcPr/>
          <w:p>
            <w:pPr>
              <w:pStyle w:val="Compact"/>
              <w:jc w:val="left"/>
            </w:pPr>
            <w:r>
              <w:t xml:space="preserve">2020 Model 1</w:t>
            </w:r>
          </w:p>
        </w:tc>
        <w:tc>
          <w:tcPr/>
          <w:p>
            <w:pPr>
              <w:pStyle w:val="Compact"/>
              <w:jc w:val="left"/>
            </w:pPr>
            <w:r>
              <w:t xml:space="preserve">AUC0-last + AUC0-inf + Cmax, rule C, criteria (ii)</w:t>
            </w:r>
          </w:p>
        </w:tc>
        <w:tc>
          <w:tcPr/>
          <w:p>
            <w:pPr>
              <w:pStyle w:val="Compact"/>
              <w:jc w:val="left"/>
            </w:pPr>
            <w:r>
              <w:t xml:space="preserve">producer</w:t>
            </w:r>
          </w:p>
        </w:tc>
        <w:tc>
          <w:tcPr/>
          <w:p>
            <w:pPr>
              <w:pStyle w:val="Compact"/>
              <w:jc w:val="left"/>
            </w:pPr>
            <w:r>
              <w:t xml:space="preserve">near boundary</w:t>
            </w:r>
          </w:p>
        </w:tc>
        <w:tc>
          <w:tcPr/>
          <w:p>
            <w:pPr>
              <w:pStyle w:val="Compact"/>
              <w:jc w:val="right"/>
            </w:pPr>
            <w:r>
              <w:t xml:space="preserve">90.31 [89.15, 91.36]</w:t>
            </w:r>
          </w:p>
        </w:tc>
        <w:tc>
          <w:tcPr/>
          <w:p>
            <w:pPr>
              <w:pStyle w:val="Compact"/>
              <w:jc w:val="right"/>
            </w:pPr>
            <w:r>
              <w:t xml:space="preserve">2,756</w:t>
            </w:r>
          </w:p>
        </w:tc>
      </w:tr>
      <w:tr>
        <w:tc>
          <w:tcPr/>
          <w:p>
            <w:pPr>
              <w:pStyle w:val="Compact"/>
              <w:jc w:val="left"/>
            </w:pPr>
            <w:r>
              <w:t xml:space="preserve">2020 Model 1</w:t>
            </w:r>
          </w:p>
        </w:tc>
        <w:tc>
          <w:tcPr/>
          <w:p>
            <w:pPr>
              <w:pStyle w:val="Compact"/>
              <w:jc w:val="left"/>
            </w:pPr>
            <w:r>
              <w:t xml:space="preserve">AUC0-last + Cmax (proposed)</w:t>
            </w:r>
          </w:p>
        </w:tc>
        <w:tc>
          <w:tcPr/>
          <w:p>
            <w:pPr>
              <w:pStyle w:val="Compact"/>
              <w:jc w:val="left"/>
            </w:pPr>
            <w:r>
              <w:t xml:space="preserve">producer</w:t>
            </w:r>
          </w:p>
        </w:tc>
        <w:tc>
          <w:tcPr/>
          <w:p>
            <w:pPr>
              <w:pStyle w:val="Compact"/>
              <w:jc w:val="left"/>
            </w:pPr>
            <w:r>
              <w:t xml:space="preserve">near boundary</w:t>
            </w:r>
          </w:p>
        </w:tc>
        <w:tc>
          <w:tcPr/>
          <w:p>
            <w:pPr>
              <w:pStyle w:val="Compact"/>
              <w:jc w:val="right"/>
            </w:pPr>
            <w:r>
              <w:t xml:space="preserve">90.13 [88.96, 91.19]</w:t>
            </w:r>
          </w:p>
        </w:tc>
        <w:tc>
          <w:tcPr/>
          <w:p>
            <w:pPr>
              <w:pStyle w:val="Compact"/>
              <w:jc w:val="right"/>
            </w:pPr>
            <w:r>
              <w:t xml:space="preserve">2,756</w:t>
            </w:r>
          </w:p>
        </w:tc>
      </w:tr>
    </w:tbl>
    <w:bookmarkEnd w:id="81"/>
    <w:bookmarkStart w:id="82" w:name="target-binding-km"/>
    <w:p>
      <w:pPr>
        <w:pStyle w:val="Heading2"/>
      </w:pPr>
      <w:r>
        <w:t xml:space="preserve">5.6 Target binding (Km)</w:t>
      </w:r>
    </w:p>
    <w:p>
      <w:pPr>
        <w:pStyle w:val="FirstParagraph"/>
      </w:pPr>
      <w:r>
        <w:t xml:space="preserve">A 100-fold range of the Michaelis-Menten constant of target-mediated elimination (Km; not the binding affinity itself) in either direction (Km x0.01 to x100 in the test arm) moves the true AUC0-inf ratio only within 0.999 to 1.059, in both models. Of the 12 pre-specified target ratios (0.70 to 1.43), only 1.05 is reachable, at Km x84 (primary model) and x92 (2020 model).</w:t>
      </w:r>
    </w:p>
    <w:p>
      <w:pPr>
        <w:pStyle w:val="BodyText"/>
      </w:pPr>
      <w:r>
        <w:t xml:space="preserve">Differences in target binding therefore cannot be detected by AUC0-last, by AUC0-inf or by Cmax, and the choice between AUC endpoints does not affect sensitivity to binding. Binding similarity must be demonstrated by the comparative analytical assessment (binding kinetics and functional assays).</w:t>
      </w:r>
    </w:p>
    <w:bookmarkEnd w:id="82"/>
    <w:bookmarkStart w:id="83" w:name="sampling-schedule"/>
    <w:p>
      <w:pPr>
        <w:pStyle w:val="Heading2"/>
      </w:pPr>
      <w:r>
        <w:t xml:space="preserve">5.7 Sampling schedule</w:t>
      </w:r>
    </w:p>
    <w:p>
      <w:pPr>
        <w:pStyle w:val="TableCaption"/>
      </w:pPr>
      <w:r>
        <w:t xml:space="preserve">Table 5-14. Decision criteria for added samples (set before any result was reported) versus the planned schedule (20,000 subjects and 500 trials per model; B-minus removes Day 50).</w:t>
      </w:r>
    </w:p>
    <w:tbl>
      <w:tblPr>
        <w:tblStyle w:val="Table"/>
        <w:tblW w:type="pct" w:w="5000"/>
        <w:tblLook w:firstRow="1" w:lastRow="0" w:firstColumn="0" w:lastColumn="0" w:noHBand="0" w:noVBand="0" w:val="0020"/>
        <w:jc w:val="start"/>
        <w:tblCaption w:val="Table 5-14. Decision criteria for added samples (set before any result was reported) versus the planned schedule (20,000 subjects and 500 trials per model; B-minus removes Day 50)."/>
      </w:tblPr>
      <w:tblGrid>
        <w:gridCol w:w="501"/>
        <w:gridCol w:w="322"/>
        <w:gridCol w:w="465"/>
        <w:gridCol w:w="1505"/>
        <w:gridCol w:w="1218"/>
        <w:gridCol w:w="1505"/>
        <w:gridCol w:w="2042"/>
        <w:gridCol w:w="358"/>
      </w:tblGrid>
      <w:tr>
        <w:trPr>
          <w:tblHeader w:val="true"/>
        </w:trPr>
        <w:tc>
          <w:tcPr/>
          <w:p>
            <w:pPr>
              <w:pStyle w:val="Compact"/>
              <w:jc w:val="left"/>
            </w:pPr>
            <w:r>
              <w:t xml:space="preserve">Model</w:t>
            </w:r>
          </w:p>
        </w:tc>
        <w:tc>
          <w:tcPr/>
          <w:p>
            <w:pPr>
              <w:pStyle w:val="Compact"/>
              <w:jc w:val="left"/>
            </w:pPr>
            <w:r>
              <w:t xml:space="preserve">Schedule</w:t>
            </w:r>
          </w:p>
        </w:tc>
        <w:tc>
          <w:tcPr/>
          <w:p>
            <w:pPr>
              <w:pStyle w:val="Compact"/>
              <w:jc w:val="right"/>
            </w:pPr>
            <w:r>
              <w:t xml:space="preserve">Added visits</w:t>
            </w:r>
          </w:p>
        </w:tc>
        <w:tc>
          <w:tcPr/>
          <w:p>
            <w:pPr>
              <w:pStyle w:val="Compact"/>
              <w:jc w:val="right"/>
            </w:pPr>
            <w:r>
              <w:t xml:space="preserve">(a) CI width change (%, negative = wider)</w:t>
            </w:r>
          </w:p>
        </w:tc>
        <w:tc>
          <w:tcPr/>
          <w:p>
            <w:pPr>
              <w:pStyle w:val="Compact"/>
              <w:jc w:val="right"/>
            </w:pPr>
            <w:r>
              <w:t xml:space="preserve">(b) ke x1.10 pass change (points)</w:t>
            </w:r>
          </w:p>
        </w:tc>
        <w:tc>
          <w:tcPr/>
          <w:p>
            <w:pPr>
              <w:pStyle w:val="Compact"/>
              <w:jc w:val="right"/>
            </w:pPr>
            <w:r>
              <w:t xml:space="preserve">(c) reliability change, set (ii) (points)</w:t>
            </w:r>
          </w:p>
        </w:tc>
        <w:tc>
          <w:tcPr/>
          <w:p>
            <w:pPr>
              <w:pStyle w:val="Compact"/>
              <w:jc w:val="right"/>
            </w:pPr>
            <w:r>
              <w:t xml:space="preserve">(d) share with extrapolation above 20%, ratio to planned</w:t>
            </w:r>
          </w:p>
        </w:tc>
        <w:tc>
          <w:tcPr/>
          <w:p>
            <w:pPr>
              <w:pStyle w:val="Compact"/>
              <w:jc w:val="right"/>
            </w:pPr>
            <w:r>
              <w:t xml:space="preserve">Recommend</w:t>
            </w:r>
          </w:p>
        </w:tc>
      </w:tr>
      <w:tr>
        <w:tc>
          <w:tcPr/>
          <w:p>
            <w:pPr>
              <w:pStyle w:val="Compact"/>
              <w:jc w:val="left"/>
            </w:pPr>
            <w:r>
              <w:t xml:space="preserve">Primary model</w:t>
            </w:r>
          </w:p>
        </w:tc>
        <w:tc>
          <w:tcPr/>
          <w:p>
            <w:pPr>
              <w:pStyle w:val="Compact"/>
              <w:jc w:val="left"/>
            </w:pPr>
            <w:r>
              <w:t xml:space="preserve">Bminus</w:t>
            </w:r>
          </w:p>
        </w:tc>
        <w:tc>
          <w:tcPr/>
          <w:p>
            <w:pPr>
              <w:pStyle w:val="Compact"/>
              <w:jc w:val="right"/>
            </w:pPr>
            <w:r>
              <w:t xml:space="preserve">-260</w:t>
            </w:r>
          </w:p>
        </w:tc>
        <w:tc>
          <w:tcPr/>
          <w:p>
            <w:pPr>
              <w:pStyle w:val="Compact"/>
              <w:jc w:val="right"/>
            </w:pPr>
            <w:r>
              <w:t xml:space="preserve">0.69</w:t>
            </w:r>
          </w:p>
        </w:tc>
        <w:tc>
          <w:tcPr/>
          <w:p>
            <w:pPr>
              <w:pStyle w:val="Compact"/>
              <w:jc w:val="right"/>
            </w:pPr>
            <w:r>
              <w:t xml:space="preserve">0.2</w:t>
            </w:r>
          </w:p>
        </w:tc>
        <w:tc>
          <w:tcPr/>
          <w:p>
            <w:pPr>
              <w:pStyle w:val="Compact"/>
              <w:jc w:val="right"/>
            </w:pPr>
            <w:r>
              <w:t xml:space="preserve">-1.82</w:t>
            </w:r>
          </w:p>
        </w:tc>
        <w:tc>
          <w:tcPr/>
          <w:p>
            <w:pPr>
              <w:pStyle w:val="Compact"/>
              <w:jc w:val="right"/>
            </w:pPr>
            <w:r>
              <w:t xml:space="preserve">1.29</w:t>
            </w:r>
          </w:p>
        </w:tc>
        <w:tc>
          <w:tcPr/>
          <w:p>
            <w:pPr>
              <w:pStyle w:val="Compact"/>
              <w:jc w:val="right"/>
            </w:pPr>
            <w:r>
              <w:t xml:space="preserve">no</w:t>
            </w:r>
          </w:p>
        </w:tc>
      </w:tr>
      <w:tr>
        <w:tc>
          <w:tcPr/>
          <w:p>
            <w:pPr>
              <w:pStyle w:val="Compact"/>
              <w:jc w:val="left"/>
            </w:pPr>
            <w:r>
              <w:t xml:space="preserve">Primary model</w:t>
            </w:r>
          </w:p>
        </w:tc>
        <w:tc>
          <w:tcPr/>
          <w:p>
            <w:pPr>
              <w:pStyle w:val="Compact"/>
              <w:jc w:val="left"/>
            </w:pPr>
            <w:r>
              <w:t xml:space="preserve">D1</w:t>
            </w:r>
          </w:p>
        </w:tc>
        <w:tc>
          <w:tcPr/>
          <w:p>
            <w:pPr>
              <w:pStyle w:val="Compact"/>
              <w:jc w:val="right"/>
            </w:pPr>
            <w:r>
              <w:t xml:space="preserve">520</w:t>
            </w:r>
          </w:p>
        </w:tc>
        <w:tc>
          <w:tcPr/>
          <w:p>
            <w:pPr>
              <w:pStyle w:val="Compact"/>
              <w:jc w:val="right"/>
            </w:pPr>
            <w:r>
              <w:t xml:space="preserve">-0.39</w:t>
            </w:r>
          </w:p>
        </w:tc>
        <w:tc>
          <w:tcPr/>
          <w:p>
            <w:pPr>
              <w:pStyle w:val="Compact"/>
              <w:jc w:val="right"/>
            </w:pPr>
            <w:r>
              <w:t xml:space="preserve">-0.4</w:t>
            </w:r>
          </w:p>
        </w:tc>
        <w:tc>
          <w:tcPr/>
          <w:p>
            <w:pPr>
              <w:pStyle w:val="Compact"/>
              <w:jc w:val="right"/>
            </w:pPr>
            <w:r>
              <w:t xml:space="preserve">-0.60</w:t>
            </w:r>
          </w:p>
        </w:tc>
        <w:tc>
          <w:tcPr/>
          <w:p>
            <w:pPr>
              <w:pStyle w:val="Compact"/>
              <w:jc w:val="right"/>
            </w:pPr>
            <w:r>
              <w:t xml:space="preserve">0.92</w:t>
            </w:r>
          </w:p>
        </w:tc>
        <w:tc>
          <w:tcPr/>
          <w:p>
            <w:pPr>
              <w:pStyle w:val="Compact"/>
              <w:jc w:val="right"/>
            </w:pPr>
            <w:r>
              <w:t xml:space="preserve">no</w:t>
            </w:r>
          </w:p>
        </w:tc>
      </w:tr>
      <w:tr>
        <w:tc>
          <w:tcPr/>
          <w:p>
            <w:pPr>
              <w:pStyle w:val="Compact"/>
              <w:jc w:val="left"/>
            </w:pPr>
            <w:r>
              <w:t xml:space="preserve">Primary model</w:t>
            </w:r>
          </w:p>
        </w:tc>
        <w:tc>
          <w:tcPr/>
          <w:p>
            <w:pPr>
              <w:pStyle w:val="Compact"/>
              <w:jc w:val="left"/>
            </w:pPr>
            <w:r>
              <w:t xml:space="preserve">D2</w:t>
            </w:r>
          </w:p>
        </w:tc>
        <w:tc>
          <w:tcPr/>
          <w:p>
            <w:pPr>
              <w:pStyle w:val="Compact"/>
              <w:jc w:val="right"/>
            </w:pPr>
            <w:r>
              <w:t xml:space="preserve">780</w:t>
            </w:r>
          </w:p>
        </w:tc>
        <w:tc>
          <w:tcPr/>
          <w:p>
            <w:pPr>
              <w:pStyle w:val="Compact"/>
              <w:jc w:val="right"/>
            </w:pPr>
            <w:r>
              <w:t xml:space="preserve">-0.47</w:t>
            </w:r>
          </w:p>
        </w:tc>
        <w:tc>
          <w:tcPr/>
          <w:p>
            <w:pPr>
              <w:pStyle w:val="Compact"/>
              <w:jc w:val="right"/>
            </w:pPr>
            <w:r>
              <w:t xml:space="preserve">-0.4</w:t>
            </w:r>
          </w:p>
        </w:tc>
        <w:tc>
          <w:tcPr/>
          <w:p>
            <w:pPr>
              <w:pStyle w:val="Compact"/>
              <w:jc w:val="right"/>
            </w:pPr>
            <w:r>
              <w:t xml:space="preserve">-0.27</w:t>
            </w:r>
          </w:p>
        </w:tc>
        <w:tc>
          <w:tcPr/>
          <w:p>
            <w:pPr>
              <w:pStyle w:val="Compact"/>
              <w:jc w:val="right"/>
            </w:pPr>
            <w:r>
              <w:t xml:space="preserve">0.93</w:t>
            </w:r>
          </w:p>
        </w:tc>
        <w:tc>
          <w:tcPr/>
          <w:p>
            <w:pPr>
              <w:pStyle w:val="Compact"/>
              <w:jc w:val="right"/>
            </w:pPr>
            <w:r>
              <w:t xml:space="preserve">no</w:t>
            </w:r>
          </w:p>
        </w:tc>
      </w:tr>
      <w:tr>
        <w:tc>
          <w:tcPr/>
          <w:p>
            <w:pPr>
              <w:pStyle w:val="Compact"/>
              <w:jc w:val="left"/>
            </w:pPr>
            <w:r>
              <w:t xml:space="preserve">Primary model</w:t>
            </w:r>
          </w:p>
        </w:tc>
        <w:tc>
          <w:tcPr/>
          <w:p>
            <w:pPr>
              <w:pStyle w:val="Compact"/>
              <w:jc w:val="left"/>
            </w:pPr>
            <w:r>
              <w:t xml:space="preserve">D3</w:t>
            </w:r>
          </w:p>
        </w:tc>
        <w:tc>
          <w:tcPr/>
          <w:p>
            <w:pPr>
              <w:pStyle w:val="Compact"/>
              <w:jc w:val="right"/>
            </w:pPr>
            <w:r>
              <w:t xml:space="preserve">1,040</w:t>
            </w:r>
          </w:p>
        </w:tc>
        <w:tc>
          <w:tcPr/>
          <w:p>
            <w:pPr>
              <w:pStyle w:val="Compact"/>
              <w:jc w:val="right"/>
            </w:pPr>
            <w:r>
              <w:t xml:space="preserve">-0.13</w:t>
            </w:r>
          </w:p>
        </w:tc>
        <w:tc>
          <w:tcPr/>
          <w:p>
            <w:pPr>
              <w:pStyle w:val="Compact"/>
              <w:jc w:val="right"/>
            </w:pPr>
            <w:r>
              <w:t xml:space="preserve">-0.2</w:t>
            </w:r>
          </w:p>
        </w:tc>
        <w:tc>
          <w:tcPr/>
          <w:p>
            <w:pPr>
              <w:pStyle w:val="Compact"/>
              <w:jc w:val="right"/>
            </w:pPr>
            <w:r>
              <w:t xml:space="preserve">1.69</w:t>
            </w:r>
          </w:p>
        </w:tc>
        <w:tc>
          <w:tcPr/>
          <w:p>
            <w:pPr>
              <w:pStyle w:val="Compact"/>
              <w:jc w:val="right"/>
            </w:pPr>
            <w:r>
              <w:t xml:space="preserve">0.60</w:t>
            </w:r>
          </w:p>
        </w:tc>
        <w:tc>
          <w:tcPr/>
          <w:p>
            <w:pPr>
              <w:pStyle w:val="Compact"/>
              <w:jc w:val="right"/>
            </w:pPr>
            <w:r>
              <w:t xml:space="preserve">no</w:t>
            </w:r>
          </w:p>
        </w:tc>
      </w:tr>
      <w:tr>
        <w:tc>
          <w:tcPr/>
          <w:p>
            <w:pPr>
              <w:pStyle w:val="Compact"/>
              <w:jc w:val="left"/>
            </w:pPr>
            <w:r>
              <w:t xml:space="preserve">Primary model</w:t>
            </w:r>
          </w:p>
        </w:tc>
        <w:tc>
          <w:tcPr/>
          <w:p>
            <w:pPr>
              <w:pStyle w:val="Compact"/>
              <w:jc w:val="left"/>
            </w:pPr>
            <w:r>
              <w:t xml:space="preserve">D4</w:t>
            </w:r>
          </w:p>
        </w:tc>
        <w:tc>
          <w:tcPr/>
          <w:p>
            <w:pPr>
              <w:pStyle w:val="Compact"/>
              <w:jc w:val="right"/>
            </w:pPr>
            <w:r>
              <w:t xml:space="preserve">520</w:t>
            </w:r>
          </w:p>
        </w:tc>
        <w:tc>
          <w:tcPr/>
          <w:p>
            <w:pPr>
              <w:pStyle w:val="Compact"/>
              <w:jc w:val="right"/>
            </w:pPr>
            <w:r>
              <w:t xml:space="preserve">-0.40</w:t>
            </w:r>
          </w:p>
        </w:tc>
        <w:tc>
          <w:tcPr/>
          <w:p>
            <w:pPr>
              <w:pStyle w:val="Compact"/>
              <w:jc w:val="right"/>
            </w:pPr>
            <w:r>
              <w:t xml:space="preserve">0.0</w:t>
            </w:r>
          </w:p>
        </w:tc>
        <w:tc>
          <w:tcPr/>
          <w:p>
            <w:pPr>
              <w:pStyle w:val="Compact"/>
              <w:jc w:val="right"/>
            </w:pPr>
            <w:r>
              <w:t xml:space="preserve">-0.83</w:t>
            </w:r>
          </w:p>
        </w:tc>
        <w:tc>
          <w:tcPr/>
          <w:p>
            <w:pPr>
              <w:pStyle w:val="Compact"/>
              <w:jc w:val="right"/>
            </w:pPr>
            <w:r>
              <w:t xml:space="preserve">0.93</w:t>
            </w:r>
          </w:p>
        </w:tc>
        <w:tc>
          <w:tcPr/>
          <w:p>
            <w:pPr>
              <w:pStyle w:val="Compact"/>
              <w:jc w:val="right"/>
            </w:pPr>
            <w:r>
              <w:t xml:space="preserve">no</w:t>
            </w:r>
          </w:p>
        </w:tc>
      </w:tr>
      <w:tr>
        <w:tc>
          <w:tcPr/>
          <w:p>
            <w:pPr>
              <w:pStyle w:val="Compact"/>
              <w:jc w:val="left"/>
            </w:pPr>
            <w:r>
              <w:t xml:space="preserve">2020 Model 1</w:t>
            </w:r>
          </w:p>
        </w:tc>
        <w:tc>
          <w:tcPr/>
          <w:p>
            <w:pPr>
              <w:pStyle w:val="Compact"/>
              <w:jc w:val="left"/>
            </w:pPr>
            <w:r>
              <w:t xml:space="preserve">Bminus</w:t>
            </w:r>
          </w:p>
        </w:tc>
        <w:tc>
          <w:tcPr/>
          <w:p>
            <w:pPr>
              <w:pStyle w:val="Compact"/>
              <w:jc w:val="right"/>
            </w:pPr>
            <w:r>
              <w:t xml:space="preserve">-260</w:t>
            </w:r>
          </w:p>
        </w:tc>
        <w:tc>
          <w:tcPr/>
          <w:p>
            <w:pPr>
              <w:pStyle w:val="Compact"/>
              <w:jc w:val="right"/>
            </w:pPr>
            <w:r>
              <w:t xml:space="preserve">0.87</w:t>
            </w:r>
          </w:p>
        </w:tc>
        <w:tc>
          <w:tcPr/>
          <w:p>
            <w:pPr>
              <w:pStyle w:val="Compact"/>
              <w:jc w:val="right"/>
            </w:pPr>
            <w:r>
              <w:t xml:space="preserve">0.4</w:t>
            </w:r>
          </w:p>
        </w:tc>
        <w:tc>
          <w:tcPr/>
          <w:p>
            <w:pPr>
              <w:pStyle w:val="Compact"/>
              <w:jc w:val="right"/>
            </w:pPr>
            <w:r>
              <w:t xml:space="preserve">-3.18</w:t>
            </w:r>
          </w:p>
        </w:tc>
        <w:tc>
          <w:tcPr/>
          <w:p>
            <w:pPr>
              <w:pStyle w:val="Compact"/>
              <w:jc w:val="right"/>
            </w:pPr>
            <w:r>
              <w:t xml:space="preserve">1.29</w:t>
            </w:r>
          </w:p>
        </w:tc>
        <w:tc>
          <w:tcPr/>
          <w:p>
            <w:pPr>
              <w:pStyle w:val="Compact"/>
              <w:jc w:val="right"/>
            </w:pPr>
            <w:r>
              <w:t xml:space="preserve">no</w:t>
            </w:r>
          </w:p>
        </w:tc>
      </w:tr>
      <w:tr>
        <w:tc>
          <w:tcPr/>
          <w:p>
            <w:pPr>
              <w:pStyle w:val="Compact"/>
              <w:jc w:val="left"/>
            </w:pPr>
            <w:r>
              <w:t xml:space="preserve">2020 Model 1</w:t>
            </w:r>
          </w:p>
        </w:tc>
        <w:tc>
          <w:tcPr/>
          <w:p>
            <w:pPr>
              <w:pStyle w:val="Compact"/>
              <w:jc w:val="left"/>
            </w:pPr>
            <w:r>
              <w:t xml:space="preserve">D1</w:t>
            </w:r>
          </w:p>
        </w:tc>
        <w:tc>
          <w:tcPr/>
          <w:p>
            <w:pPr>
              <w:pStyle w:val="Compact"/>
              <w:jc w:val="right"/>
            </w:pPr>
            <w:r>
              <w:t xml:space="preserve">520</w:t>
            </w:r>
          </w:p>
        </w:tc>
        <w:tc>
          <w:tcPr/>
          <w:p>
            <w:pPr>
              <w:pStyle w:val="Compact"/>
              <w:jc w:val="right"/>
            </w:pPr>
            <w:r>
              <w:t xml:space="preserve">-0.32</w:t>
            </w:r>
          </w:p>
        </w:tc>
        <w:tc>
          <w:tcPr/>
          <w:p>
            <w:pPr>
              <w:pStyle w:val="Compact"/>
              <w:jc w:val="right"/>
            </w:pPr>
            <w:r>
              <w:t xml:space="preserve">-0.4</w:t>
            </w:r>
          </w:p>
        </w:tc>
        <w:tc>
          <w:tcPr/>
          <w:p>
            <w:pPr>
              <w:pStyle w:val="Compact"/>
              <w:jc w:val="right"/>
            </w:pPr>
            <w:r>
              <w:t xml:space="preserve">-3.11</w:t>
            </w:r>
          </w:p>
        </w:tc>
        <w:tc>
          <w:tcPr/>
          <w:p>
            <w:pPr>
              <w:pStyle w:val="Compact"/>
              <w:jc w:val="right"/>
            </w:pPr>
            <w:r>
              <w:t xml:space="preserve">0.97</w:t>
            </w:r>
          </w:p>
        </w:tc>
        <w:tc>
          <w:tcPr/>
          <w:p>
            <w:pPr>
              <w:pStyle w:val="Compact"/>
              <w:jc w:val="right"/>
            </w:pPr>
            <w:r>
              <w:t xml:space="preserve">no</w:t>
            </w:r>
          </w:p>
        </w:tc>
      </w:tr>
      <w:tr>
        <w:tc>
          <w:tcPr/>
          <w:p>
            <w:pPr>
              <w:pStyle w:val="Compact"/>
              <w:jc w:val="left"/>
            </w:pPr>
            <w:r>
              <w:t xml:space="preserve">2020 Model 1</w:t>
            </w:r>
          </w:p>
        </w:tc>
        <w:tc>
          <w:tcPr/>
          <w:p>
            <w:pPr>
              <w:pStyle w:val="Compact"/>
              <w:jc w:val="left"/>
            </w:pPr>
            <w:r>
              <w:t xml:space="preserve">D2</w:t>
            </w:r>
          </w:p>
        </w:tc>
        <w:tc>
          <w:tcPr/>
          <w:p>
            <w:pPr>
              <w:pStyle w:val="Compact"/>
              <w:jc w:val="right"/>
            </w:pPr>
            <w:r>
              <w:t xml:space="preserve">780</w:t>
            </w:r>
          </w:p>
        </w:tc>
        <w:tc>
          <w:tcPr/>
          <w:p>
            <w:pPr>
              <w:pStyle w:val="Compact"/>
              <w:jc w:val="right"/>
            </w:pPr>
            <w:r>
              <w:t xml:space="preserve">-0.43</w:t>
            </w:r>
          </w:p>
        </w:tc>
        <w:tc>
          <w:tcPr/>
          <w:p>
            <w:pPr>
              <w:pStyle w:val="Compact"/>
              <w:jc w:val="right"/>
            </w:pPr>
            <w:r>
              <w:t xml:space="preserve">-0.4</w:t>
            </w:r>
          </w:p>
        </w:tc>
        <w:tc>
          <w:tcPr/>
          <w:p>
            <w:pPr>
              <w:pStyle w:val="Compact"/>
              <w:jc w:val="right"/>
            </w:pPr>
            <w:r>
              <w:t xml:space="preserve">-2.29</w:t>
            </w:r>
          </w:p>
        </w:tc>
        <w:tc>
          <w:tcPr/>
          <w:p>
            <w:pPr>
              <w:pStyle w:val="Compact"/>
              <w:jc w:val="right"/>
            </w:pPr>
            <w:r>
              <w:t xml:space="preserve">0.97</w:t>
            </w:r>
          </w:p>
        </w:tc>
        <w:tc>
          <w:tcPr/>
          <w:p>
            <w:pPr>
              <w:pStyle w:val="Compact"/>
              <w:jc w:val="right"/>
            </w:pPr>
            <w:r>
              <w:t xml:space="preserve">no</w:t>
            </w:r>
          </w:p>
        </w:tc>
      </w:tr>
      <w:tr>
        <w:tc>
          <w:tcPr/>
          <w:p>
            <w:pPr>
              <w:pStyle w:val="Compact"/>
              <w:jc w:val="left"/>
            </w:pPr>
            <w:r>
              <w:t xml:space="preserve">2020 Model 1</w:t>
            </w:r>
          </w:p>
        </w:tc>
        <w:tc>
          <w:tcPr/>
          <w:p>
            <w:pPr>
              <w:pStyle w:val="Compact"/>
              <w:jc w:val="left"/>
            </w:pPr>
            <w:r>
              <w:t xml:space="preserve">D3</w:t>
            </w:r>
          </w:p>
        </w:tc>
        <w:tc>
          <w:tcPr/>
          <w:p>
            <w:pPr>
              <w:pStyle w:val="Compact"/>
              <w:jc w:val="right"/>
            </w:pPr>
            <w:r>
              <w:t xml:space="preserve">1,040</w:t>
            </w:r>
          </w:p>
        </w:tc>
        <w:tc>
          <w:tcPr/>
          <w:p>
            <w:pPr>
              <w:pStyle w:val="Compact"/>
              <w:jc w:val="right"/>
            </w:pPr>
            <w:r>
              <w:t xml:space="preserve">0.06</w:t>
            </w:r>
          </w:p>
        </w:tc>
        <w:tc>
          <w:tcPr/>
          <w:p>
            <w:pPr>
              <w:pStyle w:val="Compact"/>
              <w:jc w:val="right"/>
            </w:pPr>
            <w:r>
              <w:t xml:space="preserve">0.0</w:t>
            </w:r>
          </w:p>
        </w:tc>
        <w:tc>
          <w:tcPr/>
          <w:p>
            <w:pPr>
              <w:pStyle w:val="Compact"/>
              <w:jc w:val="right"/>
            </w:pPr>
            <w:r>
              <w:t xml:space="preserve">-1.94</w:t>
            </w:r>
          </w:p>
        </w:tc>
        <w:tc>
          <w:tcPr/>
          <w:p>
            <w:pPr>
              <w:pStyle w:val="Compact"/>
              <w:jc w:val="right"/>
            </w:pPr>
            <w:r>
              <w:t xml:space="preserve">0.69</w:t>
            </w:r>
          </w:p>
        </w:tc>
        <w:tc>
          <w:tcPr/>
          <w:p>
            <w:pPr>
              <w:pStyle w:val="Compact"/>
              <w:jc w:val="right"/>
            </w:pPr>
            <w:r>
              <w:t xml:space="preserve">no</w:t>
            </w:r>
          </w:p>
        </w:tc>
      </w:tr>
      <w:tr>
        <w:tc>
          <w:tcPr/>
          <w:p>
            <w:pPr>
              <w:pStyle w:val="Compact"/>
              <w:jc w:val="left"/>
            </w:pPr>
            <w:r>
              <w:t xml:space="preserve">2020 Model 1</w:t>
            </w:r>
          </w:p>
        </w:tc>
        <w:tc>
          <w:tcPr/>
          <w:p>
            <w:pPr>
              <w:pStyle w:val="Compact"/>
              <w:jc w:val="left"/>
            </w:pPr>
            <w:r>
              <w:t xml:space="preserve">D4</w:t>
            </w:r>
          </w:p>
        </w:tc>
        <w:tc>
          <w:tcPr/>
          <w:p>
            <w:pPr>
              <w:pStyle w:val="Compact"/>
              <w:jc w:val="right"/>
            </w:pPr>
            <w:r>
              <w:t xml:space="preserve">520</w:t>
            </w:r>
          </w:p>
        </w:tc>
        <w:tc>
          <w:tcPr/>
          <w:p>
            <w:pPr>
              <w:pStyle w:val="Compact"/>
              <w:jc w:val="right"/>
            </w:pPr>
            <w:r>
              <w:t xml:space="preserve">-0.34</w:t>
            </w:r>
          </w:p>
        </w:tc>
        <w:tc>
          <w:tcPr/>
          <w:p>
            <w:pPr>
              <w:pStyle w:val="Compact"/>
              <w:jc w:val="right"/>
            </w:pPr>
            <w:r>
              <w:t xml:space="preserve">-0.4</w:t>
            </w:r>
          </w:p>
        </w:tc>
        <w:tc>
          <w:tcPr/>
          <w:p>
            <w:pPr>
              <w:pStyle w:val="Compact"/>
              <w:jc w:val="right"/>
            </w:pPr>
            <w:r>
              <w:t xml:space="preserve">-3.50</w:t>
            </w:r>
          </w:p>
        </w:tc>
        <w:tc>
          <w:tcPr/>
          <w:p>
            <w:pPr>
              <w:pStyle w:val="Compact"/>
              <w:jc w:val="right"/>
            </w:pPr>
            <w:r>
              <w:t xml:space="preserve">0.97</w:t>
            </w:r>
          </w:p>
        </w:tc>
        <w:tc>
          <w:tcPr/>
          <w:p>
            <w:pPr>
              <w:pStyle w:val="Compact"/>
              <w:jc w:val="right"/>
            </w:pPr>
            <w:r>
              <w:t xml:space="preserve">no</w:t>
            </w:r>
          </w:p>
        </w:tc>
      </w:tr>
    </w:tbl>
    <w:p>
      <w:pPr>
        <w:pStyle w:val="BodyText"/>
      </w:pPr>
      <w:r>
        <w:t xml:space="preserve">The results below cover both models and all six sensitivity variants: Vmax x0.8 and x1.25 in both arms, variances x1.5, proportional residual error of 12%, an alternative weight distribution, and an ADA-like subgroup.</w:t>
      </w:r>
    </w:p>
    <w:p>
      <w:pPr>
        <w:pStyle w:val="BodyText"/>
      </w:pPr>
      <w:r>
        <w:rPr>
          <w:bCs/>
          <w:b/>
        </w:rPr>
        <w:t xml:space="preserve">Decision criteria:</w:t>
      </w:r>
    </w:p>
    <w:p>
      <w:pPr>
        <w:numPr>
          <w:ilvl w:val="0"/>
          <w:numId w:val="1043"/>
        </w:numPr>
        <w:pStyle w:val="Compact"/>
      </w:pPr>
      <w:r>
        <w:t xml:space="preserve">At 20,000 subjects, the rule recommends added samples in 1 schedule and variant combination (Vmax x0.8 (both arms), schedule D3), on criterion (d) alone. Re-evaluated in 200,000 subjects, criterion (d) was not met.</w:t>
      </w:r>
    </w:p>
    <w:p>
      <w:pPr>
        <w:numPr>
          <w:ilvl w:val="0"/>
          <w:numId w:val="1043"/>
        </w:numPr>
        <w:pStyle w:val="Compact"/>
      </w:pPr>
      <w:r>
        <w:t xml:space="preserve">Criterion (c) is not met under either criteria set. For the D3 schedule, with four added samples, reliability changes by 2.76 points under set (i) [1.69 under set (ii)] in the 2016 model, and 1.24 points under set (i) [-1.94 under set (ii)] in the 2020 Model 1, against the 5-point threshold.</w:t>
      </w:r>
    </w:p>
    <w:p>
      <w:pPr>
        <w:pStyle w:val="FirstParagraph"/>
      </w:pPr>
      <w:r>
        <w:rPr>
          <w:bCs/>
          <w:b/>
        </w:rPr>
        <w:t xml:space="preserve">Effect of added samples:</w:t>
      </w:r>
    </w:p>
    <w:p>
      <w:pPr>
        <w:numPr>
          <w:ilvl w:val="0"/>
          <w:numId w:val="1044"/>
        </w:numPr>
        <w:pStyle w:val="Compact"/>
      </w:pPr>
      <w:r>
        <w:t xml:space="preserve">The AUC0-last CI does not become meaningfully narrower (largest decrease 0.37% against the 2% criterion; most added-sampling schedules widen it slightly). Adding tail samples lengthens tlast and adds variability from the tail area.</w:t>
      </w:r>
    </w:p>
    <w:p>
      <w:pPr>
        <w:numPr>
          <w:ilvl w:val="0"/>
          <w:numId w:val="1044"/>
        </w:numPr>
        <w:pStyle w:val="Compact"/>
      </w:pPr>
      <w:r>
        <w:t xml:space="preserve">The planned schedule is retained.</w:t>
      </w:r>
    </w:p>
    <w:p>
      <w:pPr>
        <w:numPr>
          <w:ilvl w:val="0"/>
          <w:numId w:val="1044"/>
        </w:numPr>
        <w:pStyle w:val="Compact"/>
      </w:pPr>
      <w:r>
        <w:t xml:space="preserve">Removing Day 50 is not recommended. It would narrow the CI by only 0.24 to 1.02% (below the 2% threshold of criterion (a)), while the share of subjects with NCA extrapolation above 20% would be 1.04 to 2.45 times that of the planned schedule, weakening AUC0-inf as a secondary endpoint.</w:t>
      </w:r>
    </w:p>
    <w:bookmarkEnd w:id="83"/>
    <w:bookmarkStart w:id="84" w:name="body-weight-outside-the-trial-population"/>
    <w:p>
      <w:pPr>
        <w:pStyle w:val="Heading2"/>
      </w:pPr>
      <w:r>
        <w:t xml:space="preserve">5.8 Body weight outside the trial population</w:t>
      </w:r>
    </w:p>
    <w:p>
      <w:pPr>
        <w:pStyle w:val="FirstParagraph"/>
      </w:pPr>
      <w:r>
        <w:t xml:space="preserve">The endpoint proposal rests on the trial population: healthy adults of 60 to 90 kg, randomized within two body-weight strata (Sections 5.2 to 5.4). Results for body weights outside this range (uniform bands from 40 to 150 kg, a population with a mean of 100 kg, and a body-weight distribution of adults with atopic dermatitis) are robustness checks and are not part of the evidence. They are reported in Appendix I.</w:t>
      </w:r>
    </w:p>
    <w:bookmarkEnd w:id="84"/>
    <w:bookmarkStart w:id="88" w:name="X85b82e22a52cf45402e178d656f944321ce4ef7"/>
    <w:p>
      <w:pPr>
        <w:pStyle w:val="Heading2"/>
      </w:pPr>
      <w:r>
        <w:t xml:space="preserve">5.9 Analysis model: pooled t-test versus stratified ANOVA</w:t>
      </w:r>
    </w:p>
    <w:p>
      <w:pPr>
        <w:pStyle w:val="TableCaption"/>
      </w:pPr>
      <w:r>
        <w:t xml:space="preserve">Table 5-15. Boundary type I error in the 16 boundary scenarios by analysis model (Wilson 95% intervals; classification versus 5%).</w:t>
      </w:r>
    </w:p>
    <w:tbl>
      <w:tblPr>
        <w:tblStyle w:val="Table"/>
        <w:tblW w:type="pct" w:w="5000"/>
        <w:tblLook w:firstRow="1" w:lastRow="0" w:firstColumn="0" w:lastColumn="0" w:noHBand="0" w:noVBand="0" w:val="0020"/>
        <w:jc w:val="start"/>
        <w:tblCaption w:val="Table 5-15. Boundary type I error in the 16 boundary scenarios by analysis model (Wilson 95% intervals; classification versus 5%)."/>
      </w:tblPr>
      <w:tblGrid>
        <w:gridCol w:w="2132"/>
        <w:gridCol w:w="355"/>
        <w:gridCol w:w="761"/>
        <w:gridCol w:w="1827"/>
        <w:gridCol w:w="913"/>
        <w:gridCol w:w="1929"/>
      </w:tblGrid>
      <w:tr>
        <w:trPr>
          <w:tblHeader w:val="true"/>
        </w:trPr>
        <w:tc>
          <w:tcPr/>
          <w:p>
            <w:pPr>
              <w:pStyle w:val="Compact"/>
              <w:jc w:val="left"/>
            </w:pPr>
            <w:r>
              <w:t xml:space="preserve">Configuration</w:t>
            </w:r>
          </w:p>
        </w:tc>
        <w:tc>
          <w:tcPr/>
          <w:p>
            <w:pPr>
              <w:pStyle w:val="Compact"/>
              <w:jc w:val="left"/>
            </w:pPr>
            <w:r>
              <w:t xml:space="preserve">Model</w:t>
            </w:r>
          </w:p>
        </w:tc>
        <w:tc>
          <w:tcPr/>
          <w:p>
            <w:pPr>
              <w:pStyle w:val="Compact"/>
              <w:jc w:val="left"/>
            </w:pPr>
            <w:r>
              <w:t xml:space="preserve">Range (%)</w:t>
            </w:r>
          </w:p>
        </w:tc>
        <w:tc>
          <w:tcPr/>
          <w:p>
            <w:pPr>
              <w:pStyle w:val="Compact"/>
              <w:jc w:val="left"/>
            </w:pPr>
            <w:r>
              <w:t xml:space="preserve">Conservative / nominal / exceeding</w:t>
            </w:r>
          </w:p>
        </w:tc>
        <w:tc>
          <w:tcPr/>
          <w:p>
            <w:pPr>
              <w:pStyle w:val="Compact"/>
              <w:jc w:val="left"/>
            </w:pPr>
            <w:r>
              <w:t xml:space="preserve">Above 5% (point)</w:t>
            </w:r>
          </w:p>
        </w:tc>
        <w:tc>
          <w:tcPr/>
          <w:p>
            <w:pPr>
              <w:pStyle w:val="Compact"/>
              <w:jc w:val="left"/>
            </w:pPr>
            <w:r>
              <w:t xml:space="preserve">Largest (95% CI)</w:t>
            </w:r>
          </w:p>
        </w:tc>
      </w:tr>
      <w:tr>
        <w:tc>
          <w:tcPr/>
          <w:p>
            <w:pPr>
              <w:pStyle w:val="Compact"/>
              <w:jc w:val="left"/>
            </w:pPr>
            <w:r>
              <w:t xml:space="preserve">AUC0-last + Cmax (P2, proposed)</w:t>
            </w:r>
          </w:p>
        </w:tc>
        <w:tc>
          <w:tcPr/>
          <w:p>
            <w:pPr>
              <w:pStyle w:val="Compact"/>
              <w:jc w:val="left"/>
            </w:pPr>
            <w:r>
              <w:t xml:space="preserve">M0</w:t>
            </w:r>
          </w:p>
        </w:tc>
        <w:tc>
          <w:tcPr/>
          <w:p>
            <w:pPr>
              <w:pStyle w:val="Compact"/>
              <w:jc w:val="left"/>
            </w:pPr>
            <w:r>
              <w:t xml:space="preserve">0.00 to 5.18</w:t>
            </w:r>
          </w:p>
        </w:tc>
        <w:tc>
          <w:tcPr/>
          <w:p>
            <w:pPr>
              <w:pStyle w:val="Compact"/>
              <w:jc w:val="left"/>
            </w:pPr>
            <w:r>
              <w:t xml:space="preserve">15 / 1 / 0</w:t>
            </w:r>
          </w:p>
        </w:tc>
        <w:tc>
          <w:tcPr/>
          <w:p>
            <w:pPr>
              <w:pStyle w:val="Compact"/>
              <w:jc w:val="left"/>
            </w:pPr>
            <w:r>
              <w:t xml:space="preserve">1</w:t>
            </w:r>
          </w:p>
        </w:tc>
        <w:tc>
          <w:tcPr/>
          <w:p>
            <w:pPr>
              <w:pStyle w:val="Compact"/>
              <w:jc w:val="left"/>
            </w:pPr>
            <w:r>
              <w:t xml:space="preserve">5.18 [4.88, 5.50], 2020 V2 up</w:t>
            </w:r>
          </w:p>
        </w:tc>
      </w:tr>
      <w:tr>
        <w:tc>
          <w:tcPr/>
          <w:p>
            <w:pPr>
              <w:pStyle w:val="Compact"/>
              <w:jc w:val="left"/>
            </w:pPr>
            <w:r>
              <w:t xml:space="preserve">AUC0-last + Cmax (P2, proposed)</w:t>
            </w:r>
          </w:p>
        </w:tc>
        <w:tc>
          <w:tcPr/>
          <w:p>
            <w:pPr>
              <w:pStyle w:val="Compact"/>
              <w:jc w:val="left"/>
            </w:pPr>
            <w:r>
              <w:t xml:space="preserve">M1</w:t>
            </w:r>
          </w:p>
        </w:tc>
        <w:tc>
          <w:tcPr/>
          <w:p>
            <w:pPr>
              <w:pStyle w:val="Compact"/>
              <w:jc w:val="left"/>
            </w:pPr>
            <w:r>
              <w:t xml:space="preserve">0.00 to 5.63</w:t>
            </w:r>
          </w:p>
        </w:tc>
        <w:tc>
          <w:tcPr/>
          <w:p>
            <w:pPr>
              <w:pStyle w:val="Compact"/>
              <w:jc w:val="left"/>
            </w:pPr>
            <w:r>
              <w:t xml:space="preserve">15 / 0 / 1</w:t>
            </w:r>
          </w:p>
        </w:tc>
        <w:tc>
          <w:tcPr/>
          <w:p>
            <w:pPr>
              <w:pStyle w:val="Compact"/>
              <w:jc w:val="left"/>
            </w:pPr>
            <w:r>
              <w:t xml:space="preserve">1</w:t>
            </w:r>
          </w:p>
        </w:tc>
        <w:tc>
          <w:tcPr/>
          <w:p>
            <w:pPr>
              <w:pStyle w:val="Compact"/>
              <w:jc w:val="left"/>
            </w:pPr>
            <w:r>
              <w:t xml:space="preserve">5.63 [5.31, 5.95], 2020 V2 up</w:t>
            </w:r>
          </w:p>
        </w:tc>
      </w:tr>
      <w:tr>
        <w:tc>
          <w:tcPr/>
          <w:p>
            <w:pPr>
              <w:pStyle w:val="Compact"/>
              <w:jc w:val="left"/>
            </w:pPr>
            <w:r>
              <w:t xml:space="preserve">AUC0-last + Cmax (P2, proposed)</w:t>
            </w:r>
          </w:p>
        </w:tc>
        <w:tc>
          <w:tcPr/>
          <w:p>
            <w:pPr>
              <w:pStyle w:val="Compact"/>
              <w:jc w:val="left"/>
            </w:pPr>
            <w:r>
              <w:t xml:space="preserve">M2</w:t>
            </w:r>
          </w:p>
        </w:tc>
        <w:tc>
          <w:tcPr/>
          <w:p>
            <w:pPr>
              <w:pStyle w:val="Compact"/>
              <w:jc w:val="left"/>
            </w:pPr>
            <w:r>
              <w:t xml:space="preserve">0.00 to 5.75</w:t>
            </w:r>
          </w:p>
        </w:tc>
        <w:tc>
          <w:tcPr/>
          <w:p>
            <w:pPr>
              <w:pStyle w:val="Compact"/>
              <w:jc w:val="left"/>
            </w:pPr>
            <w:r>
              <w:t xml:space="preserve">15 / 0 / 1</w:t>
            </w:r>
          </w:p>
        </w:tc>
        <w:tc>
          <w:tcPr/>
          <w:p>
            <w:pPr>
              <w:pStyle w:val="Compact"/>
              <w:jc w:val="left"/>
            </w:pPr>
            <w:r>
              <w:t xml:space="preserve">1</w:t>
            </w:r>
          </w:p>
        </w:tc>
        <w:tc>
          <w:tcPr/>
          <w:p>
            <w:pPr>
              <w:pStyle w:val="Compact"/>
              <w:jc w:val="left"/>
            </w:pPr>
            <w:r>
              <w:t xml:space="preserve">5.75 [5.43, 6.08], 2020 V2 up</w:t>
            </w:r>
          </w:p>
        </w:tc>
      </w:tr>
      <w:tr>
        <w:tc>
          <w:tcPr/>
          <w:p>
            <w:pPr>
              <w:pStyle w:val="Compact"/>
              <w:jc w:val="left"/>
            </w:pPr>
            <w:r>
              <w:t xml:space="preserve">true AUC0-inf alone (unbiased reference)</w:t>
            </w:r>
          </w:p>
        </w:tc>
        <w:tc>
          <w:tcPr/>
          <w:p>
            <w:pPr>
              <w:pStyle w:val="Compact"/>
              <w:jc w:val="left"/>
            </w:pPr>
            <w:r>
              <w:t xml:space="preserve">M0</w:t>
            </w:r>
          </w:p>
        </w:tc>
        <w:tc>
          <w:tcPr/>
          <w:p>
            <w:pPr>
              <w:pStyle w:val="Compact"/>
              <w:jc w:val="left"/>
            </w:pPr>
            <w:r>
              <w:t xml:space="preserve">4.12 to 5.43</w:t>
            </w:r>
          </w:p>
        </w:tc>
        <w:tc>
          <w:tcPr/>
          <w:p>
            <w:pPr>
              <w:pStyle w:val="Compact"/>
              <w:jc w:val="left"/>
            </w:pPr>
            <w:r>
              <w:t xml:space="preserve">9 / 6 / 1</w:t>
            </w:r>
          </w:p>
        </w:tc>
        <w:tc>
          <w:tcPr/>
          <w:p>
            <w:pPr>
              <w:pStyle w:val="Compact"/>
              <w:jc w:val="left"/>
            </w:pPr>
            <w:r>
              <w:t xml:space="preserve">2</w:t>
            </w:r>
          </w:p>
        </w:tc>
        <w:tc>
          <w:tcPr/>
          <w:p>
            <w:pPr>
              <w:pStyle w:val="Compact"/>
              <w:jc w:val="left"/>
            </w:pPr>
            <w:r>
              <w:t xml:space="preserve">5.43 [5.00, 5.89], 2020 ka down</w:t>
            </w:r>
          </w:p>
        </w:tc>
      </w:tr>
      <w:tr>
        <w:tc>
          <w:tcPr/>
          <w:p>
            <w:pPr>
              <w:pStyle w:val="Compact"/>
              <w:jc w:val="left"/>
            </w:pPr>
            <w:r>
              <w:t xml:space="preserve">true AUC0-inf alone (unbiased reference)</w:t>
            </w:r>
          </w:p>
        </w:tc>
        <w:tc>
          <w:tcPr/>
          <w:p>
            <w:pPr>
              <w:pStyle w:val="Compact"/>
              <w:jc w:val="left"/>
            </w:pPr>
            <w:r>
              <w:t xml:space="preserve">M1</w:t>
            </w:r>
          </w:p>
        </w:tc>
        <w:tc>
          <w:tcPr/>
          <w:p>
            <w:pPr>
              <w:pStyle w:val="Compact"/>
              <w:jc w:val="left"/>
            </w:pPr>
            <w:r>
              <w:t xml:space="preserve">4.53 to 5.83</w:t>
            </w:r>
          </w:p>
        </w:tc>
        <w:tc>
          <w:tcPr/>
          <w:p>
            <w:pPr>
              <w:pStyle w:val="Compact"/>
              <w:jc w:val="left"/>
            </w:pPr>
            <w:r>
              <w:t xml:space="preserve">1 / 13 / 2</w:t>
            </w:r>
          </w:p>
        </w:tc>
        <w:tc>
          <w:tcPr/>
          <w:p>
            <w:pPr>
              <w:pStyle w:val="Compact"/>
              <w:jc w:val="left"/>
            </w:pPr>
            <w:r>
              <w:t xml:space="preserve">7</w:t>
            </w:r>
          </w:p>
        </w:tc>
        <w:tc>
          <w:tcPr/>
          <w:p>
            <w:pPr>
              <w:pStyle w:val="Compact"/>
              <w:jc w:val="left"/>
            </w:pPr>
            <w:r>
              <w:t xml:space="preserve">5.83 [5.39, 6.31], 2020 ka down</w:t>
            </w:r>
          </w:p>
        </w:tc>
      </w:tr>
      <w:tr>
        <w:tc>
          <w:tcPr/>
          <w:p>
            <w:pPr>
              <w:pStyle w:val="Compact"/>
              <w:jc w:val="left"/>
            </w:pPr>
            <w:r>
              <w:t xml:space="preserve">true AUC0-inf alone (unbiased reference)</w:t>
            </w:r>
          </w:p>
        </w:tc>
        <w:tc>
          <w:tcPr/>
          <w:p>
            <w:pPr>
              <w:pStyle w:val="Compact"/>
              <w:jc w:val="left"/>
            </w:pPr>
            <w:r>
              <w:t xml:space="preserve">M2</w:t>
            </w:r>
          </w:p>
        </w:tc>
        <w:tc>
          <w:tcPr/>
          <w:p>
            <w:pPr>
              <w:pStyle w:val="Compact"/>
              <w:jc w:val="left"/>
            </w:pPr>
            <w:r>
              <w:t xml:space="preserve">4.54 to 5.81</w:t>
            </w:r>
          </w:p>
        </w:tc>
        <w:tc>
          <w:tcPr/>
          <w:p>
            <w:pPr>
              <w:pStyle w:val="Compact"/>
              <w:jc w:val="left"/>
            </w:pPr>
            <w:r>
              <w:t xml:space="preserve">1 / 13 / 2</w:t>
            </w:r>
          </w:p>
        </w:tc>
        <w:tc>
          <w:tcPr/>
          <w:p>
            <w:pPr>
              <w:pStyle w:val="Compact"/>
              <w:jc w:val="left"/>
            </w:pPr>
            <w:r>
              <w:t xml:space="preserve">7</w:t>
            </w:r>
          </w:p>
        </w:tc>
        <w:tc>
          <w:tcPr/>
          <w:p>
            <w:pPr>
              <w:pStyle w:val="Compact"/>
              <w:jc w:val="left"/>
            </w:pPr>
            <w:r>
              <w:t xml:space="preserve">5.81 [5.37, 6.29], 2020 ka down</w:t>
            </w:r>
          </w:p>
        </w:tc>
      </w:tr>
      <w:tr>
        <w:tc>
          <w:tcPr/>
          <w:p>
            <w:pPr>
              <w:pStyle w:val="Compact"/>
              <w:jc w:val="left"/>
            </w:pPr>
            <w:r>
              <w:t xml:space="preserve">AUC0-last alone</w:t>
            </w:r>
          </w:p>
        </w:tc>
        <w:tc>
          <w:tcPr/>
          <w:p>
            <w:pPr>
              <w:pStyle w:val="Compact"/>
              <w:jc w:val="left"/>
            </w:pPr>
            <w:r>
              <w:t xml:space="preserve">M0</w:t>
            </w:r>
          </w:p>
        </w:tc>
        <w:tc>
          <w:tcPr/>
          <w:p>
            <w:pPr>
              <w:pStyle w:val="Compact"/>
              <w:jc w:val="left"/>
            </w:pPr>
            <w:r>
              <w:t xml:space="preserve">2.25 to 5.20</w:t>
            </w:r>
          </w:p>
        </w:tc>
        <w:tc>
          <w:tcPr/>
          <w:p>
            <w:pPr>
              <w:pStyle w:val="Compact"/>
              <w:jc w:val="left"/>
            </w:pPr>
            <w:r>
              <w:t xml:space="preserve">13 / 3 / 0</w:t>
            </w:r>
          </w:p>
        </w:tc>
        <w:tc>
          <w:tcPr/>
          <w:p>
            <w:pPr>
              <w:pStyle w:val="Compact"/>
              <w:jc w:val="left"/>
            </w:pPr>
            <w:r>
              <w:t xml:space="preserve">2</w:t>
            </w:r>
          </w:p>
        </w:tc>
        <w:tc>
          <w:tcPr/>
          <w:p>
            <w:pPr>
              <w:pStyle w:val="Compact"/>
              <w:jc w:val="left"/>
            </w:pPr>
            <w:r>
              <w:t xml:space="preserve">5.20 [4.90, 5.51], 2020 V2 up</w:t>
            </w:r>
          </w:p>
        </w:tc>
      </w:tr>
      <w:tr>
        <w:tc>
          <w:tcPr/>
          <w:p>
            <w:pPr>
              <w:pStyle w:val="Compact"/>
              <w:jc w:val="left"/>
            </w:pPr>
            <w:r>
              <w:t xml:space="preserve">AUC0-last alone</w:t>
            </w:r>
          </w:p>
        </w:tc>
        <w:tc>
          <w:tcPr/>
          <w:p>
            <w:pPr>
              <w:pStyle w:val="Compact"/>
              <w:jc w:val="left"/>
            </w:pPr>
            <w:r>
              <w:t xml:space="preserve">M1</w:t>
            </w:r>
          </w:p>
        </w:tc>
        <w:tc>
          <w:tcPr/>
          <w:p>
            <w:pPr>
              <w:pStyle w:val="Compact"/>
              <w:jc w:val="left"/>
            </w:pPr>
            <w:r>
              <w:t xml:space="preserve">2.54 to 5.65</w:t>
            </w:r>
          </w:p>
        </w:tc>
        <w:tc>
          <w:tcPr/>
          <w:p>
            <w:pPr>
              <w:pStyle w:val="Compact"/>
              <w:jc w:val="left"/>
            </w:pPr>
            <w:r>
              <w:t xml:space="preserve">13 / 1 / 2</w:t>
            </w:r>
          </w:p>
        </w:tc>
        <w:tc>
          <w:tcPr/>
          <w:p>
            <w:pPr>
              <w:pStyle w:val="Compact"/>
              <w:jc w:val="left"/>
            </w:pPr>
            <w:r>
              <w:t xml:space="preserve">3</w:t>
            </w:r>
          </w:p>
        </w:tc>
        <w:tc>
          <w:tcPr/>
          <w:p>
            <w:pPr>
              <w:pStyle w:val="Compact"/>
              <w:jc w:val="left"/>
            </w:pPr>
            <w:r>
              <w:t xml:space="preserve">5.65 [5.33, 5.97], 2020 V2 up</w:t>
            </w:r>
          </w:p>
        </w:tc>
      </w:tr>
      <w:tr>
        <w:tc>
          <w:tcPr/>
          <w:p>
            <w:pPr>
              <w:pStyle w:val="Compact"/>
              <w:jc w:val="left"/>
            </w:pPr>
            <w:r>
              <w:t xml:space="preserve">AUC0-last alone</w:t>
            </w:r>
          </w:p>
        </w:tc>
        <w:tc>
          <w:tcPr/>
          <w:p>
            <w:pPr>
              <w:pStyle w:val="Compact"/>
              <w:jc w:val="left"/>
            </w:pPr>
            <w:r>
              <w:t xml:space="preserve">M2</w:t>
            </w:r>
          </w:p>
        </w:tc>
        <w:tc>
          <w:tcPr/>
          <w:p>
            <w:pPr>
              <w:pStyle w:val="Compact"/>
              <w:jc w:val="left"/>
            </w:pPr>
            <w:r>
              <w:t xml:space="preserve">2.61 to 5.77</w:t>
            </w:r>
          </w:p>
        </w:tc>
        <w:tc>
          <w:tcPr/>
          <w:p>
            <w:pPr>
              <w:pStyle w:val="Compact"/>
              <w:jc w:val="left"/>
            </w:pPr>
            <w:r>
              <w:t xml:space="preserve">13 / 1 / 2</w:t>
            </w:r>
          </w:p>
        </w:tc>
        <w:tc>
          <w:tcPr/>
          <w:p>
            <w:pPr>
              <w:pStyle w:val="Compact"/>
              <w:jc w:val="left"/>
            </w:pPr>
            <w:r>
              <w:t xml:space="preserve">3</w:t>
            </w:r>
          </w:p>
        </w:tc>
        <w:tc>
          <w:tcPr/>
          <w:p>
            <w:pPr>
              <w:pStyle w:val="Compact"/>
              <w:jc w:val="left"/>
            </w:pPr>
            <w:r>
              <w:t xml:space="preserve">5.77 [5.46, 6.10], 2020 V2 up</w:t>
            </w:r>
          </w:p>
        </w:tc>
      </w:tr>
      <w:tr>
        <w:tc>
          <w:tcPr/>
          <w:p>
            <w:pPr>
              <w:pStyle w:val="Compact"/>
              <w:jc w:val="left"/>
            </w:pPr>
            <w:r>
              <w:t xml:space="preserve">AUC0-inf rule A (ii) + Cmax</w:t>
            </w:r>
          </w:p>
        </w:tc>
        <w:tc>
          <w:tcPr/>
          <w:p>
            <w:pPr>
              <w:pStyle w:val="Compact"/>
              <w:jc w:val="left"/>
            </w:pPr>
            <w:r>
              <w:t xml:space="preserve">M0</w:t>
            </w:r>
          </w:p>
        </w:tc>
        <w:tc>
          <w:tcPr/>
          <w:p>
            <w:pPr>
              <w:pStyle w:val="Compact"/>
              <w:jc w:val="left"/>
            </w:pPr>
            <w:r>
              <w:t xml:space="preserve">0.00 to 27.60</w:t>
            </w:r>
          </w:p>
        </w:tc>
        <w:tc>
          <w:tcPr/>
          <w:p>
            <w:pPr>
              <w:pStyle w:val="Compact"/>
              <w:jc w:val="left"/>
            </w:pPr>
            <w:r>
              <w:t xml:space="preserve">4 / 0 / 12</w:t>
            </w:r>
          </w:p>
        </w:tc>
        <w:tc>
          <w:tcPr/>
          <w:p>
            <w:pPr>
              <w:pStyle w:val="Compact"/>
              <w:jc w:val="left"/>
            </w:pPr>
            <w:r>
              <w:t xml:space="preserve">12</w:t>
            </w:r>
          </w:p>
        </w:tc>
        <w:tc>
          <w:tcPr/>
          <w:p>
            <w:pPr>
              <w:pStyle w:val="Compact"/>
              <w:jc w:val="left"/>
            </w:pPr>
            <w:r>
              <w:t xml:space="preserve">27.60 [26.73, 28.48], 2020 Vmax down</w:t>
            </w:r>
          </w:p>
        </w:tc>
      </w:tr>
      <w:tr>
        <w:tc>
          <w:tcPr/>
          <w:p>
            <w:pPr>
              <w:pStyle w:val="Compact"/>
              <w:jc w:val="left"/>
            </w:pPr>
            <w:r>
              <w:t xml:space="preserve">AUC0-inf rule A (ii) + Cmax</w:t>
            </w:r>
          </w:p>
        </w:tc>
        <w:tc>
          <w:tcPr/>
          <w:p>
            <w:pPr>
              <w:pStyle w:val="Compact"/>
              <w:jc w:val="left"/>
            </w:pPr>
            <w:r>
              <w:t xml:space="preserve">M1</w:t>
            </w:r>
          </w:p>
        </w:tc>
        <w:tc>
          <w:tcPr/>
          <w:p>
            <w:pPr>
              <w:pStyle w:val="Compact"/>
              <w:jc w:val="left"/>
            </w:pPr>
            <w:r>
              <w:t xml:space="preserve">0.00 to 27.44</w:t>
            </w:r>
          </w:p>
        </w:tc>
        <w:tc>
          <w:tcPr/>
          <w:p>
            <w:pPr>
              <w:pStyle w:val="Compact"/>
              <w:jc w:val="left"/>
            </w:pPr>
            <w:r>
              <w:t xml:space="preserve">4 / 0 / 12</w:t>
            </w:r>
          </w:p>
        </w:tc>
        <w:tc>
          <w:tcPr/>
          <w:p>
            <w:pPr>
              <w:pStyle w:val="Compact"/>
              <w:jc w:val="left"/>
            </w:pPr>
            <w:r>
              <w:t xml:space="preserve">12</w:t>
            </w:r>
          </w:p>
        </w:tc>
        <w:tc>
          <w:tcPr/>
          <w:p>
            <w:pPr>
              <w:pStyle w:val="Compact"/>
              <w:jc w:val="left"/>
            </w:pPr>
            <w:r>
              <w:t xml:space="preserve">27.44 [26.57, 28.32], 2020 Vmax down</w:t>
            </w:r>
          </w:p>
        </w:tc>
      </w:tr>
      <w:tr>
        <w:tc>
          <w:tcPr/>
          <w:p>
            <w:pPr>
              <w:pStyle w:val="Compact"/>
              <w:jc w:val="left"/>
            </w:pPr>
            <w:r>
              <w:t xml:space="preserve">AUC0-inf rule A (ii) + Cmax</w:t>
            </w:r>
          </w:p>
        </w:tc>
        <w:tc>
          <w:tcPr/>
          <w:p>
            <w:pPr>
              <w:pStyle w:val="Compact"/>
              <w:jc w:val="left"/>
            </w:pPr>
            <w:r>
              <w:t xml:space="preserve">M2</w:t>
            </w:r>
          </w:p>
        </w:tc>
        <w:tc>
          <w:tcPr/>
          <w:p>
            <w:pPr>
              <w:pStyle w:val="Compact"/>
              <w:jc w:val="left"/>
            </w:pPr>
            <w:r>
              <w:t xml:space="preserve">0.00 to 27.37</w:t>
            </w:r>
          </w:p>
        </w:tc>
        <w:tc>
          <w:tcPr/>
          <w:p>
            <w:pPr>
              <w:pStyle w:val="Compact"/>
              <w:jc w:val="left"/>
            </w:pPr>
            <w:r>
              <w:t xml:space="preserve">4 / 0 / 12</w:t>
            </w:r>
          </w:p>
        </w:tc>
        <w:tc>
          <w:tcPr/>
          <w:p>
            <w:pPr>
              <w:pStyle w:val="Compact"/>
              <w:jc w:val="left"/>
            </w:pPr>
            <w:r>
              <w:t xml:space="preserve">12</w:t>
            </w:r>
          </w:p>
        </w:tc>
        <w:tc>
          <w:tcPr/>
          <w:p>
            <w:pPr>
              <w:pStyle w:val="Compact"/>
              <w:jc w:val="left"/>
            </w:pPr>
            <w:r>
              <w:t xml:space="preserve">27.37 [26.50, 28.25], 2020 Vmax down</w:t>
            </w:r>
          </w:p>
        </w:tc>
      </w:tr>
      <w:tr>
        <w:tc>
          <w:tcPr/>
          <w:p>
            <w:pPr>
              <w:pStyle w:val="Compact"/>
              <w:jc w:val="left"/>
            </w:pPr>
            <w:r>
              <w:t xml:space="preserve">AUC0-inf rule A (i) + Cmax</w:t>
            </w:r>
          </w:p>
        </w:tc>
        <w:tc>
          <w:tcPr/>
          <w:p>
            <w:pPr>
              <w:pStyle w:val="Compact"/>
              <w:jc w:val="left"/>
            </w:pPr>
            <w:r>
              <w:t xml:space="preserve">M0</w:t>
            </w:r>
          </w:p>
        </w:tc>
        <w:tc>
          <w:tcPr/>
          <w:p>
            <w:pPr>
              <w:pStyle w:val="Compact"/>
              <w:jc w:val="left"/>
            </w:pPr>
            <w:r>
              <w:t xml:space="preserve">0.00 to 19.91</w:t>
            </w:r>
          </w:p>
        </w:tc>
        <w:tc>
          <w:tcPr/>
          <w:p>
            <w:pPr>
              <w:pStyle w:val="Compact"/>
              <w:jc w:val="left"/>
            </w:pPr>
            <w:r>
              <w:t xml:space="preserve">6 / 2 / 8</w:t>
            </w:r>
          </w:p>
        </w:tc>
        <w:tc>
          <w:tcPr/>
          <w:p>
            <w:pPr>
              <w:pStyle w:val="Compact"/>
              <w:jc w:val="left"/>
            </w:pPr>
            <w:r>
              <w:t xml:space="preserve">8</w:t>
            </w:r>
          </w:p>
        </w:tc>
        <w:tc>
          <w:tcPr/>
          <w:p>
            <w:pPr>
              <w:pStyle w:val="Compact"/>
              <w:jc w:val="left"/>
            </w:pPr>
            <w:r>
              <w:t xml:space="preserve">19.91 [19.14, 20.70], 2016 Vmax up</w:t>
            </w:r>
          </w:p>
        </w:tc>
      </w:tr>
      <w:tr>
        <w:tc>
          <w:tcPr/>
          <w:p>
            <w:pPr>
              <w:pStyle w:val="Compact"/>
              <w:jc w:val="left"/>
            </w:pPr>
            <w:r>
              <w:t xml:space="preserve">AUC0-inf rule A (i) + Cmax</w:t>
            </w:r>
          </w:p>
        </w:tc>
        <w:tc>
          <w:tcPr/>
          <w:p>
            <w:pPr>
              <w:pStyle w:val="Compact"/>
              <w:jc w:val="left"/>
            </w:pPr>
            <w:r>
              <w:t xml:space="preserve">M1</w:t>
            </w:r>
          </w:p>
        </w:tc>
        <w:tc>
          <w:tcPr/>
          <w:p>
            <w:pPr>
              <w:pStyle w:val="Compact"/>
              <w:jc w:val="left"/>
            </w:pPr>
            <w:r>
              <w:t xml:space="preserve">0.00 to 20.27</w:t>
            </w:r>
          </w:p>
        </w:tc>
        <w:tc>
          <w:tcPr/>
          <w:p>
            <w:pPr>
              <w:pStyle w:val="Compact"/>
              <w:jc w:val="left"/>
            </w:pPr>
            <w:r>
              <w:t xml:space="preserve">4 / 4 / 8</w:t>
            </w:r>
          </w:p>
        </w:tc>
        <w:tc>
          <w:tcPr/>
          <w:p>
            <w:pPr>
              <w:pStyle w:val="Compact"/>
              <w:jc w:val="left"/>
            </w:pPr>
            <w:r>
              <w:t xml:space="preserve">10</w:t>
            </w:r>
          </w:p>
        </w:tc>
        <w:tc>
          <w:tcPr/>
          <w:p>
            <w:pPr>
              <w:pStyle w:val="Compact"/>
              <w:jc w:val="left"/>
            </w:pPr>
            <w:r>
              <w:t xml:space="preserve">20.27 [19.49, 21.07], 2016 Vmax up</w:t>
            </w:r>
          </w:p>
        </w:tc>
      </w:tr>
      <w:tr>
        <w:tc>
          <w:tcPr/>
          <w:p>
            <w:pPr>
              <w:pStyle w:val="Compact"/>
              <w:jc w:val="left"/>
            </w:pPr>
            <w:r>
              <w:t xml:space="preserve">AUC0-inf rule A (i) + Cmax</w:t>
            </w:r>
          </w:p>
        </w:tc>
        <w:tc>
          <w:tcPr/>
          <w:p>
            <w:pPr>
              <w:pStyle w:val="Compact"/>
              <w:jc w:val="left"/>
            </w:pPr>
            <w:r>
              <w:t xml:space="preserve">M2</w:t>
            </w:r>
          </w:p>
        </w:tc>
        <w:tc>
          <w:tcPr/>
          <w:p>
            <w:pPr>
              <w:pStyle w:val="Compact"/>
              <w:jc w:val="left"/>
            </w:pPr>
            <w:r>
              <w:t xml:space="preserve">0.00 to 20.49</w:t>
            </w:r>
          </w:p>
        </w:tc>
        <w:tc>
          <w:tcPr/>
          <w:p>
            <w:pPr>
              <w:pStyle w:val="Compact"/>
              <w:jc w:val="left"/>
            </w:pPr>
            <w:r>
              <w:t xml:space="preserve">4 / 4 / 8</w:t>
            </w:r>
          </w:p>
        </w:tc>
        <w:tc>
          <w:tcPr/>
          <w:p>
            <w:pPr>
              <w:pStyle w:val="Compact"/>
              <w:jc w:val="left"/>
            </w:pPr>
            <w:r>
              <w:t xml:space="preserve">10</w:t>
            </w:r>
          </w:p>
        </w:tc>
        <w:tc>
          <w:tcPr/>
          <w:p>
            <w:pPr>
              <w:pStyle w:val="Compact"/>
              <w:jc w:val="left"/>
            </w:pPr>
            <w:r>
              <w:t xml:space="preserve">20.49 [19.71, 21.29], 2016 Vmax up</w:t>
            </w:r>
          </w:p>
        </w:tc>
      </w:tr>
      <w:tr>
        <w:tc>
          <w:tcPr/>
          <w:p>
            <w:pPr>
              <w:pStyle w:val="Compact"/>
              <w:jc w:val="left"/>
            </w:pPr>
            <w:r>
              <w:t xml:space="preserve">AUC0-inf rule B + Cmax</w:t>
            </w:r>
          </w:p>
        </w:tc>
        <w:tc>
          <w:tcPr/>
          <w:p>
            <w:pPr>
              <w:pStyle w:val="Compact"/>
              <w:jc w:val="left"/>
            </w:pPr>
            <w:r>
              <w:t xml:space="preserve">M0</w:t>
            </w:r>
          </w:p>
        </w:tc>
        <w:tc>
          <w:tcPr/>
          <w:p>
            <w:pPr>
              <w:pStyle w:val="Compact"/>
              <w:jc w:val="left"/>
            </w:pPr>
            <w:r>
              <w:t xml:space="preserve">0.00 to 15.06</w:t>
            </w:r>
          </w:p>
        </w:tc>
        <w:tc>
          <w:tcPr/>
          <w:p>
            <w:pPr>
              <w:pStyle w:val="Compact"/>
              <w:jc w:val="left"/>
            </w:pPr>
            <w:r>
              <w:t xml:space="preserve">6 / 4 / 6</w:t>
            </w:r>
          </w:p>
        </w:tc>
        <w:tc>
          <w:tcPr/>
          <w:p>
            <w:pPr>
              <w:pStyle w:val="Compact"/>
              <w:jc w:val="left"/>
            </w:pPr>
            <w:r>
              <w:t xml:space="preserve">8</w:t>
            </w:r>
          </w:p>
        </w:tc>
        <w:tc>
          <w:tcPr/>
          <w:p>
            <w:pPr>
              <w:pStyle w:val="Compact"/>
              <w:jc w:val="left"/>
            </w:pPr>
            <w:r>
              <w:t xml:space="preserve">15.06 [14.37, 15.77], 2016 Vmax up</w:t>
            </w:r>
          </w:p>
        </w:tc>
      </w:tr>
      <w:tr>
        <w:tc>
          <w:tcPr/>
          <w:p>
            <w:pPr>
              <w:pStyle w:val="Compact"/>
              <w:jc w:val="left"/>
            </w:pPr>
            <w:r>
              <w:t xml:space="preserve">AUC0-inf rule B + Cmax</w:t>
            </w:r>
          </w:p>
        </w:tc>
        <w:tc>
          <w:tcPr/>
          <w:p>
            <w:pPr>
              <w:pStyle w:val="Compact"/>
              <w:jc w:val="left"/>
            </w:pPr>
            <w:r>
              <w:t xml:space="preserve">M1</w:t>
            </w:r>
          </w:p>
        </w:tc>
        <w:tc>
          <w:tcPr/>
          <w:p>
            <w:pPr>
              <w:pStyle w:val="Compact"/>
              <w:jc w:val="left"/>
            </w:pPr>
            <w:r>
              <w:t xml:space="preserve">0.00 to 16.03</w:t>
            </w:r>
          </w:p>
        </w:tc>
        <w:tc>
          <w:tcPr/>
          <w:p>
            <w:pPr>
              <w:pStyle w:val="Compact"/>
              <w:jc w:val="left"/>
            </w:pPr>
            <w:r>
              <w:t xml:space="preserve">6 / 2 / 8</w:t>
            </w:r>
          </w:p>
        </w:tc>
        <w:tc>
          <w:tcPr/>
          <w:p>
            <w:pPr>
              <w:pStyle w:val="Compact"/>
              <w:jc w:val="left"/>
            </w:pPr>
            <w:r>
              <w:t xml:space="preserve">10</w:t>
            </w:r>
          </w:p>
        </w:tc>
        <w:tc>
          <w:tcPr/>
          <w:p>
            <w:pPr>
              <w:pStyle w:val="Compact"/>
              <w:jc w:val="left"/>
            </w:pPr>
            <w:r>
              <w:t xml:space="preserve">16.03 [15.32, 16.76], 2016 Vmax up</w:t>
            </w:r>
          </w:p>
        </w:tc>
      </w:tr>
      <w:tr>
        <w:tc>
          <w:tcPr/>
          <w:p>
            <w:pPr>
              <w:pStyle w:val="Compact"/>
              <w:jc w:val="left"/>
            </w:pPr>
            <w:r>
              <w:t xml:space="preserve">AUC0-inf rule B + Cmax</w:t>
            </w:r>
          </w:p>
        </w:tc>
        <w:tc>
          <w:tcPr/>
          <w:p>
            <w:pPr>
              <w:pStyle w:val="Compact"/>
              <w:jc w:val="left"/>
            </w:pPr>
            <w:r>
              <w:t xml:space="preserve">M2</w:t>
            </w:r>
          </w:p>
        </w:tc>
        <w:tc>
          <w:tcPr/>
          <w:p>
            <w:pPr>
              <w:pStyle w:val="Compact"/>
              <w:jc w:val="left"/>
            </w:pPr>
            <w:r>
              <w:t xml:space="preserve">0.00 to 16.31</w:t>
            </w:r>
          </w:p>
        </w:tc>
        <w:tc>
          <w:tcPr/>
          <w:p>
            <w:pPr>
              <w:pStyle w:val="Compact"/>
              <w:jc w:val="left"/>
            </w:pPr>
            <w:r>
              <w:t xml:space="preserve">5 / 3 / 8</w:t>
            </w:r>
          </w:p>
        </w:tc>
        <w:tc>
          <w:tcPr/>
          <w:p>
            <w:pPr>
              <w:pStyle w:val="Compact"/>
              <w:jc w:val="left"/>
            </w:pPr>
            <w:r>
              <w:t xml:space="preserve">10</w:t>
            </w:r>
          </w:p>
        </w:tc>
        <w:tc>
          <w:tcPr/>
          <w:p>
            <w:pPr>
              <w:pStyle w:val="Compact"/>
              <w:jc w:val="left"/>
            </w:pPr>
            <w:r>
              <w:t xml:space="preserve">16.31 [15.60, 17.05], 2016 Vmax up</w:t>
            </w:r>
          </w:p>
        </w:tc>
      </w:tr>
      <w:tr>
        <w:tc>
          <w:tcPr/>
          <w:p>
            <w:pPr>
              <w:pStyle w:val="Compact"/>
              <w:jc w:val="left"/>
            </w:pPr>
            <w:r>
              <w:t xml:space="preserve">AUC0-inf rule C (ii) + Cmax</w:t>
            </w:r>
          </w:p>
        </w:tc>
        <w:tc>
          <w:tcPr/>
          <w:p>
            <w:pPr>
              <w:pStyle w:val="Compact"/>
              <w:jc w:val="left"/>
            </w:pPr>
            <w:r>
              <w:t xml:space="preserve">M0</w:t>
            </w:r>
          </w:p>
        </w:tc>
        <w:tc>
          <w:tcPr/>
          <w:p>
            <w:pPr>
              <w:pStyle w:val="Compact"/>
              <w:jc w:val="left"/>
            </w:pPr>
            <w:r>
              <w:t xml:space="preserve">0.00 to 5.01</w:t>
            </w:r>
          </w:p>
        </w:tc>
        <w:tc>
          <w:tcPr/>
          <w:p>
            <w:pPr>
              <w:pStyle w:val="Compact"/>
              <w:jc w:val="left"/>
            </w:pPr>
            <w:r>
              <w:t xml:space="preserve">15 / 1 / 0</w:t>
            </w:r>
          </w:p>
        </w:tc>
        <w:tc>
          <w:tcPr/>
          <w:p>
            <w:pPr>
              <w:pStyle w:val="Compact"/>
              <w:jc w:val="left"/>
            </w:pPr>
            <w:r>
              <w:t xml:space="preserve">1</w:t>
            </w:r>
          </w:p>
        </w:tc>
        <w:tc>
          <w:tcPr/>
          <w:p>
            <w:pPr>
              <w:pStyle w:val="Compact"/>
              <w:jc w:val="left"/>
            </w:pPr>
            <w:r>
              <w:t xml:space="preserve">5.01 [4.71, 5.32], 2020 V2 up</w:t>
            </w:r>
          </w:p>
        </w:tc>
      </w:tr>
      <w:tr>
        <w:tc>
          <w:tcPr/>
          <w:p>
            <w:pPr>
              <w:pStyle w:val="Compact"/>
              <w:jc w:val="left"/>
            </w:pPr>
            <w:r>
              <w:t xml:space="preserve">AUC0-inf rule C (ii) + Cmax</w:t>
            </w:r>
          </w:p>
        </w:tc>
        <w:tc>
          <w:tcPr/>
          <w:p>
            <w:pPr>
              <w:pStyle w:val="Compact"/>
              <w:jc w:val="left"/>
            </w:pPr>
            <w:r>
              <w:t xml:space="preserve">M1</w:t>
            </w:r>
          </w:p>
        </w:tc>
        <w:tc>
          <w:tcPr/>
          <w:p>
            <w:pPr>
              <w:pStyle w:val="Compact"/>
              <w:jc w:val="left"/>
            </w:pPr>
            <w:r>
              <w:t xml:space="preserve">0.00 to 5.39</w:t>
            </w:r>
          </w:p>
        </w:tc>
        <w:tc>
          <w:tcPr/>
          <w:p>
            <w:pPr>
              <w:pStyle w:val="Compact"/>
              <w:jc w:val="left"/>
            </w:pPr>
            <w:r>
              <w:t xml:space="preserve">14 / 1 / 1</w:t>
            </w:r>
          </w:p>
        </w:tc>
        <w:tc>
          <w:tcPr/>
          <w:p>
            <w:pPr>
              <w:pStyle w:val="Compact"/>
              <w:jc w:val="left"/>
            </w:pPr>
            <w:r>
              <w:t xml:space="preserve">1</w:t>
            </w:r>
          </w:p>
        </w:tc>
        <w:tc>
          <w:tcPr/>
          <w:p>
            <w:pPr>
              <w:pStyle w:val="Compact"/>
              <w:jc w:val="left"/>
            </w:pPr>
            <w:r>
              <w:t xml:space="preserve">5.39 [5.09, 5.71], 2020 V2 up</w:t>
            </w:r>
          </w:p>
        </w:tc>
      </w:tr>
      <w:tr>
        <w:tc>
          <w:tcPr/>
          <w:p>
            <w:pPr>
              <w:pStyle w:val="Compact"/>
              <w:jc w:val="left"/>
            </w:pPr>
            <w:r>
              <w:t xml:space="preserve">AUC0-inf rule C (ii) + Cmax</w:t>
            </w:r>
          </w:p>
        </w:tc>
        <w:tc>
          <w:tcPr/>
          <w:p>
            <w:pPr>
              <w:pStyle w:val="Compact"/>
              <w:jc w:val="left"/>
            </w:pPr>
            <w:r>
              <w:t xml:space="preserve">M2</w:t>
            </w:r>
          </w:p>
        </w:tc>
        <w:tc>
          <w:tcPr/>
          <w:p>
            <w:pPr>
              <w:pStyle w:val="Compact"/>
              <w:jc w:val="left"/>
            </w:pPr>
            <w:r>
              <w:t xml:space="preserve">0.00 to 5.51</w:t>
            </w:r>
          </w:p>
        </w:tc>
        <w:tc>
          <w:tcPr/>
          <w:p>
            <w:pPr>
              <w:pStyle w:val="Compact"/>
              <w:jc w:val="left"/>
            </w:pPr>
            <w:r>
              <w:t xml:space="preserve">15 / 0 / 1</w:t>
            </w:r>
          </w:p>
        </w:tc>
        <w:tc>
          <w:tcPr/>
          <w:p>
            <w:pPr>
              <w:pStyle w:val="Compact"/>
              <w:jc w:val="left"/>
            </w:pPr>
            <w:r>
              <w:t xml:space="preserve">1</w:t>
            </w:r>
          </w:p>
        </w:tc>
        <w:tc>
          <w:tcPr/>
          <w:p>
            <w:pPr>
              <w:pStyle w:val="Compact"/>
              <w:jc w:val="left"/>
            </w:pPr>
            <w:r>
              <w:t xml:space="preserve">5.51 [5.20, 5.83], 2020 V2 up</w:t>
            </w:r>
          </w:p>
        </w:tc>
      </w:tr>
      <w:tr>
        <w:tc>
          <w:tcPr/>
          <w:p>
            <w:pPr>
              <w:pStyle w:val="Compact"/>
              <w:jc w:val="left"/>
            </w:pPr>
            <w:r>
              <w:t xml:space="preserve">AUC0-inf rule C (i) + Cmax</w:t>
            </w:r>
          </w:p>
        </w:tc>
        <w:tc>
          <w:tcPr/>
          <w:p>
            <w:pPr>
              <w:pStyle w:val="Compact"/>
              <w:jc w:val="left"/>
            </w:pPr>
            <w:r>
              <w:t xml:space="preserve">M0</w:t>
            </w:r>
          </w:p>
        </w:tc>
        <w:tc>
          <w:tcPr/>
          <w:p>
            <w:pPr>
              <w:pStyle w:val="Compact"/>
              <w:jc w:val="left"/>
            </w:pPr>
            <w:r>
              <w:t xml:space="preserve">0.00 to 4.63</w:t>
            </w:r>
          </w:p>
        </w:tc>
        <w:tc>
          <w:tcPr/>
          <w:p>
            <w:pPr>
              <w:pStyle w:val="Compact"/>
              <w:jc w:val="left"/>
            </w:pPr>
            <w:r>
              <w:t xml:space="preserve">16 / 0 / 0</w:t>
            </w:r>
          </w:p>
        </w:tc>
        <w:tc>
          <w:tcPr/>
          <w:p>
            <w:pPr>
              <w:pStyle w:val="Compact"/>
              <w:jc w:val="left"/>
            </w:pPr>
            <w:r>
              <w:t xml:space="preserve">0</w:t>
            </w:r>
          </w:p>
        </w:tc>
        <w:tc>
          <w:tcPr/>
          <w:p>
            <w:pPr>
              <w:pStyle w:val="Compact"/>
              <w:jc w:val="left"/>
            </w:pPr>
            <w:r>
              <w:t xml:space="preserve">4.63 [4.34, 4.92], 2020 V2 up</w:t>
            </w:r>
          </w:p>
        </w:tc>
      </w:tr>
      <w:tr>
        <w:tc>
          <w:tcPr/>
          <w:p>
            <w:pPr>
              <w:pStyle w:val="Compact"/>
              <w:jc w:val="left"/>
            </w:pPr>
            <w:r>
              <w:t xml:space="preserve">AUC0-inf rule C (i) + Cmax</w:t>
            </w:r>
          </w:p>
        </w:tc>
        <w:tc>
          <w:tcPr/>
          <w:p>
            <w:pPr>
              <w:pStyle w:val="Compact"/>
              <w:jc w:val="left"/>
            </w:pPr>
            <w:r>
              <w:t xml:space="preserve">M1</w:t>
            </w:r>
          </w:p>
        </w:tc>
        <w:tc>
          <w:tcPr/>
          <w:p>
            <w:pPr>
              <w:pStyle w:val="Compact"/>
              <w:jc w:val="left"/>
            </w:pPr>
            <w:r>
              <w:t xml:space="preserve">0.00 to 5.06</w:t>
            </w:r>
          </w:p>
        </w:tc>
        <w:tc>
          <w:tcPr/>
          <w:p>
            <w:pPr>
              <w:pStyle w:val="Compact"/>
              <w:jc w:val="left"/>
            </w:pPr>
            <w:r>
              <w:t xml:space="preserve">11 / 5 / 0</w:t>
            </w:r>
          </w:p>
        </w:tc>
        <w:tc>
          <w:tcPr/>
          <w:p>
            <w:pPr>
              <w:pStyle w:val="Compact"/>
              <w:jc w:val="left"/>
            </w:pPr>
            <w:r>
              <w:t xml:space="preserve">1</w:t>
            </w:r>
          </w:p>
        </w:tc>
        <w:tc>
          <w:tcPr/>
          <w:p>
            <w:pPr>
              <w:pStyle w:val="Compact"/>
              <w:jc w:val="left"/>
            </w:pPr>
            <w:r>
              <w:t xml:space="preserve">5.06 [4.76, 5.37], 2020 V2 up</w:t>
            </w:r>
          </w:p>
        </w:tc>
      </w:tr>
      <w:tr>
        <w:tc>
          <w:tcPr/>
          <w:p>
            <w:pPr>
              <w:pStyle w:val="Compact"/>
              <w:jc w:val="left"/>
            </w:pPr>
            <w:r>
              <w:t xml:space="preserve">AUC0-inf rule C (i) + Cmax</w:t>
            </w:r>
          </w:p>
        </w:tc>
        <w:tc>
          <w:tcPr/>
          <w:p>
            <w:pPr>
              <w:pStyle w:val="Compact"/>
              <w:jc w:val="left"/>
            </w:pPr>
            <w:r>
              <w:t xml:space="preserve">M2</w:t>
            </w:r>
          </w:p>
        </w:tc>
        <w:tc>
          <w:tcPr/>
          <w:p>
            <w:pPr>
              <w:pStyle w:val="Compact"/>
              <w:jc w:val="left"/>
            </w:pPr>
            <w:r>
              <w:t xml:space="preserve">0.00 to 5.10</w:t>
            </w:r>
          </w:p>
        </w:tc>
        <w:tc>
          <w:tcPr/>
          <w:p>
            <w:pPr>
              <w:pStyle w:val="Compact"/>
              <w:jc w:val="left"/>
            </w:pPr>
            <w:r>
              <w:t xml:space="preserve">11 / 5 / 0</w:t>
            </w:r>
          </w:p>
        </w:tc>
        <w:tc>
          <w:tcPr/>
          <w:p>
            <w:pPr>
              <w:pStyle w:val="Compact"/>
              <w:jc w:val="left"/>
            </w:pPr>
            <w:r>
              <w:t xml:space="preserve">1</w:t>
            </w:r>
          </w:p>
        </w:tc>
        <w:tc>
          <w:tcPr/>
          <w:p>
            <w:pPr>
              <w:pStyle w:val="Compact"/>
              <w:jc w:val="left"/>
            </w:pPr>
            <w:r>
              <w:t xml:space="preserve">5.10 [4.80, 5.41], 2020 V2 up</w:t>
            </w:r>
          </w:p>
        </w:tc>
      </w:tr>
      <w:tr>
        <w:tc>
          <w:tcPr/>
          <w:p>
            <w:pPr>
              <w:pStyle w:val="Compact"/>
              <w:jc w:val="left"/>
            </w:pPr>
            <w:r>
              <w:t xml:space="preserve">AUC0-last + AUC0-inf rule A + Cmax</w:t>
            </w:r>
          </w:p>
        </w:tc>
        <w:tc>
          <w:tcPr/>
          <w:p>
            <w:pPr>
              <w:pStyle w:val="Compact"/>
              <w:jc w:val="left"/>
            </w:pPr>
            <w:r>
              <w:t xml:space="preserve">M0</w:t>
            </w:r>
          </w:p>
        </w:tc>
        <w:tc>
          <w:tcPr/>
          <w:p>
            <w:pPr>
              <w:pStyle w:val="Compact"/>
              <w:jc w:val="left"/>
            </w:pPr>
            <w:r>
              <w:t xml:space="preserve">0.00 to 3.03</w:t>
            </w:r>
          </w:p>
        </w:tc>
        <w:tc>
          <w:tcPr/>
          <w:p>
            <w:pPr>
              <w:pStyle w:val="Compact"/>
              <w:jc w:val="left"/>
            </w:pPr>
            <w:r>
              <w:t xml:space="preserve">16 / 0 / 0</w:t>
            </w:r>
          </w:p>
        </w:tc>
        <w:tc>
          <w:tcPr/>
          <w:p>
            <w:pPr>
              <w:pStyle w:val="Compact"/>
              <w:jc w:val="left"/>
            </w:pPr>
            <w:r>
              <w:t xml:space="preserve">0</w:t>
            </w:r>
          </w:p>
        </w:tc>
        <w:tc>
          <w:tcPr/>
          <w:p>
            <w:pPr>
              <w:pStyle w:val="Compact"/>
              <w:jc w:val="left"/>
            </w:pPr>
            <w:r>
              <w:t xml:space="preserve">3.03 [2.71, 3.38], 2020 F down</w:t>
            </w:r>
          </w:p>
        </w:tc>
      </w:tr>
      <w:tr>
        <w:tc>
          <w:tcPr/>
          <w:p>
            <w:pPr>
              <w:pStyle w:val="Compact"/>
              <w:jc w:val="left"/>
            </w:pPr>
            <w:r>
              <w:t xml:space="preserve">AUC0-last + AUC0-inf rule A + Cmax</w:t>
            </w:r>
          </w:p>
        </w:tc>
        <w:tc>
          <w:tcPr/>
          <w:p>
            <w:pPr>
              <w:pStyle w:val="Compact"/>
              <w:jc w:val="left"/>
            </w:pPr>
            <w:r>
              <w:t xml:space="preserve">M1</w:t>
            </w:r>
          </w:p>
        </w:tc>
        <w:tc>
          <w:tcPr/>
          <w:p>
            <w:pPr>
              <w:pStyle w:val="Compact"/>
              <w:jc w:val="left"/>
            </w:pPr>
            <w:r>
              <w:t xml:space="preserve">0.00 to 3.39</w:t>
            </w:r>
          </w:p>
        </w:tc>
        <w:tc>
          <w:tcPr/>
          <w:p>
            <w:pPr>
              <w:pStyle w:val="Compact"/>
              <w:jc w:val="left"/>
            </w:pPr>
            <w:r>
              <w:t xml:space="preserve">16 / 0 / 0</w:t>
            </w:r>
          </w:p>
        </w:tc>
        <w:tc>
          <w:tcPr/>
          <w:p>
            <w:pPr>
              <w:pStyle w:val="Compact"/>
              <w:jc w:val="left"/>
            </w:pPr>
            <w:r>
              <w:t xml:space="preserve">0</w:t>
            </w:r>
          </w:p>
        </w:tc>
        <w:tc>
          <w:tcPr/>
          <w:p>
            <w:pPr>
              <w:pStyle w:val="Compact"/>
              <w:jc w:val="left"/>
            </w:pPr>
            <w:r>
              <w:t xml:space="preserve">3.39 [3.05, 3.76], 2020 F down</w:t>
            </w:r>
          </w:p>
        </w:tc>
      </w:tr>
      <w:tr>
        <w:tc>
          <w:tcPr/>
          <w:p>
            <w:pPr>
              <w:pStyle w:val="Compact"/>
              <w:jc w:val="left"/>
            </w:pPr>
            <w:r>
              <w:t xml:space="preserve">AUC0-last + AUC0-inf rule A + Cmax</w:t>
            </w:r>
          </w:p>
        </w:tc>
        <w:tc>
          <w:tcPr/>
          <w:p>
            <w:pPr>
              <w:pStyle w:val="Compact"/>
              <w:jc w:val="left"/>
            </w:pPr>
            <w:r>
              <w:t xml:space="preserve">M2</w:t>
            </w:r>
          </w:p>
        </w:tc>
        <w:tc>
          <w:tcPr/>
          <w:p>
            <w:pPr>
              <w:pStyle w:val="Compact"/>
              <w:jc w:val="left"/>
            </w:pPr>
            <w:r>
              <w:t xml:space="preserve">0.00 to 3.41</w:t>
            </w:r>
          </w:p>
        </w:tc>
        <w:tc>
          <w:tcPr/>
          <w:p>
            <w:pPr>
              <w:pStyle w:val="Compact"/>
              <w:jc w:val="left"/>
            </w:pPr>
            <w:r>
              <w:t xml:space="preserve">16 / 0 / 0</w:t>
            </w:r>
          </w:p>
        </w:tc>
        <w:tc>
          <w:tcPr/>
          <w:p>
            <w:pPr>
              <w:pStyle w:val="Compact"/>
              <w:jc w:val="left"/>
            </w:pPr>
            <w:r>
              <w:t xml:space="preserve">0</w:t>
            </w:r>
          </w:p>
        </w:tc>
        <w:tc>
          <w:tcPr/>
          <w:p>
            <w:pPr>
              <w:pStyle w:val="Compact"/>
              <w:jc w:val="left"/>
            </w:pPr>
            <w:r>
              <w:t xml:space="preserve">3.41 [3.07, 3.78], 2020 F down</w:t>
            </w:r>
          </w:p>
        </w:tc>
      </w:tr>
      <w:tr>
        <w:tc>
          <w:tcPr/>
          <w:p>
            <w:pPr>
              <w:pStyle w:val="Compact"/>
              <w:jc w:val="left"/>
            </w:pPr>
            <w:r>
              <w:t xml:space="preserve">AUC0-last + AUC0-inf rule B + Cmax</w:t>
            </w:r>
          </w:p>
        </w:tc>
        <w:tc>
          <w:tcPr/>
          <w:p>
            <w:pPr>
              <w:pStyle w:val="Compact"/>
              <w:jc w:val="left"/>
            </w:pPr>
            <w:r>
              <w:t xml:space="preserve">M0</w:t>
            </w:r>
          </w:p>
        </w:tc>
        <w:tc>
          <w:tcPr/>
          <w:p>
            <w:pPr>
              <w:pStyle w:val="Compact"/>
              <w:jc w:val="left"/>
            </w:pPr>
            <w:r>
              <w:t xml:space="preserve">0.00 to 3.57</w:t>
            </w:r>
          </w:p>
        </w:tc>
        <w:tc>
          <w:tcPr/>
          <w:p>
            <w:pPr>
              <w:pStyle w:val="Compact"/>
              <w:jc w:val="left"/>
            </w:pPr>
            <w:r>
              <w:t xml:space="preserve">16 / 0 / 0</w:t>
            </w:r>
          </w:p>
        </w:tc>
        <w:tc>
          <w:tcPr/>
          <w:p>
            <w:pPr>
              <w:pStyle w:val="Compact"/>
              <w:jc w:val="left"/>
            </w:pPr>
            <w:r>
              <w:t xml:space="preserve">0</w:t>
            </w:r>
          </w:p>
        </w:tc>
        <w:tc>
          <w:tcPr/>
          <w:p>
            <w:pPr>
              <w:pStyle w:val="Compact"/>
              <w:jc w:val="left"/>
            </w:pPr>
            <w:r>
              <w:t xml:space="preserve">3.57 [3.32, 3.84], 2020 V2 up</w:t>
            </w:r>
          </w:p>
        </w:tc>
      </w:tr>
      <w:tr>
        <w:tc>
          <w:tcPr/>
          <w:p>
            <w:pPr>
              <w:pStyle w:val="Compact"/>
              <w:jc w:val="left"/>
            </w:pPr>
            <w:r>
              <w:t xml:space="preserve">AUC0-last + AUC0-inf rule B + Cmax</w:t>
            </w:r>
          </w:p>
        </w:tc>
        <w:tc>
          <w:tcPr/>
          <w:p>
            <w:pPr>
              <w:pStyle w:val="Compact"/>
              <w:jc w:val="left"/>
            </w:pPr>
            <w:r>
              <w:t xml:space="preserve">M1</w:t>
            </w:r>
          </w:p>
        </w:tc>
        <w:tc>
          <w:tcPr/>
          <w:p>
            <w:pPr>
              <w:pStyle w:val="Compact"/>
              <w:jc w:val="left"/>
            </w:pPr>
            <w:r>
              <w:t xml:space="preserve">0.00 to 3.95</w:t>
            </w:r>
          </w:p>
        </w:tc>
        <w:tc>
          <w:tcPr/>
          <w:p>
            <w:pPr>
              <w:pStyle w:val="Compact"/>
              <w:jc w:val="left"/>
            </w:pPr>
            <w:r>
              <w:t xml:space="preserve">16 / 0 / 0</w:t>
            </w:r>
          </w:p>
        </w:tc>
        <w:tc>
          <w:tcPr/>
          <w:p>
            <w:pPr>
              <w:pStyle w:val="Compact"/>
              <w:jc w:val="left"/>
            </w:pPr>
            <w:r>
              <w:t xml:space="preserve">0</w:t>
            </w:r>
          </w:p>
        </w:tc>
        <w:tc>
          <w:tcPr/>
          <w:p>
            <w:pPr>
              <w:pStyle w:val="Compact"/>
              <w:jc w:val="left"/>
            </w:pPr>
            <w:r>
              <w:t xml:space="preserve">3.95 [3.59, 4.35], 2020 F down</w:t>
            </w:r>
          </w:p>
        </w:tc>
      </w:tr>
      <w:tr>
        <w:tc>
          <w:tcPr/>
          <w:p>
            <w:pPr>
              <w:pStyle w:val="Compact"/>
              <w:jc w:val="left"/>
            </w:pPr>
            <w:r>
              <w:t xml:space="preserve">AUC0-last + AUC0-inf rule B + Cmax</w:t>
            </w:r>
          </w:p>
        </w:tc>
        <w:tc>
          <w:tcPr/>
          <w:p>
            <w:pPr>
              <w:pStyle w:val="Compact"/>
              <w:jc w:val="left"/>
            </w:pPr>
            <w:r>
              <w:t xml:space="preserve">M2</w:t>
            </w:r>
          </w:p>
        </w:tc>
        <w:tc>
          <w:tcPr/>
          <w:p>
            <w:pPr>
              <w:pStyle w:val="Compact"/>
              <w:jc w:val="left"/>
            </w:pPr>
            <w:r>
              <w:t xml:space="preserve">0.00 to 3.99</w:t>
            </w:r>
          </w:p>
        </w:tc>
        <w:tc>
          <w:tcPr/>
          <w:p>
            <w:pPr>
              <w:pStyle w:val="Compact"/>
              <w:jc w:val="left"/>
            </w:pPr>
            <w:r>
              <w:t xml:space="preserve">16 / 0 / 0</w:t>
            </w:r>
          </w:p>
        </w:tc>
        <w:tc>
          <w:tcPr/>
          <w:p>
            <w:pPr>
              <w:pStyle w:val="Compact"/>
              <w:jc w:val="left"/>
            </w:pPr>
            <w:r>
              <w:t xml:space="preserve">0</w:t>
            </w:r>
          </w:p>
        </w:tc>
        <w:tc>
          <w:tcPr/>
          <w:p>
            <w:pPr>
              <w:pStyle w:val="Compact"/>
              <w:jc w:val="left"/>
            </w:pPr>
            <w:r>
              <w:t xml:space="preserve">3.99 [3.73, 4.27], 2020 V2 up</w:t>
            </w:r>
          </w:p>
        </w:tc>
      </w:tr>
      <w:tr>
        <w:tc>
          <w:tcPr/>
          <w:p>
            <w:pPr>
              <w:pStyle w:val="Compact"/>
              <w:jc w:val="left"/>
            </w:pPr>
            <w:r>
              <w:t xml:space="preserve">AUC0-last + AUC0-inf rule C + Cmax</w:t>
            </w:r>
          </w:p>
        </w:tc>
        <w:tc>
          <w:tcPr/>
          <w:p>
            <w:pPr>
              <w:pStyle w:val="Compact"/>
              <w:jc w:val="left"/>
            </w:pPr>
            <w:r>
              <w:t xml:space="preserve">M0</w:t>
            </w:r>
          </w:p>
        </w:tc>
        <w:tc>
          <w:tcPr/>
          <w:p>
            <w:pPr>
              <w:pStyle w:val="Compact"/>
              <w:jc w:val="left"/>
            </w:pPr>
            <w:r>
              <w:t xml:space="preserve">0.00 to 4.76</w:t>
            </w:r>
          </w:p>
        </w:tc>
        <w:tc>
          <w:tcPr/>
          <w:p>
            <w:pPr>
              <w:pStyle w:val="Compact"/>
              <w:jc w:val="left"/>
            </w:pPr>
            <w:r>
              <w:t xml:space="preserve">15 / 1 / 0</w:t>
            </w:r>
          </w:p>
        </w:tc>
        <w:tc>
          <w:tcPr/>
          <w:p>
            <w:pPr>
              <w:pStyle w:val="Compact"/>
              <w:jc w:val="left"/>
            </w:pPr>
            <w:r>
              <w:t xml:space="preserve">0</w:t>
            </w:r>
          </w:p>
        </w:tc>
        <w:tc>
          <w:tcPr/>
          <w:p>
            <w:pPr>
              <w:pStyle w:val="Compact"/>
              <w:jc w:val="left"/>
            </w:pPr>
            <w:r>
              <w:t xml:space="preserve">4.76 [4.47, 5.06], 2020 V2 up</w:t>
            </w:r>
          </w:p>
        </w:tc>
      </w:tr>
      <w:tr>
        <w:tc>
          <w:tcPr/>
          <w:p>
            <w:pPr>
              <w:pStyle w:val="Compact"/>
              <w:jc w:val="left"/>
            </w:pPr>
            <w:r>
              <w:t xml:space="preserve">AUC0-last + AUC0-inf rule C + Cmax</w:t>
            </w:r>
          </w:p>
        </w:tc>
        <w:tc>
          <w:tcPr/>
          <w:p>
            <w:pPr>
              <w:pStyle w:val="Compact"/>
              <w:jc w:val="left"/>
            </w:pPr>
            <w:r>
              <w:t xml:space="preserve">M1</w:t>
            </w:r>
          </w:p>
        </w:tc>
        <w:tc>
          <w:tcPr/>
          <w:p>
            <w:pPr>
              <w:pStyle w:val="Compact"/>
              <w:jc w:val="left"/>
            </w:pPr>
            <w:r>
              <w:t xml:space="preserve">0.00 to 5.16</w:t>
            </w:r>
          </w:p>
        </w:tc>
        <w:tc>
          <w:tcPr/>
          <w:p>
            <w:pPr>
              <w:pStyle w:val="Compact"/>
              <w:jc w:val="left"/>
            </w:pPr>
            <w:r>
              <w:t xml:space="preserve">15 / 1 / 0</w:t>
            </w:r>
          </w:p>
        </w:tc>
        <w:tc>
          <w:tcPr/>
          <w:p>
            <w:pPr>
              <w:pStyle w:val="Compact"/>
              <w:jc w:val="left"/>
            </w:pPr>
            <w:r>
              <w:t xml:space="preserve">1</w:t>
            </w:r>
          </w:p>
        </w:tc>
        <w:tc>
          <w:tcPr/>
          <w:p>
            <w:pPr>
              <w:pStyle w:val="Compact"/>
              <w:jc w:val="left"/>
            </w:pPr>
            <w:r>
              <w:t xml:space="preserve">5.16 [4.86, 5.48], 2020 V2 up</w:t>
            </w:r>
          </w:p>
        </w:tc>
      </w:tr>
      <w:tr>
        <w:tc>
          <w:tcPr/>
          <w:p>
            <w:pPr>
              <w:pStyle w:val="Compact"/>
              <w:jc w:val="left"/>
            </w:pPr>
            <w:r>
              <w:t xml:space="preserve">AUC0-last + AUC0-inf rule C + Cmax</w:t>
            </w:r>
          </w:p>
        </w:tc>
        <w:tc>
          <w:tcPr/>
          <w:p>
            <w:pPr>
              <w:pStyle w:val="Compact"/>
              <w:jc w:val="left"/>
            </w:pPr>
            <w:r>
              <w:t xml:space="preserve">M2</w:t>
            </w:r>
          </w:p>
        </w:tc>
        <w:tc>
          <w:tcPr/>
          <w:p>
            <w:pPr>
              <w:pStyle w:val="Compact"/>
              <w:jc w:val="left"/>
            </w:pPr>
            <w:r>
              <w:t xml:space="preserve">0.00 to 5.27</w:t>
            </w:r>
          </w:p>
        </w:tc>
        <w:tc>
          <w:tcPr/>
          <w:p>
            <w:pPr>
              <w:pStyle w:val="Compact"/>
              <w:jc w:val="left"/>
            </w:pPr>
            <w:r>
              <w:t xml:space="preserve">15 / 1 / 0</w:t>
            </w:r>
          </w:p>
        </w:tc>
        <w:tc>
          <w:tcPr/>
          <w:p>
            <w:pPr>
              <w:pStyle w:val="Compact"/>
              <w:jc w:val="left"/>
            </w:pPr>
            <w:r>
              <w:t xml:space="preserve">1</w:t>
            </w:r>
          </w:p>
        </w:tc>
        <w:tc>
          <w:tcPr/>
          <w:p>
            <w:pPr>
              <w:pStyle w:val="Compact"/>
              <w:jc w:val="left"/>
            </w:pPr>
            <w:r>
              <w:t xml:space="preserve">5.27 [4.96, 5.58], 2020 V2 up</w:t>
            </w:r>
          </w:p>
        </w:tc>
      </w:tr>
    </w:tbl>
    <w:p>
      <w:pPr>
        <w:numPr>
          <w:ilvl w:val="0"/>
          <w:numId w:val="1045"/>
        </w:numPr>
        <w:pStyle w:val="Compact"/>
      </w:pPr>
      <w:r>
        <w:rPr>
          <w:bCs/>
          <w:b/>
        </w:rPr>
        <w:t xml:space="preserve">Classification of P2.</w:t>
      </w:r>
      <w:r>
        <w:t xml:space="preserve"> </w:t>
      </w:r>
      <w:r>
        <w:t xml:space="preserve">M0: 15 conservative, 1 nominal, 0 exceeding (0.00% to 5.18%). M1: 15, 0, 1 (0.00% to 5.63%). M2: 15, 0, 1 (0.00% to 5.75%).</w:t>
      </w:r>
    </w:p>
    <w:p>
      <w:pPr>
        <w:numPr>
          <w:ilvl w:val="0"/>
          <w:numId w:val="1045"/>
        </w:numPr>
        <w:pStyle w:val="Compact"/>
      </w:pPr>
      <w:r>
        <w:rPr>
          <w:bCs/>
          <w:b/>
        </w:rPr>
        <w:t xml:space="preserve">Cells above 5%.</w:t>
      </w:r>
      <w:r>
        <w:t xml:space="preserve"> </w:t>
      </w:r>
      <w:r>
        <w:t xml:space="preserve">2020 model, peripheral volume (V2) up (multiplier 2.28), true AUC0-inf ratio 0.7998: M0 5.18% (95% CI 4.88 to 5.50), nominal; M1 5.63% (95% CI 5.31 to 5.95), exceeding; M2 5.75% (95% CI 5.43 to 6.08), exceeding. Quantitative cause: under M0 the AUC0-last GMR is biased by 0.41% relative to the true AUC0-inf ratio (toward 1), which moves the pass rate from 4.59% for the unbiased reference to 5.20% for AUC0-last alone; Cmax failures change it by -0.02 percentage points; under M1 the AUC0-last GMR is biased by 0.41% relative to the true AUC0-inf ratio (toward 1), which moves the pass rate from 4.94% for the unbiased reference to 5.65% for AUC0-last alone; Cmax failures change it by -0.02 percentage points; under M2 the AUC0-last GMR is biased by 0.41% relative to the true AUC0-inf ratio (toward 1), which moves the pass rate from 4.97% for the unbiased reference to 5.77% for AUC0-last alone; Cmax failures change it by -0.03 percentage points.</w:t>
      </w:r>
    </w:p>
    <w:p>
      <w:pPr>
        <w:numPr>
          <w:ilvl w:val="0"/>
          <w:numId w:val="1045"/>
        </w:numPr>
        <w:pStyle w:val="Compact"/>
      </w:pPr>
      <w:r>
        <w:rPr>
          <w:bCs/>
          <w:b/>
        </w:rPr>
        <w:t xml:space="preserve">Why the models differ.</w:t>
      </w:r>
      <w:r>
        <w:t xml:space="preserve"> </w:t>
      </w:r>
      <w:r>
        <w:t xml:space="preserve">The randomization balances the arms within the weight strata, so the treatment difference in means is free of the between-stratum variance. The pooled t-test nevertheless includes that variance in its standard error. The between-trial SD of the log GMR divided by the median within-trial SE of the unbiased reference is 0.961 to 0.993 under M0, 0.991 to 1.020 under M1 and 0.991 to 1.021 under M2; for AUC0-last it is 0.965 to 1.001, 0.992 to 1.026 and 0.992 to 1.028. With an SE that matches the sampling variability, the unbiased reference passes in 4.53% to 5.83% of trials under M1 (theoretical value at a true ratio at the limit: just below 5%), against 4.12% to 5.43% under M0.</w:t>
      </w:r>
    </w:p>
    <w:p>
      <w:pPr>
        <w:numPr>
          <w:ilvl w:val="0"/>
          <w:numId w:val="1045"/>
        </w:numPr>
        <w:pStyle w:val="Compact"/>
      </w:pPr>
      <w:r>
        <w:rPr>
          <w:bCs/>
          <w:b/>
        </w:rPr>
        <w:t xml:space="preserve">Power of P2.</w:t>
      </w:r>
      <w:r>
        <w:t xml:space="preserve"> </w:t>
      </w:r>
      <w:r>
        <w:t xml:space="preserve">Identical products: 99.6% (95% CI 99.4 to 99.7) (M0) and 99.7% (95% CI 99.5 to 99.7) (M1) in the primary model, 99.0% (95% CI 98.8 to 99.2) and 99.2% (95% CI 99.0 to 99.3) in the 2020 model. Bioavailability x0.97: 96.8% (95% CI 96.4 to 97.1) and 97.1% (95% CI 96.7 to 97.4); 94.7% (95% CI 94.2 to 95.1) and 95.3% (95% CI 94.9 to 95.7).</w:t>
      </w:r>
    </w:p>
    <w:p>
      <w:pPr>
        <w:pStyle w:val="CaptionedFigure"/>
      </w:pPr>
      <w:r>
        <w:drawing>
          <wp:inline>
            <wp:extent cx="5334000" cy="3852333"/>
            <wp:effectExtent b="0" l="0" r="0" t="0"/>
            <wp:docPr descr="Figure 5-9. Boundary type I error of AUC0-last + Cmax and of the unbiased reference by analysis model, 16 boundary scenarios (Wilson 95% intervals). Analysis figure results/oc_models/fig_type1_models.png." title="" id="86" name="Picture"/>
            <a:graphic>
              <a:graphicData uri="http://schemas.openxmlformats.org/drawingml/2006/picture">
                <pic:pic>
                  <pic:nvPicPr>
                    <pic:cNvPr descr="../../results/oc_models/fig_type1_models.png" id="87" name="Picture"/>
                    <pic:cNvPicPr>
                      <a:picLocks noChangeArrowheads="1" noChangeAspect="1"/>
                    </pic:cNvPicPr>
                  </pic:nvPicPr>
                  <pic:blipFill>
                    <a:blip r:embed="rId85"/>
                    <a:stretch>
                      <a:fillRect/>
                    </a:stretch>
                  </pic:blipFill>
                  <pic:spPr bwMode="auto">
                    <a:xfrm>
                      <a:off x="0" y="0"/>
                      <a:ext cx="5334000" cy="3852333"/>
                    </a:xfrm>
                    <a:prstGeom prst="rect">
                      <a:avLst/>
                    </a:prstGeom>
                    <a:noFill/>
                    <a:ln w="9525">
                      <a:noFill/>
                      <a:headEnd/>
                      <a:tailEnd/>
                    </a:ln>
                  </pic:spPr>
                </pic:pic>
              </a:graphicData>
            </a:graphic>
          </wp:inline>
        </w:drawing>
      </w:r>
    </w:p>
    <w:p>
      <w:pPr>
        <w:pStyle w:val="ImageCaption"/>
      </w:pPr>
      <w:r>
        <w:t xml:space="preserve">Figure 5-9. Boundary type I error of AUC0-last + Cmax and of the unbiased reference by analysis model, 16 boundary scenarios (Wilson 95% intervals). Analysis figure results/oc_models/fig_type1_models.png.</w:t>
      </w:r>
    </w:p>
    <w:p>
      <w:pPr>
        <w:pStyle w:val="TableCaption"/>
      </w:pPr>
      <w:r>
        <w:t xml:space="preserve">Table 5-16. Expectations of the sponsor’s clinical pharmacology recorded before the results, with the numeric criteria registered before any result was read.</w:t>
      </w:r>
    </w:p>
    <w:tbl>
      <w:tblPr>
        <w:tblStyle w:val="Table"/>
        <w:tblW w:type="pct" w:w="5000"/>
        <w:tblLook w:firstRow="1" w:lastRow="0" w:firstColumn="0" w:lastColumn="0" w:noHBand="0" w:noVBand="0" w:val="0020"/>
        <w:jc w:val="start"/>
        <w:tblCaption w:val="Table 5-16. Expectations of the sponsor’s clinical pharmacology recorded before the results, with the numeric criteria registered before any result was read."/>
      </w:tblPr>
      <w:tblGrid>
        <w:gridCol w:w="1853"/>
        <w:gridCol w:w="2999"/>
        <w:gridCol w:w="2662"/>
        <w:gridCol w:w="404"/>
      </w:tblGrid>
      <w:tr>
        <w:trPr>
          <w:tblHeader w:val="true"/>
        </w:trPr>
        <w:tc>
          <w:tcPr/>
          <w:p>
            <w:pPr>
              <w:pStyle w:val="Compact"/>
              <w:jc w:val="left"/>
            </w:pPr>
            <w:r>
              <w:t xml:space="preserve">Expectation</w:t>
            </w:r>
          </w:p>
        </w:tc>
        <w:tc>
          <w:tcPr/>
          <w:p>
            <w:pPr>
              <w:pStyle w:val="Compact"/>
              <w:jc w:val="left"/>
            </w:pPr>
            <w:r>
              <w:t xml:space="preserve">Criterion (registered before results)</w:t>
            </w:r>
          </w:p>
        </w:tc>
        <w:tc>
          <w:tcPr/>
          <w:p>
            <w:pPr>
              <w:pStyle w:val="Compact"/>
              <w:jc w:val="left"/>
            </w:pPr>
            <w:r>
              <w:t xml:space="preserve">Observed</w:t>
            </w:r>
          </w:p>
        </w:tc>
        <w:tc>
          <w:tcPr/>
          <w:p>
            <w:pPr>
              <w:pStyle w:val="Compact"/>
              <w:jc w:val="left"/>
            </w:pPr>
            <w:r>
              <w:t xml:space="preserve">Consistent</w:t>
            </w:r>
          </w:p>
        </w:tc>
      </w:tr>
      <w:tr>
        <w:tc>
          <w:tcPr/>
          <w:p>
            <w:pPr>
              <w:pStyle w:val="Compact"/>
              <w:jc w:val="left"/>
            </w:pPr>
            <w:r>
              <w:t xml:space="preserve">M1: unbiased reference (AUCinf_true only) close to 5%</w:t>
            </w:r>
          </w:p>
        </w:tc>
        <w:tc>
          <w:tcPr/>
          <w:p>
            <w:pPr>
              <w:pStyle w:val="Compact"/>
              <w:jc w:val="left"/>
            </w:pPr>
            <w:r>
              <w:t xml:space="preserve">pooled 16-cell Wilson 95% interval includes 5% and every cell within 4-6%</w:t>
            </w:r>
          </w:p>
        </w:tc>
        <w:tc>
          <w:tcPr/>
          <w:p>
            <w:pPr>
              <w:pStyle w:val="Compact"/>
              <w:jc w:val="left"/>
            </w:pPr>
            <w:r>
              <w:t xml:space="preserve">pooled 5.01% [4.90, 5.11]; cells 4.53 to 5.83% (M0 4.12 to 5.43%)</w:t>
            </w:r>
          </w:p>
        </w:tc>
        <w:tc>
          <w:tcPr/>
          <w:p>
            <w:pPr>
              <w:pStyle w:val="Compact"/>
              <w:jc w:val="left"/>
            </w:pPr>
            <w:r>
              <w:t xml:space="preserve">yes</w:t>
            </w:r>
          </w:p>
        </w:tc>
      </w:tr>
      <w:tr>
        <w:tc>
          <w:tcPr/>
          <w:p>
            <w:pPr>
              <w:pStyle w:val="Compact"/>
              <w:jc w:val="left"/>
            </w:pPr>
            <w:r>
              <w:t xml:space="preserve">M1: between-trial SD / within-trial SE close to 1</w:t>
            </w:r>
          </w:p>
        </w:tc>
        <w:tc>
          <w:tcPr/>
          <w:p>
            <w:pPr>
              <w:pStyle w:val="Compact"/>
              <w:jc w:val="left"/>
            </w:pPr>
            <w:r>
              <w:t xml:space="preserve">every cell within 0.97-1.03 (AUCinf_true)</w:t>
            </w:r>
          </w:p>
        </w:tc>
        <w:tc>
          <w:tcPr/>
          <w:p>
            <w:pPr>
              <w:pStyle w:val="Compact"/>
              <w:jc w:val="left"/>
            </w:pPr>
            <w:r>
              <w:t xml:space="preserve">M1 0.991 to 1.020 (M0 0.961 to 0.993)</w:t>
            </w:r>
          </w:p>
        </w:tc>
        <w:tc>
          <w:tcPr/>
          <w:p>
            <w:pPr>
              <w:pStyle w:val="Compact"/>
              <w:jc w:val="left"/>
            </w:pPr>
            <w:r>
              <w:t xml:space="preserve">yes</w:t>
            </w:r>
          </w:p>
        </w:tc>
      </w:tr>
      <w:tr>
        <w:tc>
          <w:tcPr/>
          <w:p>
            <w:pPr>
              <w:pStyle w:val="Compact"/>
              <w:jc w:val="left"/>
            </w:pPr>
            <w:r>
              <w:t xml:space="preserve">P2 rises slightly under M1</w:t>
            </w:r>
          </w:p>
        </w:tc>
        <w:tc>
          <w:tcPr/>
          <w:p>
            <w:pPr>
              <w:pStyle w:val="Compact"/>
              <w:jc w:val="left"/>
            </w:pPr>
            <w:r>
              <w:t xml:space="preserve">M1 minus M0 &gt; 0 in at least 14 of 16 cells and mean rise above 0 and at most 1.5 points</w:t>
            </w:r>
          </w:p>
        </w:tc>
        <w:tc>
          <w:tcPr/>
          <w:p>
            <w:pPr>
              <w:pStyle w:val="Compact"/>
              <w:jc w:val="left"/>
            </w:pPr>
            <w:r>
              <w:t xml:space="preserve">M1 minus M0 &gt; 0 in 14 of 16 cells; mean +0.30 points (range +0.00 to +0.45)</w:t>
            </w:r>
          </w:p>
        </w:tc>
        <w:tc>
          <w:tcPr/>
          <w:p>
            <w:pPr>
              <w:pStyle w:val="Compact"/>
              <w:jc w:val="left"/>
            </w:pPr>
            <w:r>
              <w:t xml:space="preserve">yes</w:t>
            </w:r>
          </w:p>
        </w:tc>
      </w:tr>
      <w:tr>
        <w:tc>
          <w:tcPr/>
          <w:p>
            <w:pPr>
              <w:pStyle w:val="Compact"/>
              <w:jc w:val="left"/>
            </w:pPr>
            <w:r>
              <w:t xml:space="preserve">Model 1 V2 x2.28 cell about 5.6% under M1 (exceeding)</w:t>
            </w:r>
          </w:p>
        </w:tc>
        <w:tc>
          <w:tcPr/>
          <w:p>
            <w:pPr>
              <w:pStyle w:val="Compact"/>
              <w:jc w:val="left"/>
            </w:pPr>
            <w:r>
              <w:t xml:space="preserve">point estimate within 5.6 +/- 0.3%</w:t>
            </w:r>
          </w:p>
        </w:tc>
        <w:tc>
          <w:tcPr/>
          <w:p>
            <w:pPr>
              <w:pStyle w:val="Compact"/>
              <w:jc w:val="left"/>
            </w:pPr>
            <w:r>
              <w:t xml:space="preserve">5.63% [5.31, 5.95], exceeding, 20,000 trials (M0 5.18% [4.88, 5.50], nominal)</w:t>
            </w:r>
          </w:p>
        </w:tc>
        <w:tc>
          <w:tcPr/>
          <w:p>
            <w:pPr>
              <w:pStyle w:val="Compact"/>
              <w:jc w:val="left"/>
            </w:pPr>
            <w:r>
              <w:t xml:space="preserve">yes</w:t>
            </w:r>
          </w:p>
        </w:tc>
      </w:tr>
    </w:tbl>
    <w:p>
      <w:pPr>
        <w:pStyle w:val="BodyText"/>
      </w:pPr>
      <w:r>
        <w:t xml:space="preserve">Note to Table 5-16: in 2 boundary cells (absorption rate down), Cmax fails in every trial, so AUC0-last + Cmax passes in no trial under any analysis model and cannot rise; the registered criterion counts these cells as not rising.</w:t>
      </w:r>
    </w:p>
    <w:bookmarkEnd w:id="88"/>
    <w:bookmarkStart w:id="92" w:name="sensitivity-to-the-assay-lloq"/>
    <w:p>
      <w:pPr>
        <w:pStyle w:val="Heading2"/>
      </w:pPr>
      <w:r>
        <w:t xml:space="preserve">5.10 Sensitivity to the assay LLOQ</w:t>
      </w:r>
    </w:p>
    <w:p>
      <w:pPr>
        <w:pStyle w:val="TableCaption"/>
      </w:pPr>
      <w:r>
        <w:t xml:space="preserve">Table 5-17. Individual-level metrics by LLOQ (planned schedule, 60 to 90 kg, 20,000 subjects per model, same subjects and residual draws; residual error as estimated). Cliff columns: cliff populations, nominal days, 1-day definition.</w:t>
      </w:r>
    </w:p>
    <w:tbl>
      <w:tblPr>
        <w:tblStyle w:val="Table"/>
        <w:tblW w:type="pct" w:w="5000"/>
        <w:tblLook w:firstRow="1" w:lastRow="0" w:firstColumn="0" w:lastColumn="0" w:noHBand="0" w:noVBand="0" w:val="0020"/>
        <w:jc w:val="start"/>
        <w:tblCaption w:val="Table 5-17. Individual-level metrics by LLOQ (planned schedule, 60 to 90 kg, 20,000 subjects per model, same subjects and residual draws; residual error as estimated). Cliff columns: cliff populations, nominal days, 1-day definition."/>
      </w:tblPr>
      <w:tblGrid>
        <w:gridCol w:w="247"/>
        <w:gridCol w:w="459"/>
        <w:gridCol w:w="636"/>
        <w:gridCol w:w="671"/>
        <w:gridCol w:w="990"/>
        <w:gridCol w:w="1096"/>
        <w:gridCol w:w="1131"/>
        <w:gridCol w:w="777"/>
        <w:gridCol w:w="883"/>
        <w:gridCol w:w="1025"/>
      </w:tblGrid>
      <w:tr>
        <w:trPr>
          <w:tblHeader w:val="true"/>
        </w:trPr>
        <w:tc>
          <w:tcPr/>
          <w:p>
            <w:pPr>
              <w:pStyle w:val="Compact"/>
              <w:jc w:val="left"/>
            </w:pPr>
            <w:r>
              <w:t xml:space="preserve">Model</w:t>
            </w:r>
          </w:p>
        </w:tc>
        <w:tc>
          <w:tcPr/>
          <w:p>
            <w:pPr>
              <w:pStyle w:val="Compact"/>
              <w:jc w:val="left"/>
            </w:pPr>
            <w:r>
              <w:t xml:space="preserve">LLOQ (mg/L)</w:t>
            </w:r>
          </w:p>
        </w:tc>
        <w:tc>
          <w:tcPr/>
          <w:p>
            <w:pPr>
              <w:pStyle w:val="Compact"/>
              <w:jc w:val="left"/>
            </w:pPr>
            <w:r>
              <w:t xml:space="preserve">Reliable (i) (%)</w:t>
            </w:r>
          </w:p>
        </w:tc>
        <w:tc>
          <w:tcPr/>
          <w:p>
            <w:pPr>
              <w:pStyle w:val="Compact"/>
              <w:jc w:val="left"/>
            </w:pPr>
            <w:r>
              <w:t xml:space="preserve">Reliable (ii) (%)</w:t>
            </w:r>
          </w:p>
        </w:tc>
        <w:tc>
          <w:tcPr/>
          <w:p>
            <w:pPr>
              <w:pStyle w:val="Compact"/>
              <w:jc w:val="left"/>
            </w:pPr>
            <w:r>
              <w:t xml:space="preserve">Lambda-z not estimable (%)</w:t>
            </w:r>
          </w:p>
        </w:tc>
        <w:tc>
          <w:tcPr/>
          <w:p>
            <w:pPr>
              <w:pStyle w:val="Compact"/>
              <w:jc w:val="left"/>
            </w:pPr>
            <w:r>
              <w:t xml:space="preserve">Window coverage below 80% (%)</w:t>
            </w:r>
          </w:p>
        </w:tc>
        <w:tc>
          <w:tcPr/>
          <w:p>
            <w:pPr>
              <w:pStyle w:val="Compact"/>
              <w:jc w:val="left"/>
            </w:pPr>
            <w:r>
              <w:t xml:space="preserve">True extrapolation, median (%)</w:t>
            </w:r>
          </w:p>
        </w:tc>
        <w:tc>
          <w:tcPr/>
          <w:p>
            <w:pPr>
              <w:pStyle w:val="Compact"/>
              <w:jc w:val="left"/>
            </w:pPr>
            <w:r>
              <w:t xml:space="preserve">tlast, median (days)</w:t>
            </w:r>
          </w:p>
        </w:tc>
        <w:tc>
          <w:tcPr/>
          <w:p>
            <w:pPr>
              <w:pStyle w:val="Compact"/>
              <w:jc w:val="left"/>
            </w:pPr>
            <w:r>
              <w:t xml:space="preserve">LLOQ reached, study day</w:t>
            </w:r>
          </w:p>
        </w:tc>
        <w:tc>
          <w:tcPr/>
          <w:p>
            <w:pPr>
              <w:pStyle w:val="Compact"/>
              <w:jc w:val="left"/>
            </w:pPr>
            <w:r>
              <w:t xml:space="preserve">2 or more cliff samples (%)</w:t>
            </w:r>
          </w:p>
        </w:tc>
      </w:tr>
      <w:tr>
        <w:tc>
          <w:tcPr/>
          <w:p>
            <w:pPr>
              <w:pStyle w:val="Compact"/>
              <w:jc w:val="left"/>
            </w:pPr>
            <w:r>
              <w:t xml:space="preserve">2016</w:t>
            </w:r>
          </w:p>
        </w:tc>
        <w:tc>
          <w:tcPr/>
          <w:p>
            <w:pPr>
              <w:pStyle w:val="Compact"/>
              <w:jc w:val="left"/>
            </w:pPr>
            <w:r>
              <w:t xml:space="preserve">0.020</w:t>
            </w:r>
          </w:p>
        </w:tc>
        <w:tc>
          <w:tcPr/>
          <w:p>
            <w:pPr>
              <w:pStyle w:val="Compact"/>
              <w:jc w:val="left"/>
            </w:pPr>
            <w:r>
              <w:t xml:space="preserve">84.2</w:t>
            </w:r>
          </w:p>
        </w:tc>
        <w:tc>
          <w:tcPr/>
          <w:p>
            <w:pPr>
              <w:pStyle w:val="Compact"/>
              <w:jc w:val="left"/>
            </w:pPr>
            <w:r>
              <w:t xml:space="preserve">80.9</w:t>
            </w:r>
          </w:p>
        </w:tc>
        <w:tc>
          <w:tcPr/>
          <w:p>
            <w:pPr>
              <w:pStyle w:val="Compact"/>
              <w:jc w:val="left"/>
            </w:pPr>
            <w:r>
              <w:t xml:space="preserve">0.73</w:t>
            </w:r>
          </w:p>
        </w:tc>
        <w:tc>
          <w:tcPr/>
          <w:p>
            <w:pPr>
              <w:pStyle w:val="Compact"/>
              <w:jc w:val="left"/>
            </w:pPr>
            <w:r>
              <w:t xml:space="preserve">0.00</w:t>
            </w:r>
          </w:p>
        </w:tc>
        <w:tc>
          <w:tcPr/>
          <w:p>
            <w:pPr>
              <w:pStyle w:val="Compact"/>
              <w:jc w:val="left"/>
            </w:pPr>
            <w:r>
              <w:t xml:space="preserve">0.03</w:t>
            </w:r>
          </w:p>
        </w:tc>
        <w:tc>
          <w:tcPr/>
          <w:p>
            <w:pPr>
              <w:pStyle w:val="Compact"/>
              <w:jc w:val="left"/>
            </w:pPr>
            <w:r>
              <w:t xml:space="preserve">41.6</w:t>
            </w:r>
          </w:p>
        </w:tc>
        <w:tc>
          <w:tcPr/>
          <w:p>
            <w:pPr>
              <w:pStyle w:val="Compact"/>
              <w:jc w:val="left"/>
            </w:pPr>
            <w:r>
              <w:t xml:space="preserve">38.6</w:t>
            </w:r>
          </w:p>
        </w:tc>
        <w:tc>
          <w:tcPr/>
          <w:p>
            <w:pPr>
              <w:pStyle w:val="Compact"/>
              <w:jc w:val="left"/>
            </w:pPr>
            <w:r>
              <w:t xml:space="preserve">0.0</w:t>
            </w:r>
          </w:p>
        </w:tc>
      </w:tr>
      <w:tr>
        <w:tc>
          <w:tcPr/>
          <w:p>
            <w:pPr>
              <w:pStyle w:val="Compact"/>
              <w:jc w:val="left"/>
            </w:pPr>
            <w:r>
              <w:t xml:space="preserve">2016</w:t>
            </w:r>
          </w:p>
        </w:tc>
        <w:tc>
          <w:tcPr/>
          <w:p>
            <w:pPr>
              <w:pStyle w:val="Compact"/>
              <w:jc w:val="left"/>
            </w:pPr>
            <w:r>
              <w:t xml:space="preserve">0.050</w:t>
            </w:r>
          </w:p>
        </w:tc>
        <w:tc>
          <w:tcPr/>
          <w:p>
            <w:pPr>
              <w:pStyle w:val="Compact"/>
              <w:jc w:val="left"/>
            </w:pPr>
            <w:r>
              <w:t xml:space="preserve">86.0</w:t>
            </w:r>
          </w:p>
        </w:tc>
        <w:tc>
          <w:tcPr/>
          <w:p>
            <w:pPr>
              <w:pStyle w:val="Compact"/>
              <w:jc w:val="left"/>
            </w:pPr>
            <w:r>
              <w:t xml:space="preserve">80.9</w:t>
            </w:r>
          </w:p>
        </w:tc>
        <w:tc>
          <w:tcPr/>
          <w:p>
            <w:pPr>
              <w:pStyle w:val="Compact"/>
              <w:jc w:val="left"/>
            </w:pPr>
            <w:r>
              <w:t xml:space="preserve">1.31</w:t>
            </w:r>
          </w:p>
        </w:tc>
        <w:tc>
          <w:tcPr/>
          <w:p>
            <w:pPr>
              <w:pStyle w:val="Compact"/>
              <w:jc w:val="left"/>
            </w:pPr>
            <w:r>
              <w:t xml:space="preserve">0.00</w:t>
            </w:r>
          </w:p>
        </w:tc>
        <w:tc>
          <w:tcPr/>
          <w:p>
            <w:pPr>
              <w:pStyle w:val="Compact"/>
              <w:jc w:val="left"/>
            </w:pPr>
            <w:r>
              <w:t xml:space="preserve">0.50</w:t>
            </w:r>
          </w:p>
        </w:tc>
        <w:tc>
          <w:tcPr/>
          <w:p>
            <w:pPr>
              <w:pStyle w:val="Compact"/>
              <w:jc w:val="left"/>
            </w:pPr>
            <w:r>
              <w:t xml:space="preserve">35.0</w:t>
            </w:r>
          </w:p>
        </w:tc>
        <w:tc>
          <w:tcPr/>
          <w:p>
            <w:pPr>
              <w:pStyle w:val="Compact"/>
              <w:jc w:val="left"/>
            </w:pPr>
            <w:r>
              <w:t xml:space="preserve">38.5</w:t>
            </w:r>
          </w:p>
        </w:tc>
        <w:tc>
          <w:tcPr/>
          <w:p>
            <w:pPr>
              <w:pStyle w:val="Compact"/>
              <w:jc w:val="left"/>
            </w:pPr>
            <w:r>
              <w:t xml:space="preserve">0.0</w:t>
            </w:r>
          </w:p>
        </w:tc>
      </w:tr>
      <w:tr>
        <w:tc>
          <w:tcPr/>
          <w:p>
            <w:pPr>
              <w:pStyle w:val="Compact"/>
              <w:jc w:val="left"/>
            </w:pPr>
            <w:r>
              <w:t xml:space="preserve">2016</w:t>
            </w:r>
          </w:p>
        </w:tc>
        <w:tc>
          <w:tcPr/>
          <w:p>
            <w:pPr>
              <w:pStyle w:val="Compact"/>
              <w:jc w:val="left"/>
            </w:pPr>
            <w:r>
              <w:t xml:space="preserve">0.078</w:t>
            </w:r>
          </w:p>
        </w:tc>
        <w:tc>
          <w:tcPr/>
          <w:p>
            <w:pPr>
              <w:pStyle w:val="Compact"/>
              <w:jc w:val="left"/>
            </w:pPr>
            <w:r>
              <w:t xml:space="preserve">86.6</w:t>
            </w:r>
          </w:p>
        </w:tc>
        <w:tc>
          <w:tcPr/>
          <w:p>
            <w:pPr>
              <w:pStyle w:val="Compact"/>
              <w:jc w:val="left"/>
            </w:pPr>
            <w:r>
              <w:t xml:space="preserve">80.7</w:t>
            </w:r>
          </w:p>
        </w:tc>
        <w:tc>
          <w:tcPr/>
          <w:p>
            <w:pPr>
              <w:pStyle w:val="Compact"/>
              <w:jc w:val="left"/>
            </w:pPr>
            <w:r>
              <w:t xml:space="preserve">1.46</w:t>
            </w:r>
          </w:p>
        </w:tc>
        <w:tc>
          <w:tcPr/>
          <w:p>
            <w:pPr>
              <w:pStyle w:val="Compact"/>
              <w:jc w:val="left"/>
            </w:pPr>
            <w:r>
              <w:t xml:space="preserve">0.00</w:t>
            </w:r>
          </w:p>
        </w:tc>
        <w:tc>
          <w:tcPr/>
          <w:p>
            <w:pPr>
              <w:pStyle w:val="Compact"/>
              <w:jc w:val="left"/>
            </w:pPr>
            <w:r>
              <w:t xml:space="preserve">0.65</w:t>
            </w:r>
          </w:p>
        </w:tc>
        <w:tc>
          <w:tcPr/>
          <w:p>
            <w:pPr>
              <w:pStyle w:val="Compact"/>
              <w:jc w:val="left"/>
            </w:pPr>
            <w:r>
              <w:t xml:space="preserve">34.7</w:t>
            </w:r>
          </w:p>
        </w:tc>
        <w:tc>
          <w:tcPr/>
          <w:p>
            <w:pPr>
              <w:pStyle w:val="Compact"/>
              <w:jc w:val="left"/>
            </w:pPr>
            <w:r>
              <w:t xml:space="preserve">38.5</w:t>
            </w:r>
          </w:p>
        </w:tc>
        <w:tc>
          <w:tcPr/>
          <w:p>
            <w:pPr>
              <w:pStyle w:val="Compact"/>
              <w:jc w:val="left"/>
            </w:pPr>
            <w:r>
              <w:t xml:space="preserve">0.0</w:t>
            </w:r>
          </w:p>
        </w:tc>
      </w:tr>
      <w:tr>
        <w:tc>
          <w:tcPr/>
          <w:p>
            <w:pPr>
              <w:pStyle w:val="Compact"/>
              <w:jc w:val="left"/>
            </w:pPr>
            <w:r>
              <w:t xml:space="preserve">2016</w:t>
            </w:r>
          </w:p>
        </w:tc>
        <w:tc>
          <w:tcPr/>
          <w:p>
            <w:pPr>
              <w:pStyle w:val="Compact"/>
              <w:jc w:val="left"/>
            </w:pPr>
            <w:r>
              <w:t xml:space="preserve">0.100</w:t>
            </w:r>
          </w:p>
        </w:tc>
        <w:tc>
          <w:tcPr/>
          <w:p>
            <w:pPr>
              <w:pStyle w:val="Compact"/>
              <w:jc w:val="left"/>
            </w:pPr>
            <w:r>
              <w:t xml:space="preserve">86.9</w:t>
            </w:r>
          </w:p>
        </w:tc>
        <w:tc>
          <w:tcPr/>
          <w:p>
            <w:pPr>
              <w:pStyle w:val="Compact"/>
              <w:jc w:val="left"/>
            </w:pPr>
            <w:r>
              <w:t xml:space="preserve">80.9</w:t>
            </w:r>
          </w:p>
        </w:tc>
        <w:tc>
          <w:tcPr/>
          <w:p>
            <w:pPr>
              <w:pStyle w:val="Compact"/>
              <w:jc w:val="left"/>
            </w:pPr>
            <w:r>
              <w:t xml:space="preserve">1.48</w:t>
            </w:r>
          </w:p>
        </w:tc>
        <w:tc>
          <w:tcPr/>
          <w:p>
            <w:pPr>
              <w:pStyle w:val="Compact"/>
              <w:jc w:val="left"/>
            </w:pPr>
            <w:r>
              <w:t xml:space="preserve">0.00</w:t>
            </w:r>
          </w:p>
        </w:tc>
        <w:tc>
          <w:tcPr/>
          <w:p>
            <w:pPr>
              <w:pStyle w:val="Compact"/>
              <w:jc w:val="left"/>
            </w:pPr>
            <w:r>
              <w:t xml:space="preserve">0.69</w:t>
            </w:r>
          </w:p>
        </w:tc>
        <w:tc>
          <w:tcPr/>
          <w:p>
            <w:pPr>
              <w:pStyle w:val="Compact"/>
              <w:jc w:val="left"/>
            </w:pPr>
            <w:r>
              <w:t xml:space="preserve">34.7</w:t>
            </w:r>
          </w:p>
        </w:tc>
        <w:tc>
          <w:tcPr/>
          <w:p>
            <w:pPr>
              <w:pStyle w:val="Compact"/>
              <w:jc w:val="left"/>
            </w:pPr>
            <w:r>
              <w:t xml:space="preserve">38.4</w:t>
            </w:r>
          </w:p>
        </w:tc>
        <w:tc>
          <w:tcPr/>
          <w:p>
            <w:pPr>
              <w:pStyle w:val="Compact"/>
              <w:jc w:val="left"/>
            </w:pPr>
            <w:r>
              <w:t xml:space="preserve">0.0</w:t>
            </w:r>
          </w:p>
        </w:tc>
      </w:tr>
      <w:tr>
        <w:tc>
          <w:tcPr/>
          <w:p>
            <w:pPr>
              <w:pStyle w:val="Compact"/>
              <w:jc w:val="left"/>
            </w:pPr>
            <w:r>
              <w:t xml:space="preserve">2016</w:t>
            </w:r>
          </w:p>
        </w:tc>
        <w:tc>
          <w:tcPr/>
          <w:p>
            <w:pPr>
              <w:pStyle w:val="Compact"/>
              <w:jc w:val="left"/>
            </w:pPr>
            <w:r>
              <w:t xml:space="preserve">0.200</w:t>
            </w:r>
          </w:p>
        </w:tc>
        <w:tc>
          <w:tcPr/>
          <w:p>
            <w:pPr>
              <w:pStyle w:val="Compact"/>
              <w:jc w:val="left"/>
            </w:pPr>
            <w:r>
              <w:t xml:space="preserve">87.7</w:t>
            </w:r>
          </w:p>
        </w:tc>
        <w:tc>
          <w:tcPr/>
          <w:p>
            <w:pPr>
              <w:pStyle w:val="Compact"/>
              <w:jc w:val="left"/>
            </w:pPr>
            <w:r>
              <w:t xml:space="preserve">81.1</w:t>
            </w:r>
          </w:p>
        </w:tc>
        <w:tc>
          <w:tcPr/>
          <w:p>
            <w:pPr>
              <w:pStyle w:val="Compact"/>
              <w:jc w:val="left"/>
            </w:pPr>
            <w:r>
              <w:t xml:space="preserve">1.57</w:t>
            </w:r>
          </w:p>
        </w:tc>
        <w:tc>
          <w:tcPr/>
          <w:p>
            <w:pPr>
              <w:pStyle w:val="Compact"/>
              <w:jc w:val="left"/>
            </w:pPr>
            <w:r>
              <w:t xml:space="preserve">0.00</w:t>
            </w:r>
          </w:p>
        </w:tc>
        <w:tc>
          <w:tcPr/>
          <w:p>
            <w:pPr>
              <w:pStyle w:val="Compact"/>
              <w:jc w:val="left"/>
            </w:pPr>
            <w:r>
              <w:t xml:space="preserve">0.76</w:t>
            </w:r>
          </w:p>
        </w:tc>
        <w:tc>
          <w:tcPr/>
          <w:p>
            <w:pPr>
              <w:pStyle w:val="Compact"/>
              <w:jc w:val="left"/>
            </w:pPr>
            <w:r>
              <w:t xml:space="preserve">34.6</w:t>
            </w:r>
          </w:p>
        </w:tc>
        <w:tc>
          <w:tcPr/>
          <w:p>
            <w:pPr>
              <w:pStyle w:val="Compact"/>
              <w:jc w:val="left"/>
            </w:pPr>
            <w:r>
              <w:t xml:space="preserve">38.2</w:t>
            </w:r>
          </w:p>
        </w:tc>
        <w:tc>
          <w:tcPr/>
          <w:p>
            <w:pPr>
              <w:pStyle w:val="Compact"/>
              <w:jc w:val="left"/>
            </w:pPr>
            <w:r>
              <w:t xml:space="preserve">0.0</w:t>
            </w:r>
          </w:p>
        </w:tc>
      </w:tr>
      <w:tr>
        <w:tc>
          <w:tcPr/>
          <w:p>
            <w:pPr>
              <w:pStyle w:val="Compact"/>
              <w:jc w:val="left"/>
            </w:pPr>
            <w:r>
              <w:t xml:space="preserve">2016</w:t>
            </w:r>
          </w:p>
        </w:tc>
        <w:tc>
          <w:tcPr/>
          <w:p>
            <w:pPr>
              <w:pStyle w:val="Compact"/>
              <w:jc w:val="left"/>
            </w:pPr>
            <w:r>
              <w:t xml:space="preserve">0.500</w:t>
            </w:r>
          </w:p>
        </w:tc>
        <w:tc>
          <w:tcPr/>
          <w:p>
            <w:pPr>
              <w:pStyle w:val="Compact"/>
              <w:jc w:val="left"/>
            </w:pPr>
            <w:r>
              <w:t xml:space="preserve">88.0</w:t>
            </w:r>
          </w:p>
        </w:tc>
        <w:tc>
          <w:tcPr/>
          <w:p>
            <w:pPr>
              <w:pStyle w:val="Compact"/>
              <w:jc w:val="left"/>
            </w:pPr>
            <w:r>
              <w:t xml:space="preserve">79.8</w:t>
            </w:r>
          </w:p>
        </w:tc>
        <w:tc>
          <w:tcPr/>
          <w:p>
            <w:pPr>
              <w:pStyle w:val="Compact"/>
              <w:jc w:val="left"/>
            </w:pPr>
            <w:r>
              <w:t xml:space="preserve">1.88</w:t>
            </w:r>
          </w:p>
        </w:tc>
        <w:tc>
          <w:tcPr/>
          <w:p>
            <w:pPr>
              <w:pStyle w:val="Compact"/>
              <w:jc w:val="left"/>
            </w:pPr>
            <w:r>
              <w:t xml:space="preserve">0.01</w:t>
            </w:r>
          </w:p>
        </w:tc>
        <w:tc>
          <w:tcPr/>
          <w:p>
            <w:pPr>
              <w:pStyle w:val="Compact"/>
              <w:jc w:val="left"/>
            </w:pPr>
            <w:r>
              <w:t xml:space="preserve">1.00</w:t>
            </w:r>
          </w:p>
        </w:tc>
        <w:tc>
          <w:tcPr/>
          <w:p>
            <w:pPr>
              <w:pStyle w:val="Compact"/>
              <w:jc w:val="left"/>
            </w:pPr>
            <w:r>
              <w:t xml:space="preserve">34.5</w:t>
            </w:r>
          </w:p>
        </w:tc>
        <w:tc>
          <w:tcPr/>
          <w:p>
            <w:pPr>
              <w:pStyle w:val="Compact"/>
              <w:jc w:val="left"/>
            </w:pPr>
            <w:r>
              <w:t xml:space="preserve">37.7</w:t>
            </w:r>
          </w:p>
        </w:tc>
        <w:tc>
          <w:tcPr/>
          <w:p>
            <w:pPr>
              <w:pStyle w:val="Compact"/>
              <w:jc w:val="left"/>
            </w:pPr>
            <w:r>
              <w:t xml:space="preserve">0.0</w:t>
            </w:r>
          </w:p>
        </w:tc>
      </w:tr>
      <w:tr>
        <w:tc>
          <w:tcPr/>
          <w:p>
            <w:pPr>
              <w:pStyle w:val="Compact"/>
              <w:jc w:val="left"/>
            </w:pPr>
            <w:r>
              <w:t xml:space="preserve">2020</w:t>
            </w:r>
          </w:p>
        </w:tc>
        <w:tc>
          <w:tcPr/>
          <w:p>
            <w:pPr>
              <w:pStyle w:val="Compact"/>
              <w:jc w:val="left"/>
            </w:pPr>
            <w:r>
              <w:t xml:space="preserve">0.020</w:t>
            </w:r>
          </w:p>
        </w:tc>
        <w:tc>
          <w:tcPr/>
          <w:p>
            <w:pPr>
              <w:pStyle w:val="Compact"/>
              <w:jc w:val="left"/>
            </w:pPr>
            <w:r>
              <w:t xml:space="preserve">85.9</w:t>
            </w:r>
          </w:p>
        </w:tc>
        <w:tc>
          <w:tcPr/>
          <w:p>
            <w:pPr>
              <w:pStyle w:val="Compact"/>
              <w:jc w:val="left"/>
            </w:pPr>
            <w:r>
              <w:t xml:space="preserve">81.4</w:t>
            </w:r>
          </w:p>
        </w:tc>
        <w:tc>
          <w:tcPr/>
          <w:p>
            <w:pPr>
              <w:pStyle w:val="Compact"/>
              <w:jc w:val="left"/>
            </w:pPr>
            <w:r>
              <w:t xml:space="preserve">0.28</w:t>
            </w:r>
          </w:p>
        </w:tc>
        <w:tc>
          <w:tcPr/>
          <w:p>
            <w:pPr>
              <w:pStyle w:val="Compact"/>
              <w:jc w:val="left"/>
            </w:pPr>
            <w:r>
              <w:t xml:space="preserve">0.00</w:t>
            </w:r>
          </w:p>
        </w:tc>
        <w:tc>
          <w:tcPr/>
          <w:p>
            <w:pPr>
              <w:pStyle w:val="Compact"/>
              <w:jc w:val="left"/>
            </w:pPr>
            <w:r>
              <w:t xml:space="preserve">0.05</w:t>
            </w:r>
          </w:p>
        </w:tc>
        <w:tc>
          <w:tcPr/>
          <w:p>
            <w:pPr>
              <w:pStyle w:val="Compact"/>
              <w:jc w:val="left"/>
            </w:pPr>
            <w:r>
              <w:t xml:space="preserve">42.2</w:t>
            </w:r>
          </w:p>
        </w:tc>
        <w:tc>
          <w:tcPr/>
          <w:p>
            <w:pPr>
              <w:pStyle w:val="Compact"/>
              <w:jc w:val="left"/>
            </w:pPr>
            <w:r>
              <w:t xml:space="preserve">40.9</w:t>
            </w:r>
          </w:p>
        </w:tc>
        <w:tc>
          <w:tcPr/>
          <w:p>
            <w:pPr>
              <w:pStyle w:val="Compact"/>
              <w:jc w:val="left"/>
            </w:pPr>
            <w:r>
              <w:t xml:space="preserve">0.0</w:t>
            </w:r>
          </w:p>
        </w:tc>
      </w:tr>
      <w:tr>
        <w:tc>
          <w:tcPr/>
          <w:p>
            <w:pPr>
              <w:pStyle w:val="Compact"/>
              <w:jc w:val="left"/>
            </w:pPr>
            <w:r>
              <w:t xml:space="preserve">2020</w:t>
            </w:r>
          </w:p>
        </w:tc>
        <w:tc>
          <w:tcPr/>
          <w:p>
            <w:pPr>
              <w:pStyle w:val="Compact"/>
              <w:jc w:val="left"/>
            </w:pPr>
            <w:r>
              <w:t xml:space="preserve">0.050</w:t>
            </w:r>
          </w:p>
        </w:tc>
        <w:tc>
          <w:tcPr/>
          <w:p>
            <w:pPr>
              <w:pStyle w:val="Compact"/>
              <w:jc w:val="left"/>
            </w:pPr>
            <w:r>
              <w:t xml:space="preserve">90.4</w:t>
            </w:r>
          </w:p>
        </w:tc>
        <w:tc>
          <w:tcPr/>
          <w:p>
            <w:pPr>
              <w:pStyle w:val="Compact"/>
              <w:jc w:val="left"/>
            </w:pPr>
            <w:r>
              <w:t xml:space="preserve">83.4</w:t>
            </w:r>
          </w:p>
        </w:tc>
        <w:tc>
          <w:tcPr/>
          <w:p>
            <w:pPr>
              <w:pStyle w:val="Compact"/>
              <w:jc w:val="left"/>
            </w:pPr>
            <w:r>
              <w:t xml:space="preserve">0.55</w:t>
            </w:r>
          </w:p>
        </w:tc>
        <w:tc>
          <w:tcPr/>
          <w:p>
            <w:pPr>
              <w:pStyle w:val="Compact"/>
              <w:jc w:val="left"/>
            </w:pPr>
            <w:r>
              <w:t xml:space="preserve">0.00</w:t>
            </w:r>
          </w:p>
        </w:tc>
        <w:tc>
          <w:tcPr/>
          <w:p>
            <w:pPr>
              <w:pStyle w:val="Compact"/>
              <w:jc w:val="left"/>
            </w:pPr>
            <w:r>
              <w:t xml:space="preserve">0.51</w:t>
            </w:r>
          </w:p>
        </w:tc>
        <w:tc>
          <w:tcPr/>
          <w:p>
            <w:pPr>
              <w:pStyle w:val="Compact"/>
              <w:jc w:val="left"/>
            </w:pPr>
            <w:r>
              <w:t xml:space="preserve">35.7</w:t>
            </w:r>
          </w:p>
        </w:tc>
        <w:tc>
          <w:tcPr/>
          <w:p>
            <w:pPr>
              <w:pStyle w:val="Compact"/>
              <w:jc w:val="left"/>
            </w:pPr>
            <w:r>
              <w:t xml:space="preserve">40.8</w:t>
            </w:r>
          </w:p>
        </w:tc>
        <w:tc>
          <w:tcPr/>
          <w:p>
            <w:pPr>
              <w:pStyle w:val="Compact"/>
              <w:jc w:val="left"/>
            </w:pPr>
            <w:r>
              <w:t xml:space="preserve">0.0</w:t>
            </w:r>
          </w:p>
        </w:tc>
      </w:tr>
      <w:tr>
        <w:tc>
          <w:tcPr/>
          <w:p>
            <w:pPr>
              <w:pStyle w:val="Compact"/>
              <w:jc w:val="left"/>
            </w:pPr>
            <w:r>
              <w:t xml:space="preserve">2020</w:t>
            </w:r>
          </w:p>
        </w:tc>
        <w:tc>
          <w:tcPr/>
          <w:p>
            <w:pPr>
              <w:pStyle w:val="Compact"/>
              <w:jc w:val="left"/>
            </w:pPr>
            <w:r>
              <w:t xml:space="preserve">0.078</w:t>
            </w:r>
          </w:p>
        </w:tc>
        <w:tc>
          <w:tcPr/>
          <w:p>
            <w:pPr>
              <w:pStyle w:val="Compact"/>
              <w:jc w:val="left"/>
            </w:pPr>
            <w:r>
              <w:t xml:space="preserve">91.8</w:t>
            </w:r>
          </w:p>
        </w:tc>
        <w:tc>
          <w:tcPr/>
          <w:p>
            <w:pPr>
              <w:pStyle w:val="Compact"/>
              <w:jc w:val="left"/>
            </w:pPr>
            <w:r>
              <w:t xml:space="preserve">83.9</w:t>
            </w:r>
          </w:p>
        </w:tc>
        <w:tc>
          <w:tcPr/>
          <w:p>
            <w:pPr>
              <w:pStyle w:val="Compact"/>
              <w:jc w:val="left"/>
            </w:pPr>
            <w:r>
              <w:t xml:space="preserve">0.62</w:t>
            </w:r>
          </w:p>
        </w:tc>
        <w:tc>
          <w:tcPr/>
          <w:p>
            <w:pPr>
              <w:pStyle w:val="Compact"/>
              <w:jc w:val="left"/>
            </w:pPr>
            <w:r>
              <w:t xml:space="preserve">0.00</w:t>
            </w:r>
          </w:p>
        </w:tc>
        <w:tc>
          <w:tcPr/>
          <w:p>
            <w:pPr>
              <w:pStyle w:val="Compact"/>
              <w:jc w:val="left"/>
            </w:pPr>
            <w:r>
              <w:t xml:space="preserve">0.64</w:t>
            </w:r>
          </w:p>
        </w:tc>
        <w:tc>
          <w:tcPr/>
          <w:p>
            <w:pPr>
              <w:pStyle w:val="Compact"/>
              <w:jc w:val="left"/>
            </w:pPr>
            <w:r>
              <w:t xml:space="preserve">35.4</w:t>
            </w:r>
          </w:p>
        </w:tc>
        <w:tc>
          <w:tcPr/>
          <w:p>
            <w:pPr>
              <w:pStyle w:val="Compact"/>
              <w:jc w:val="left"/>
            </w:pPr>
            <w:r>
              <w:t xml:space="preserve">40.8</w:t>
            </w:r>
          </w:p>
        </w:tc>
        <w:tc>
          <w:tcPr/>
          <w:p>
            <w:pPr>
              <w:pStyle w:val="Compact"/>
              <w:jc w:val="left"/>
            </w:pPr>
            <w:r>
              <w:t xml:space="preserve">0.0</w:t>
            </w:r>
          </w:p>
        </w:tc>
      </w:tr>
      <w:tr>
        <w:tc>
          <w:tcPr/>
          <w:p>
            <w:pPr>
              <w:pStyle w:val="Compact"/>
              <w:jc w:val="left"/>
            </w:pPr>
            <w:r>
              <w:t xml:space="preserve">2020</w:t>
            </w:r>
          </w:p>
        </w:tc>
        <w:tc>
          <w:tcPr/>
          <w:p>
            <w:pPr>
              <w:pStyle w:val="Compact"/>
              <w:jc w:val="left"/>
            </w:pPr>
            <w:r>
              <w:t xml:space="preserve">0.100</w:t>
            </w:r>
          </w:p>
        </w:tc>
        <w:tc>
          <w:tcPr/>
          <w:p>
            <w:pPr>
              <w:pStyle w:val="Compact"/>
              <w:jc w:val="left"/>
            </w:pPr>
            <w:r>
              <w:t xml:space="preserve">92.3</w:t>
            </w:r>
          </w:p>
        </w:tc>
        <w:tc>
          <w:tcPr/>
          <w:p>
            <w:pPr>
              <w:pStyle w:val="Compact"/>
              <w:jc w:val="left"/>
            </w:pPr>
            <w:r>
              <w:t xml:space="preserve">84.1</w:t>
            </w:r>
          </w:p>
        </w:tc>
        <w:tc>
          <w:tcPr/>
          <w:p>
            <w:pPr>
              <w:pStyle w:val="Compact"/>
              <w:jc w:val="left"/>
            </w:pPr>
            <w:r>
              <w:t xml:space="preserve">0.64</w:t>
            </w:r>
          </w:p>
        </w:tc>
        <w:tc>
          <w:tcPr/>
          <w:p>
            <w:pPr>
              <w:pStyle w:val="Compact"/>
              <w:jc w:val="left"/>
            </w:pPr>
            <w:r>
              <w:t xml:space="preserve">0.00</w:t>
            </w:r>
          </w:p>
        </w:tc>
        <w:tc>
          <w:tcPr/>
          <w:p>
            <w:pPr>
              <w:pStyle w:val="Compact"/>
              <w:jc w:val="left"/>
            </w:pPr>
            <w:r>
              <w:t xml:space="preserve">0.67</w:t>
            </w:r>
          </w:p>
        </w:tc>
        <w:tc>
          <w:tcPr/>
          <w:p>
            <w:pPr>
              <w:pStyle w:val="Compact"/>
              <w:jc w:val="left"/>
            </w:pPr>
            <w:r>
              <w:t xml:space="preserve">35.3</w:t>
            </w:r>
          </w:p>
        </w:tc>
        <w:tc>
          <w:tcPr/>
          <w:p>
            <w:pPr>
              <w:pStyle w:val="Compact"/>
              <w:jc w:val="left"/>
            </w:pPr>
            <w:r>
              <w:t xml:space="preserve">40.7</w:t>
            </w:r>
          </w:p>
        </w:tc>
        <w:tc>
          <w:tcPr/>
          <w:p>
            <w:pPr>
              <w:pStyle w:val="Compact"/>
              <w:jc w:val="left"/>
            </w:pPr>
            <w:r>
              <w:t xml:space="preserve">0.0</w:t>
            </w:r>
          </w:p>
        </w:tc>
      </w:tr>
      <w:tr>
        <w:tc>
          <w:tcPr/>
          <w:p>
            <w:pPr>
              <w:pStyle w:val="Compact"/>
              <w:jc w:val="left"/>
            </w:pPr>
            <w:r>
              <w:t xml:space="preserve">2020</w:t>
            </w:r>
          </w:p>
        </w:tc>
        <w:tc>
          <w:tcPr/>
          <w:p>
            <w:pPr>
              <w:pStyle w:val="Compact"/>
              <w:jc w:val="left"/>
            </w:pPr>
            <w:r>
              <w:t xml:space="preserve">0.200</w:t>
            </w:r>
          </w:p>
        </w:tc>
        <w:tc>
          <w:tcPr/>
          <w:p>
            <w:pPr>
              <w:pStyle w:val="Compact"/>
              <w:jc w:val="left"/>
            </w:pPr>
            <w:r>
              <w:t xml:space="preserve">93.6</w:t>
            </w:r>
          </w:p>
        </w:tc>
        <w:tc>
          <w:tcPr/>
          <w:p>
            <w:pPr>
              <w:pStyle w:val="Compact"/>
              <w:jc w:val="left"/>
            </w:pPr>
            <w:r>
              <w:t xml:space="preserve">84.6</w:t>
            </w:r>
          </w:p>
        </w:tc>
        <w:tc>
          <w:tcPr/>
          <w:p>
            <w:pPr>
              <w:pStyle w:val="Compact"/>
              <w:jc w:val="left"/>
            </w:pPr>
            <w:r>
              <w:t xml:space="preserve">0.68</w:t>
            </w:r>
          </w:p>
        </w:tc>
        <w:tc>
          <w:tcPr/>
          <w:p>
            <w:pPr>
              <w:pStyle w:val="Compact"/>
              <w:jc w:val="left"/>
            </w:pPr>
            <w:r>
              <w:t xml:space="preserve">0.00</w:t>
            </w:r>
          </w:p>
        </w:tc>
        <w:tc>
          <w:tcPr/>
          <w:p>
            <w:pPr>
              <w:pStyle w:val="Compact"/>
              <w:jc w:val="left"/>
            </w:pPr>
            <w:r>
              <w:t xml:space="preserve">0.74</w:t>
            </w:r>
          </w:p>
        </w:tc>
        <w:tc>
          <w:tcPr/>
          <w:p>
            <w:pPr>
              <w:pStyle w:val="Compact"/>
              <w:jc w:val="left"/>
            </w:pPr>
            <w:r>
              <w:t xml:space="preserve">35.3</w:t>
            </w:r>
          </w:p>
        </w:tc>
        <w:tc>
          <w:tcPr/>
          <w:p>
            <w:pPr>
              <w:pStyle w:val="Compact"/>
              <w:jc w:val="left"/>
            </w:pPr>
            <w:r>
              <w:t xml:space="preserve">40.5</w:t>
            </w:r>
          </w:p>
        </w:tc>
        <w:tc>
          <w:tcPr/>
          <w:p>
            <w:pPr>
              <w:pStyle w:val="Compact"/>
              <w:jc w:val="left"/>
            </w:pPr>
            <w:r>
              <w:t xml:space="preserve">0.0</w:t>
            </w:r>
          </w:p>
        </w:tc>
      </w:tr>
      <w:tr>
        <w:tc>
          <w:tcPr/>
          <w:p>
            <w:pPr>
              <w:pStyle w:val="Compact"/>
              <w:jc w:val="left"/>
            </w:pPr>
            <w:r>
              <w:t xml:space="preserve">2020</w:t>
            </w:r>
          </w:p>
        </w:tc>
        <w:tc>
          <w:tcPr/>
          <w:p>
            <w:pPr>
              <w:pStyle w:val="Compact"/>
              <w:jc w:val="left"/>
            </w:pPr>
            <w:r>
              <w:t xml:space="preserve">0.500</w:t>
            </w:r>
          </w:p>
        </w:tc>
        <w:tc>
          <w:tcPr/>
          <w:p>
            <w:pPr>
              <w:pStyle w:val="Compact"/>
              <w:jc w:val="left"/>
            </w:pPr>
            <w:r>
              <w:t xml:space="preserve">95.0</w:t>
            </w:r>
          </w:p>
        </w:tc>
        <w:tc>
          <w:tcPr/>
          <w:p>
            <w:pPr>
              <w:pStyle w:val="Compact"/>
              <w:jc w:val="left"/>
            </w:pPr>
            <w:r>
              <w:t xml:space="preserve">83.6</w:t>
            </w:r>
          </w:p>
        </w:tc>
        <w:tc>
          <w:tcPr/>
          <w:p>
            <w:pPr>
              <w:pStyle w:val="Compact"/>
              <w:jc w:val="left"/>
            </w:pPr>
            <w:r>
              <w:t xml:space="preserve">0.83</w:t>
            </w:r>
          </w:p>
        </w:tc>
        <w:tc>
          <w:tcPr/>
          <w:p>
            <w:pPr>
              <w:pStyle w:val="Compact"/>
              <w:jc w:val="left"/>
            </w:pPr>
            <w:r>
              <w:t xml:space="preserve">0.00</w:t>
            </w:r>
          </w:p>
        </w:tc>
        <w:tc>
          <w:tcPr/>
          <w:p>
            <w:pPr>
              <w:pStyle w:val="Compact"/>
              <w:jc w:val="left"/>
            </w:pPr>
            <w:r>
              <w:t xml:space="preserve">0.96</w:t>
            </w:r>
          </w:p>
        </w:tc>
        <w:tc>
          <w:tcPr/>
          <w:p>
            <w:pPr>
              <w:pStyle w:val="Compact"/>
              <w:jc w:val="left"/>
            </w:pPr>
            <w:r>
              <w:t xml:space="preserve">35.1</w:t>
            </w:r>
          </w:p>
        </w:tc>
        <w:tc>
          <w:tcPr/>
          <w:p>
            <w:pPr>
              <w:pStyle w:val="Compact"/>
              <w:jc w:val="left"/>
            </w:pPr>
            <w:r>
              <w:t xml:space="preserve">40.0</w:t>
            </w:r>
          </w:p>
        </w:tc>
        <w:tc>
          <w:tcPr/>
          <w:p>
            <w:pPr>
              <w:pStyle w:val="Compact"/>
              <w:jc w:val="left"/>
            </w:pPr>
            <w:r>
              <w:t xml:space="preserve">0.0</w:t>
            </w:r>
          </w:p>
        </w:tc>
      </w:tr>
    </w:tbl>
    <w:p/>
    <w:p>
      <w:pPr>
        <w:pStyle w:val="TableCaption"/>
      </w:pPr>
      <w:r>
        <w:t xml:space="preserve">Table 5-18. Boundary type I error (%) by LLOQ (columns, mg/L), primary PK model, 5,000 trials per cell, residual error as estimated.</w:t>
      </w:r>
    </w:p>
    <w:tbl>
      <w:tblPr>
        <w:tblStyle w:val="Table"/>
        <w:tblW w:type="pct" w:w="5000"/>
        <w:tblLook w:firstRow="1" w:lastRow="0" w:firstColumn="0" w:lastColumn="0" w:noHBand="0" w:noVBand="0" w:val="0020"/>
        <w:jc w:val="start"/>
        <w:tblCaption w:val="Table 5-18. Boundary type I error (%) by LLOQ (columns, mg/L), primary PK model, 5,000 trials per cell, residual error as estimated."/>
      </w:tblPr>
      <w:tblGrid>
        <w:gridCol w:w="1349"/>
        <w:gridCol w:w="629"/>
        <w:gridCol w:w="2159"/>
        <w:gridCol w:w="629"/>
        <w:gridCol w:w="629"/>
        <w:gridCol w:w="629"/>
        <w:gridCol w:w="629"/>
        <w:gridCol w:w="629"/>
        <w:gridCol w:w="629"/>
      </w:tblGrid>
      <w:tr>
        <w:trPr>
          <w:tblHeader w:val="true"/>
        </w:trPr>
        <w:tc>
          <w:tcPr/>
          <w:p>
            <w:pPr>
              <w:pStyle w:val="Compact"/>
              <w:jc w:val="left"/>
            </w:pPr>
            <w:r>
              <w:t xml:space="preserve">Scenario</w:t>
            </w:r>
          </w:p>
        </w:tc>
        <w:tc>
          <w:tcPr/>
          <w:p>
            <w:pPr>
              <w:pStyle w:val="Compact"/>
              <w:jc w:val="left"/>
            </w:pPr>
            <w:r>
              <w:t xml:space="preserve">Model</w:t>
            </w:r>
          </w:p>
        </w:tc>
        <w:tc>
          <w:tcPr/>
          <w:p>
            <w:pPr>
              <w:pStyle w:val="Compact"/>
              <w:jc w:val="left"/>
            </w:pPr>
            <w:r>
              <w:t xml:space="preserve">Configuration</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0.078</w:t>
            </w:r>
          </w:p>
        </w:tc>
        <w:tc>
          <w:tcPr/>
          <w:p>
            <w:pPr>
              <w:pStyle w:val="Compact"/>
              <w:jc w:val="left"/>
            </w:pPr>
            <w:r>
              <w:t xml:space="preserve">0.1</w:t>
            </w:r>
          </w:p>
        </w:tc>
        <w:tc>
          <w:tcPr/>
          <w:p>
            <w:pPr>
              <w:pStyle w:val="Compact"/>
              <w:jc w:val="left"/>
            </w:pPr>
            <w:r>
              <w:t xml:space="preserve">0.2</w:t>
            </w:r>
          </w:p>
        </w:tc>
        <w:tc>
          <w:tcPr/>
          <w:p>
            <w:pPr>
              <w:pStyle w:val="Compact"/>
              <w:jc w:val="left"/>
            </w:pPr>
            <w:r>
              <w:t xml:space="preserve">0.5</w:t>
            </w:r>
          </w:p>
        </w:tc>
      </w:tr>
      <w:tr>
        <w:tc>
          <w:tcPr/>
          <w:p>
            <w:pPr>
              <w:pStyle w:val="Compact"/>
              <w:jc w:val="left"/>
            </w:pPr>
            <w:r>
              <w:t xml:space="preserve">F_down_080</w:t>
            </w:r>
          </w:p>
        </w:tc>
        <w:tc>
          <w:tcPr/>
          <w:p>
            <w:pPr>
              <w:pStyle w:val="Compact"/>
              <w:jc w:val="left"/>
            </w:pPr>
            <w:r>
              <w:t xml:space="preserve">M0</w:t>
            </w:r>
          </w:p>
        </w:tc>
        <w:tc>
          <w:tcPr/>
          <w:p>
            <w:pPr>
              <w:pStyle w:val="Compact"/>
              <w:jc w:val="left"/>
            </w:pPr>
            <w:r>
              <w:t xml:space="preserve">AUC0-inf A (ii) + Cmax</w:t>
            </w:r>
          </w:p>
        </w:tc>
        <w:tc>
          <w:tcPr/>
          <w:p>
            <w:pPr>
              <w:pStyle w:val="Compact"/>
              <w:jc w:val="left"/>
            </w:pPr>
            <w:r>
              <w:t xml:space="preserve">6.74</w:t>
            </w:r>
          </w:p>
        </w:tc>
        <w:tc>
          <w:tcPr/>
          <w:p>
            <w:pPr>
              <w:pStyle w:val="Compact"/>
              <w:jc w:val="left"/>
            </w:pPr>
            <w:r>
              <w:t xml:space="preserve">7.34</w:t>
            </w:r>
          </w:p>
        </w:tc>
        <w:tc>
          <w:tcPr/>
          <w:p>
            <w:pPr>
              <w:pStyle w:val="Compact"/>
              <w:jc w:val="left"/>
            </w:pPr>
            <w:r>
              <w:t xml:space="preserve">7.60</w:t>
            </w:r>
          </w:p>
        </w:tc>
        <w:tc>
          <w:tcPr/>
          <w:p>
            <w:pPr>
              <w:pStyle w:val="Compact"/>
              <w:jc w:val="left"/>
            </w:pPr>
            <w:r>
              <w:t xml:space="preserve">7.58</w:t>
            </w:r>
          </w:p>
        </w:tc>
        <w:tc>
          <w:tcPr/>
          <w:p>
            <w:pPr>
              <w:pStyle w:val="Compact"/>
              <w:jc w:val="left"/>
            </w:pPr>
            <w:r>
              <w:t xml:space="preserve">8.10</w:t>
            </w:r>
          </w:p>
        </w:tc>
        <w:tc>
          <w:tcPr/>
          <w:p>
            <w:pPr>
              <w:pStyle w:val="Compact"/>
              <w:jc w:val="left"/>
            </w:pPr>
            <w:r>
              <w:t xml:space="preserve">8.60</w:t>
            </w:r>
          </w:p>
        </w:tc>
      </w:tr>
      <w:tr>
        <w:tc>
          <w:tcPr/>
          <w:p>
            <w:pPr>
              <w:pStyle w:val="Compact"/>
              <w:jc w:val="left"/>
            </w:pPr>
            <w:r>
              <w:t xml:space="preserve">F_down_080</w:t>
            </w:r>
          </w:p>
        </w:tc>
        <w:tc>
          <w:tcPr/>
          <w:p>
            <w:pPr>
              <w:pStyle w:val="Compact"/>
              <w:jc w:val="left"/>
            </w:pPr>
            <w:r>
              <w:t xml:space="preserve">M0</w:t>
            </w:r>
          </w:p>
        </w:tc>
        <w:tc>
          <w:tcPr/>
          <w:p>
            <w:pPr>
              <w:pStyle w:val="Compact"/>
              <w:jc w:val="left"/>
            </w:pPr>
            <w:r>
              <w:t xml:space="preserve">AUC0-inf B + Cmax</w:t>
            </w:r>
          </w:p>
        </w:tc>
        <w:tc>
          <w:tcPr/>
          <w:p>
            <w:pPr>
              <w:pStyle w:val="Compact"/>
              <w:jc w:val="left"/>
            </w:pPr>
            <w:r>
              <w:t xml:space="preserve">5.38</w:t>
            </w:r>
          </w:p>
        </w:tc>
        <w:tc>
          <w:tcPr/>
          <w:p>
            <w:pPr>
              <w:pStyle w:val="Compact"/>
              <w:jc w:val="left"/>
            </w:pPr>
            <w:r>
              <w:t xml:space="preserve">6.60</w:t>
            </w:r>
          </w:p>
        </w:tc>
        <w:tc>
          <w:tcPr/>
          <w:p>
            <w:pPr>
              <w:pStyle w:val="Compact"/>
              <w:jc w:val="left"/>
            </w:pPr>
            <w:r>
              <w:t xml:space="preserve">6.94</w:t>
            </w:r>
          </w:p>
        </w:tc>
        <w:tc>
          <w:tcPr/>
          <w:p>
            <w:pPr>
              <w:pStyle w:val="Compact"/>
              <w:jc w:val="left"/>
            </w:pPr>
            <w:r>
              <w:t xml:space="preserve">7.04</w:t>
            </w:r>
          </w:p>
        </w:tc>
        <w:tc>
          <w:tcPr/>
          <w:p>
            <w:pPr>
              <w:pStyle w:val="Compact"/>
              <w:jc w:val="left"/>
            </w:pPr>
            <w:r>
              <w:t xml:space="preserve">7.30</w:t>
            </w:r>
          </w:p>
        </w:tc>
        <w:tc>
          <w:tcPr/>
          <w:p>
            <w:pPr>
              <w:pStyle w:val="Compact"/>
              <w:jc w:val="left"/>
            </w:pPr>
            <w:r>
              <w:t xml:space="preserve">7.48</w:t>
            </w:r>
          </w:p>
        </w:tc>
      </w:tr>
      <w:tr>
        <w:tc>
          <w:tcPr/>
          <w:p>
            <w:pPr>
              <w:pStyle w:val="Compact"/>
              <w:jc w:val="left"/>
            </w:pPr>
            <w:r>
              <w:t xml:space="preserve">F_down_080</w:t>
            </w:r>
          </w:p>
        </w:tc>
        <w:tc>
          <w:tcPr/>
          <w:p>
            <w:pPr>
              <w:pStyle w:val="Compact"/>
              <w:jc w:val="left"/>
            </w:pPr>
            <w:r>
              <w:t xml:space="preserve">M0</w:t>
            </w:r>
          </w:p>
        </w:tc>
        <w:tc>
          <w:tcPr/>
          <w:p>
            <w:pPr>
              <w:pStyle w:val="Compact"/>
              <w:jc w:val="left"/>
            </w:pPr>
            <w:r>
              <w:t xml:space="preserve">P2</w:t>
            </w:r>
          </w:p>
        </w:tc>
        <w:tc>
          <w:tcPr/>
          <w:p>
            <w:pPr>
              <w:pStyle w:val="Compact"/>
              <w:jc w:val="left"/>
            </w:pPr>
            <w:r>
              <w:t xml:space="preserve">4.22</w:t>
            </w:r>
          </w:p>
        </w:tc>
        <w:tc>
          <w:tcPr/>
          <w:p>
            <w:pPr>
              <w:pStyle w:val="Compact"/>
              <w:jc w:val="left"/>
            </w:pPr>
            <w:r>
              <w:t xml:space="preserve">4.12</w:t>
            </w:r>
          </w:p>
        </w:tc>
        <w:tc>
          <w:tcPr/>
          <w:p>
            <w:pPr>
              <w:pStyle w:val="Compact"/>
              <w:jc w:val="left"/>
            </w:pPr>
            <w:r>
              <w:t xml:space="preserve">3.98</w:t>
            </w:r>
          </w:p>
        </w:tc>
        <w:tc>
          <w:tcPr/>
          <w:p>
            <w:pPr>
              <w:pStyle w:val="Compact"/>
              <w:jc w:val="left"/>
            </w:pPr>
            <w:r>
              <w:t xml:space="preserve">3.96</w:t>
            </w:r>
          </w:p>
        </w:tc>
        <w:tc>
          <w:tcPr/>
          <w:p>
            <w:pPr>
              <w:pStyle w:val="Compact"/>
              <w:jc w:val="left"/>
            </w:pPr>
            <w:r>
              <w:t xml:space="preserve">4.02</w:t>
            </w:r>
          </w:p>
        </w:tc>
        <w:tc>
          <w:tcPr/>
          <w:p>
            <w:pPr>
              <w:pStyle w:val="Compact"/>
              <w:jc w:val="left"/>
            </w:pPr>
            <w:r>
              <w:t xml:space="preserve">3.86</w:t>
            </w:r>
          </w:p>
        </w:tc>
      </w:tr>
      <w:tr>
        <w:tc>
          <w:tcPr/>
          <w:p>
            <w:pPr>
              <w:pStyle w:val="Compact"/>
              <w:jc w:val="left"/>
            </w:pPr>
            <w:r>
              <w:t xml:space="preserve">F_down_080</w:t>
            </w:r>
          </w:p>
        </w:tc>
        <w:tc>
          <w:tcPr/>
          <w:p>
            <w:pPr>
              <w:pStyle w:val="Compact"/>
              <w:jc w:val="left"/>
            </w:pPr>
            <w:r>
              <w:t xml:space="preserve">M1</w:t>
            </w:r>
          </w:p>
        </w:tc>
        <w:tc>
          <w:tcPr/>
          <w:p>
            <w:pPr>
              <w:pStyle w:val="Compact"/>
              <w:jc w:val="left"/>
            </w:pPr>
            <w:r>
              <w:t xml:space="preserve">AUC0-inf A (ii) + Cmax</w:t>
            </w:r>
          </w:p>
        </w:tc>
        <w:tc>
          <w:tcPr/>
          <w:p>
            <w:pPr>
              <w:pStyle w:val="Compact"/>
              <w:jc w:val="left"/>
            </w:pPr>
            <w:r>
              <w:t xml:space="preserve">6.84</w:t>
            </w:r>
          </w:p>
        </w:tc>
        <w:tc>
          <w:tcPr/>
          <w:p>
            <w:pPr>
              <w:pStyle w:val="Compact"/>
              <w:jc w:val="left"/>
            </w:pPr>
            <w:r>
              <w:t xml:space="preserve">7.72</w:t>
            </w:r>
          </w:p>
        </w:tc>
        <w:tc>
          <w:tcPr/>
          <w:p>
            <w:pPr>
              <w:pStyle w:val="Compact"/>
              <w:jc w:val="left"/>
            </w:pPr>
            <w:r>
              <w:t xml:space="preserve">8.26</w:t>
            </w:r>
          </w:p>
        </w:tc>
        <w:tc>
          <w:tcPr/>
          <w:p>
            <w:pPr>
              <w:pStyle w:val="Compact"/>
              <w:jc w:val="left"/>
            </w:pPr>
            <w:r>
              <w:t xml:space="preserve">8.36</w:t>
            </w:r>
          </w:p>
        </w:tc>
        <w:tc>
          <w:tcPr/>
          <w:p>
            <w:pPr>
              <w:pStyle w:val="Compact"/>
              <w:jc w:val="left"/>
            </w:pPr>
            <w:r>
              <w:t xml:space="preserve">8.56</w:t>
            </w:r>
          </w:p>
        </w:tc>
        <w:tc>
          <w:tcPr/>
          <w:p>
            <w:pPr>
              <w:pStyle w:val="Compact"/>
              <w:jc w:val="left"/>
            </w:pPr>
            <w:r>
              <w:t xml:space="preserve">9.14</w:t>
            </w:r>
          </w:p>
        </w:tc>
      </w:tr>
      <w:tr>
        <w:tc>
          <w:tcPr/>
          <w:p>
            <w:pPr>
              <w:pStyle w:val="Compact"/>
              <w:jc w:val="left"/>
            </w:pPr>
            <w:r>
              <w:t xml:space="preserve">F_down_080</w:t>
            </w:r>
          </w:p>
        </w:tc>
        <w:tc>
          <w:tcPr/>
          <w:p>
            <w:pPr>
              <w:pStyle w:val="Compact"/>
              <w:jc w:val="left"/>
            </w:pPr>
            <w:r>
              <w:t xml:space="preserve">M1</w:t>
            </w:r>
          </w:p>
        </w:tc>
        <w:tc>
          <w:tcPr/>
          <w:p>
            <w:pPr>
              <w:pStyle w:val="Compact"/>
              <w:jc w:val="left"/>
            </w:pPr>
            <w:r>
              <w:t xml:space="preserve">AUC0-inf B + Cmax</w:t>
            </w:r>
          </w:p>
        </w:tc>
        <w:tc>
          <w:tcPr/>
          <w:p>
            <w:pPr>
              <w:pStyle w:val="Compact"/>
              <w:jc w:val="left"/>
            </w:pPr>
            <w:r>
              <w:t xml:space="preserve">5.78</w:t>
            </w:r>
          </w:p>
        </w:tc>
        <w:tc>
          <w:tcPr/>
          <w:p>
            <w:pPr>
              <w:pStyle w:val="Compact"/>
              <w:jc w:val="left"/>
            </w:pPr>
            <w:r>
              <w:t xml:space="preserve">7.06</w:t>
            </w:r>
          </w:p>
        </w:tc>
        <w:tc>
          <w:tcPr/>
          <w:p>
            <w:pPr>
              <w:pStyle w:val="Compact"/>
              <w:jc w:val="left"/>
            </w:pPr>
            <w:r>
              <w:t xml:space="preserve">7.40</w:t>
            </w:r>
          </w:p>
        </w:tc>
        <w:tc>
          <w:tcPr/>
          <w:p>
            <w:pPr>
              <w:pStyle w:val="Compact"/>
              <w:jc w:val="left"/>
            </w:pPr>
            <w:r>
              <w:t xml:space="preserve">7.36</w:t>
            </w:r>
          </w:p>
        </w:tc>
        <w:tc>
          <w:tcPr/>
          <w:p>
            <w:pPr>
              <w:pStyle w:val="Compact"/>
              <w:jc w:val="left"/>
            </w:pPr>
            <w:r>
              <w:t xml:space="preserve">7.78</w:t>
            </w:r>
          </w:p>
        </w:tc>
        <w:tc>
          <w:tcPr/>
          <w:p>
            <w:pPr>
              <w:pStyle w:val="Compact"/>
              <w:jc w:val="left"/>
            </w:pPr>
            <w:r>
              <w:t xml:space="preserve">8.16</w:t>
            </w:r>
          </w:p>
        </w:tc>
      </w:tr>
      <w:tr>
        <w:tc>
          <w:tcPr/>
          <w:p>
            <w:pPr>
              <w:pStyle w:val="Compact"/>
              <w:jc w:val="left"/>
            </w:pPr>
            <w:r>
              <w:t xml:space="preserve">F_down_080</w:t>
            </w:r>
          </w:p>
        </w:tc>
        <w:tc>
          <w:tcPr/>
          <w:p>
            <w:pPr>
              <w:pStyle w:val="Compact"/>
              <w:jc w:val="left"/>
            </w:pPr>
            <w:r>
              <w:t xml:space="preserve">M1</w:t>
            </w:r>
          </w:p>
        </w:tc>
        <w:tc>
          <w:tcPr/>
          <w:p>
            <w:pPr>
              <w:pStyle w:val="Compact"/>
              <w:jc w:val="left"/>
            </w:pPr>
            <w:r>
              <w:t xml:space="preserve">P2</w:t>
            </w:r>
          </w:p>
        </w:tc>
        <w:tc>
          <w:tcPr/>
          <w:p>
            <w:pPr>
              <w:pStyle w:val="Compact"/>
              <w:jc w:val="left"/>
            </w:pPr>
            <w:r>
              <w:t xml:space="preserve">4.62</w:t>
            </w:r>
          </w:p>
        </w:tc>
        <w:tc>
          <w:tcPr/>
          <w:p>
            <w:pPr>
              <w:pStyle w:val="Compact"/>
              <w:jc w:val="left"/>
            </w:pPr>
            <w:r>
              <w:t xml:space="preserve">4.36</w:t>
            </w:r>
          </w:p>
        </w:tc>
        <w:tc>
          <w:tcPr/>
          <w:p>
            <w:pPr>
              <w:pStyle w:val="Compact"/>
              <w:jc w:val="left"/>
            </w:pPr>
            <w:r>
              <w:t xml:space="preserve">4.36</w:t>
            </w:r>
          </w:p>
        </w:tc>
        <w:tc>
          <w:tcPr/>
          <w:p>
            <w:pPr>
              <w:pStyle w:val="Compact"/>
              <w:jc w:val="left"/>
            </w:pPr>
            <w:r>
              <w:t xml:space="preserve">4.36</w:t>
            </w:r>
          </w:p>
        </w:tc>
        <w:tc>
          <w:tcPr/>
          <w:p>
            <w:pPr>
              <w:pStyle w:val="Compact"/>
              <w:jc w:val="left"/>
            </w:pPr>
            <w:r>
              <w:t xml:space="preserve">4.34</w:t>
            </w:r>
          </w:p>
        </w:tc>
        <w:tc>
          <w:tcPr/>
          <w:p>
            <w:pPr>
              <w:pStyle w:val="Compact"/>
              <w:jc w:val="left"/>
            </w:pPr>
            <w:r>
              <w:t xml:space="preserve">4.30</w:t>
            </w:r>
          </w:p>
        </w:tc>
      </w:tr>
      <w:tr>
        <w:tc>
          <w:tcPr/>
          <w:p>
            <w:pPr>
              <w:pStyle w:val="Compact"/>
              <w:jc w:val="left"/>
            </w:pPr>
            <w:r>
              <w:t xml:space="preserve">Vmax_down_125</w:t>
            </w:r>
          </w:p>
        </w:tc>
        <w:tc>
          <w:tcPr/>
          <w:p>
            <w:pPr>
              <w:pStyle w:val="Compact"/>
              <w:jc w:val="left"/>
            </w:pPr>
            <w:r>
              <w:t xml:space="preserve">M0</w:t>
            </w:r>
          </w:p>
        </w:tc>
        <w:tc>
          <w:tcPr/>
          <w:p>
            <w:pPr>
              <w:pStyle w:val="Compact"/>
              <w:jc w:val="left"/>
            </w:pPr>
            <w:r>
              <w:t xml:space="preserve">AUC0-inf A (ii) + Cmax</w:t>
            </w:r>
          </w:p>
        </w:tc>
        <w:tc>
          <w:tcPr/>
          <w:p>
            <w:pPr>
              <w:pStyle w:val="Compact"/>
              <w:jc w:val="left"/>
            </w:pPr>
            <w:r>
              <w:t xml:space="preserve">14.96</w:t>
            </w:r>
          </w:p>
        </w:tc>
        <w:tc>
          <w:tcPr/>
          <w:p>
            <w:pPr>
              <w:pStyle w:val="Compact"/>
              <w:jc w:val="left"/>
            </w:pPr>
            <w:r>
              <w:t xml:space="preserve">21.82</w:t>
            </w:r>
          </w:p>
        </w:tc>
        <w:tc>
          <w:tcPr/>
          <w:p>
            <w:pPr>
              <w:pStyle w:val="Compact"/>
              <w:jc w:val="left"/>
            </w:pPr>
            <w:r>
              <w:t xml:space="preserve">25.28</w:t>
            </w:r>
          </w:p>
        </w:tc>
        <w:tc>
          <w:tcPr/>
          <w:p>
            <w:pPr>
              <w:pStyle w:val="Compact"/>
              <w:jc w:val="left"/>
            </w:pPr>
            <w:r>
              <w:t xml:space="preserve">26.18</w:t>
            </w:r>
          </w:p>
        </w:tc>
        <w:tc>
          <w:tcPr/>
          <w:p>
            <w:pPr>
              <w:pStyle w:val="Compact"/>
              <w:jc w:val="left"/>
            </w:pPr>
            <w:r>
              <w:t xml:space="preserve">27.22</w:t>
            </w:r>
          </w:p>
        </w:tc>
        <w:tc>
          <w:tcPr/>
          <w:p>
            <w:pPr>
              <w:pStyle w:val="Compact"/>
              <w:jc w:val="left"/>
            </w:pPr>
            <w:r>
              <w:t xml:space="preserve">28.70</w:t>
            </w:r>
          </w:p>
        </w:tc>
      </w:tr>
      <w:tr>
        <w:tc>
          <w:tcPr/>
          <w:p>
            <w:pPr>
              <w:pStyle w:val="Compact"/>
              <w:jc w:val="left"/>
            </w:pPr>
            <w:r>
              <w:t xml:space="preserve">Vmax_down_125</w:t>
            </w:r>
          </w:p>
        </w:tc>
        <w:tc>
          <w:tcPr/>
          <w:p>
            <w:pPr>
              <w:pStyle w:val="Compact"/>
              <w:jc w:val="left"/>
            </w:pPr>
            <w:r>
              <w:t xml:space="preserve">M0</w:t>
            </w:r>
          </w:p>
        </w:tc>
        <w:tc>
          <w:tcPr/>
          <w:p>
            <w:pPr>
              <w:pStyle w:val="Compact"/>
              <w:jc w:val="left"/>
            </w:pPr>
            <w:r>
              <w:t xml:space="preserve">AUC0-inf B + Cmax</w:t>
            </w:r>
          </w:p>
        </w:tc>
        <w:tc>
          <w:tcPr/>
          <w:p>
            <w:pPr>
              <w:pStyle w:val="Compact"/>
              <w:jc w:val="left"/>
            </w:pPr>
            <w:r>
              <w:t xml:space="preserve">3.58</w:t>
            </w:r>
          </w:p>
        </w:tc>
        <w:tc>
          <w:tcPr/>
          <w:p>
            <w:pPr>
              <w:pStyle w:val="Compact"/>
              <w:jc w:val="left"/>
            </w:pPr>
            <w:r>
              <w:t xml:space="preserve">5.80</w:t>
            </w:r>
          </w:p>
        </w:tc>
        <w:tc>
          <w:tcPr/>
          <w:p>
            <w:pPr>
              <w:pStyle w:val="Compact"/>
              <w:jc w:val="left"/>
            </w:pPr>
            <w:r>
              <w:t xml:space="preserve">6.74</w:t>
            </w:r>
          </w:p>
        </w:tc>
        <w:tc>
          <w:tcPr/>
          <w:p>
            <w:pPr>
              <w:pStyle w:val="Compact"/>
              <w:jc w:val="left"/>
            </w:pPr>
            <w:r>
              <w:t xml:space="preserve">6.80</w:t>
            </w:r>
          </w:p>
        </w:tc>
        <w:tc>
          <w:tcPr/>
          <w:p>
            <w:pPr>
              <w:pStyle w:val="Compact"/>
              <w:jc w:val="left"/>
            </w:pPr>
            <w:r>
              <w:t xml:space="preserve">7.10</w:t>
            </w:r>
          </w:p>
        </w:tc>
        <w:tc>
          <w:tcPr/>
          <w:p>
            <w:pPr>
              <w:pStyle w:val="Compact"/>
              <w:jc w:val="left"/>
            </w:pPr>
            <w:r>
              <w:t xml:space="preserve">7.94</w:t>
            </w:r>
          </w:p>
        </w:tc>
      </w:tr>
      <w:tr>
        <w:tc>
          <w:tcPr/>
          <w:p>
            <w:pPr>
              <w:pStyle w:val="Compact"/>
              <w:jc w:val="left"/>
            </w:pPr>
            <w:r>
              <w:t xml:space="preserve">Vmax_down_125</w:t>
            </w:r>
          </w:p>
        </w:tc>
        <w:tc>
          <w:tcPr/>
          <w:p>
            <w:pPr>
              <w:pStyle w:val="Compact"/>
              <w:jc w:val="left"/>
            </w:pPr>
            <w:r>
              <w:t xml:space="preserve">M0</w:t>
            </w:r>
          </w:p>
        </w:tc>
        <w:tc>
          <w:tcPr/>
          <w:p>
            <w:pPr>
              <w:pStyle w:val="Compact"/>
              <w:jc w:val="left"/>
            </w:pPr>
            <w:r>
              <w:t xml:space="preserve">P2</w:t>
            </w:r>
          </w:p>
        </w:tc>
        <w:tc>
          <w:tcPr/>
          <w:p>
            <w:pPr>
              <w:pStyle w:val="Compact"/>
              <w:jc w:val="left"/>
            </w:pPr>
            <w:r>
              <w:t xml:space="preserve">2.92</w:t>
            </w:r>
          </w:p>
        </w:tc>
        <w:tc>
          <w:tcPr/>
          <w:p>
            <w:pPr>
              <w:pStyle w:val="Compact"/>
              <w:jc w:val="left"/>
            </w:pPr>
            <w:r>
              <w:t xml:space="preserve">2.58</w:t>
            </w:r>
          </w:p>
        </w:tc>
        <w:tc>
          <w:tcPr/>
          <w:p>
            <w:pPr>
              <w:pStyle w:val="Compact"/>
              <w:jc w:val="left"/>
            </w:pPr>
            <w:r>
              <w:t xml:space="preserve">2.56</w:t>
            </w:r>
          </w:p>
        </w:tc>
        <w:tc>
          <w:tcPr/>
          <w:p>
            <w:pPr>
              <w:pStyle w:val="Compact"/>
              <w:jc w:val="left"/>
            </w:pPr>
            <w:r>
              <w:t xml:space="preserve">2.54</w:t>
            </w:r>
          </w:p>
        </w:tc>
        <w:tc>
          <w:tcPr/>
          <w:p>
            <w:pPr>
              <w:pStyle w:val="Compact"/>
              <w:jc w:val="left"/>
            </w:pPr>
            <w:r>
              <w:t xml:space="preserve">2.48</w:t>
            </w:r>
          </w:p>
        </w:tc>
        <w:tc>
          <w:tcPr/>
          <w:p>
            <w:pPr>
              <w:pStyle w:val="Compact"/>
              <w:jc w:val="left"/>
            </w:pPr>
            <w:r>
              <w:t xml:space="preserve">2.46</w:t>
            </w:r>
          </w:p>
        </w:tc>
      </w:tr>
      <w:tr>
        <w:tc>
          <w:tcPr/>
          <w:p>
            <w:pPr>
              <w:pStyle w:val="Compact"/>
              <w:jc w:val="left"/>
            </w:pPr>
            <w:r>
              <w:t xml:space="preserve">Vmax_down_125</w:t>
            </w:r>
          </w:p>
        </w:tc>
        <w:tc>
          <w:tcPr/>
          <w:p>
            <w:pPr>
              <w:pStyle w:val="Compact"/>
              <w:jc w:val="left"/>
            </w:pPr>
            <w:r>
              <w:t xml:space="preserve">M1</w:t>
            </w:r>
          </w:p>
        </w:tc>
        <w:tc>
          <w:tcPr/>
          <w:p>
            <w:pPr>
              <w:pStyle w:val="Compact"/>
              <w:jc w:val="left"/>
            </w:pPr>
            <w:r>
              <w:t xml:space="preserve">AUC0-inf A (ii) + Cmax</w:t>
            </w:r>
          </w:p>
        </w:tc>
        <w:tc>
          <w:tcPr/>
          <w:p>
            <w:pPr>
              <w:pStyle w:val="Compact"/>
              <w:jc w:val="left"/>
            </w:pPr>
            <w:r>
              <w:t xml:space="preserve">14.98</w:t>
            </w:r>
          </w:p>
        </w:tc>
        <w:tc>
          <w:tcPr/>
          <w:p>
            <w:pPr>
              <w:pStyle w:val="Compact"/>
              <w:jc w:val="left"/>
            </w:pPr>
            <w:r>
              <w:t xml:space="preserve">22.26</w:t>
            </w:r>
          </w:p>
        </w:tc>
        <w:tc>
          <w:tcPr/>
          <w:p>
            <w:pPr>
              <w:pStyle w:val="Compact"/>
              <w:jc w:val="left"/>
            </w:pPr>
            <w:r>
              <w:t xml:space="preserve">25.52</w:t>
            </w:r>
          </w:p>
        </w:tc>
        <w:tc>
          <w:tcPr/>
          <w:p>
            <w:pPr>
              <w:pStyle w:val="Compact"/>
              <w:jc w:val="left"/>
            </w:pPr>
            <w:r>
              <w:t xml:space="preserve">26.08</w:t>
            </w:r>
          </w:p>
        </w:tc>
        <w:tc>
          <w:tcPr/>
          <w:p>
            <w:pPr>
              <w:pStyle w:val="Compact"/>
              <w:jc w:val="left"/>
            </w:pPr>
            <w:r>
              <w:t xml:space="preserve">27.34</w:t>
            </w:r>
          </w:p>
        </w:tc>
        <w:tc>
          <w:tcPr/>
          <w:p>
            <w:pPr>
              <w:pStyle w:val="Compact"/>
              <w:jc w:val="left"/>
            </w:pPr>
            <w:r>
              <w:t xml:space="preserve">28.52</w:t>
            </w:r>
          </w:p>
        </w:tc>
      </w:tr>
      <w:tr>
        <w:tc>
          <w:tcPr/>
          <w:p>
            <w:pPr>
              <w:pStyle w:val="Compact"/>
              <w:jc w:val="left"/>
            </w:pPr>
            <w:r>
              <w:t xml:space="preserve">Vmax_down_125</w:t>
            </w:r>
          </w:p>
        </w:tc>
        <w:tc>
          <w:tcPr/>
          <w:p>
            <w:pPr>
              <w:pStyle w:val="Compact"/>
              <w:jc w:val="left"/>
            </w:pPr>
            <w:r>
              <w:t xml:space="preserve">M1</w:t>
            </w:r>
          </w:p>
        </w:tc>
        <w:tc>
          <w:tcPr/>
          <w:p>
            <w:pPr>
              <w:pStyle w:val="Compact"/>
              <w:jc w:val="left"/>
            </w:pPr>
            <w:r>
              <w:t xml:space="preserve">AUC0-inf B + Cmax</w:t>
            </w:r>
          </w:p>
        </w:tc>
        <w:tc>
          <w:tcPr/>
          <w:p>
            <w:pPr>
              <w:pStyle w:val="Compact"/>
              <w:jc w:val="left"/>
            </w:pPr>
            <w:r>
              <w:t xml:space="preserve">3.92</w:t>
            </w:r>
          </w:p>
        </w:tc>
        <w:tc>
          <w:tcPr/>
          <w:p>
            <w:pPr>
              <w:pStyle w:val="Compact"/>
              <w:jc w:val="left"/>
            </w:pPr>
            <w:r>
              <w:t xml:space="preserve">6.36</w:t>
            </w:r>
          </w:p>
        </w:tc>
        <w:tc>
          <w:tcPr/>
          <w:p>
            <w:pPr>
              <w:pStyle w:val="Compact"/>
              <w:jc w:val="left"/>
            </w:pPr>
            <w:r>
              <w:t xml:space="preserve">7.36</w:t>
            </w:r>
          </w:p>
        </w:tc>
        <w:tc>
          <w:tcPr/>
          <w:p>
            <w:pPr>
              <w:pStyle w:val="Compact"/>
              <w:jc w:val="left"/>
            </w:pPr>
            <w:r>
              <w:t xml:space="preserve">7.36</w:t>
            </w:r>
          </w:p>
        </w:tc>
        <w:tc>
          <w:tcPr/>
          <w:p>
            <w:pPr>
              <w:pStyle w:val="Compact"/>
              <w:jc w:val="left"/>
            </w:pPr>
            <w:r>
              <w:t xml:space="preserve">7.58</w:t>
            </w:r>
          </w:p>
        </w:tc>
        <w:tc>
          <w:tcPr/>
          <w:p>
            <w:pPr>
              <w:pStyle w:val="Compact"/>
              <w:jc w:val="left"/>
            </w:pPr>
            <w:r>
              <w:t xml:space="preserve">8.66</w:t>
            </w:r>
          </w:p>
        </w:tc>
      </w:tr>
      <w:tr>
        <w:tc>
          <w:tcPr/>
          <w:p>
            <w:pPr>
              <w:pStyle w:val="Compact"/>
              <w:jc w:val="left"/>
            </w:pPr>
            <w:r>
              <w:t xml:space="preserve">Vmax_down_125</w:t>
            </w:r>
          </w:p>
        </w:tc>
        <w:tc>
          <w:tcPr/>
          <w:p>
            <w:pPr>
              <w:pStyle w:val="Compact"/>
              <w:jc w:val="left"/>
            </w:pPr>
            <w:r>
              <w:t xml:space="preserve">M1</w:t>
            </w:r>
          </w:p>
        </w:tc>
        <w:tc>
          <w:tcPr/>
          <w:p>
            <w:pPr>
              <w:pStyle w:val="Compact"/>
              <w:jc w:val="left"/>
            </w:pPr>
            <w:r>
              <w:t xml:space="preserve">P2</w:t>
            </w:r>
          </w:p>
        </w:tc>
        <w:tc>
          <w:tcPr/>
          <w:p>
            <w:pPr>
              <w:pStyle w:val="Compact"/>
              <w:jc w:val="left"/>
            </w:pPr>
            <w:r>
              <w:t xml:space="preserve">3.20</w:t>
            </w:r>
          </w:p>
        </w:tc>
        <w:tc>
          <w:tcPr/>
          <w:p>
            <w:pPr>
              <w:pStyle w:val="Compact"/>
              <w:jc w:val="left"/>
            </w:pPr>
            <w:r>
              <w:t xml:space="preserve">2.90</w:t>
            </w:r>
          </w:p>
        </w:tc>
        <w:tc>
          <w:tcPr/>
          <w:p>
            <w:pPr>
              <w:pStyle w:val="Compact"/>
              <w:jc w:val="left"/>
            </w:pPr>
            <w:r>
              <w:t xml:space="preserve">2.86</w:t>
            </w:r>
          </w:p>
        </w:tc>
        <w:tc>
          <w:tcPr/>
          <w:p>
            <w:pPr>
              <w:pStyle w:val="Compact"/>
              <w:jc w:val="left"/>
            </w:pPr>
            <w:r>
              <w:t xml:space="preserve">2.82</w:t>
            </w:r>
          </w:p>
        </w:tc>
        <w:tc>
          <w:tcPr/>
          <w:p>
            <w:pPr>
              <w:pStyle w:val="Compact"/>
              <w:jc w:val="left"/>
            </w:pPr>
            <w:r>
              <w:t xml:space="preserve">2.78</w:t>
            </w:r>
          </w:p>
        </w:tc>
        <w:tc>
          <w:tcPr/>
          <w:p>
            <w:pPr>
              <w:pStyle w:val="Compact"/>
              <w:jc w:val="left"/>
            </w:pPr>
            <w:r>
              <w:t xml:space="preserve">2.82</w:t>
            </w:r>
          </w:p>
        </w:tc>
      </w:tr>
      <w:tr>
        <w:tc>
          <w:tcPr/>
          <w:p>
            <w:pPr>
              <w:pStyle w:val="Compact"/>
              <w:jc w:val="left"/>
            </w:pPr>
            <w:r>
              <w:t xml:space="preserve">Vmax_up_080</w:t>
            </w:r>
          </w:p>
        </w:tc>
        <w:tc>
          <w:tcPr/>
          <w:p>
            <w:pPr>
              <w:pStyle w:val="Compact"/>
              <w:jc w:val="left"/>
            </w:pPr>
            <w:r>
              <w:t xml:space="preserve">M0</w:t>
            </w:r>
          </w:p>
        </w:tc>
        <w:tc>
          <w:tcPr/>
          <w:p>
            <w:pPr>
              <w:pStyle w:val="Compact"/>
              <w:jc w:val="left"/>
            </w:pPr>
            <w:r>
              <w:t xml:space="preserve">AUC0-inf A (ii) + Cmax</w:t>
            </w:r>
          </w:p>
        </w:tc>
        <w:tc>
          <w:tcPr/>
          <w:p>
            <w:pPr>
              <w:pStyle w:val="Compact"/>
              <w:jc w:val="left"/>
            </w:pPr>
            <w:r>
              <w:t xml:space="preserve">12.26</w:t>
            </w:r>
          </w:p>
        </w:tc>
        <w:tc>
          <w:tcPr/>
          <w:p>
            <w:pPr>
              <w:pStyle w:val="Compact"/>
              <w:jc w:val="left"/>
            </w:pPr>
            <w:r>
              <w:t xml:space="preserve">18.60</w:t>
            </w:r>
          </w:p>
        </w:tc>
        <w:tc>
          <w:tcPr/>
          <w:p>
            <w:pPr>
              <w:pStyle w:val="Compact"/>
              <w:jc w:val="left"/>
            </w:pPr>
            <w:r>
              <w:t xml:space="preserve">22.28</w:t>
            </w:r>
          </w:p>
        </w:tc>
        <w:tc>
          <w:tcPr/>
          <w:p>
            <w:pPr>
              <w:pStyle w:val="Compact"/>
              <w:jc w:val="left"/>
            </w:pPr>
            <w:r>
              <w:t xml:space="preserve">23.02</w:t>
            </w:r>
          </w:p>
        </w:tc>
        <w:tc>
          <w:tcPr/>
          <w:p>
            <w:pPr>
              <w:pStyle w:val="Compact"/>
              <w:jc w:val="left"/>
            </w:pPr>
            <w:r>
              <w:t xml:space="preserve">23.66</w:t>
            </w:r>
          </w:p>
        </w:tc>
        <w:tc>
          <w:tcPr/>
          <w:p>
            <w:pPr>
              <w:pStyle w:val="Compact"/>
              <w:jc w:val="left"/>
            </w:pPr>
            <w:r>
              <w:t xml:space="preserve">24.68</w:t>
            </w:r>
          </w:p>
        </w:tc>
      </w:tr>
      <w:tr>
        <w:tc>
          <w:tcPr/>
          <w:p>
            <w:pPr>
              <w:pStyle w:val="Compact"/>
              <w:jc w:val="left"/>
            </w:pPr>
            <w:r>
              <w:t xml:space="preserve">Vmax_up_080</w:t>
            </w:r>
          </w:p>
        </w:tc>
        <w:tc>
          <w:tcPr/>
          <w:p>
            <w:pPr>
              <w:pStyle w:val="Compact"/>
              <w:jc w:val="left"/>
            </w:pPr>
            <w:r>
              <w:t xml:space="preserve">M0</w:t>
            </w:r>
          </w:p>
        </w:tc>
        <w:tc>
          <w:tcPr/>
          <w:p>
            <w:pPr>
              <w:pStyle w:val="Compact"/>
              <w:jc w:val="left"/>
            </w:pPr>
            <w:r>
              <w:t xml:space="preserve">AUC0-inf B + Cmax</w:t>
            </w:r>
          </w:p>
        </w:tc>
        <w:tc>
          <w:tcPr/>
          <w:p>
            <w:pPr>
              <w:pStyle w:val="Compact"/>
              <w:jc w:val="left"/>
            </w:pPr>
            <w:r>
              <w:t xml:space="preserve">7.54</w:t>
            </w:r>
          </w:p>
        </w:tc>
        <w:tc>
          <w:tcPr/>
          <w:p>
            <w:pPr>
              <w:pStyle w:val="Compact"/>
              <w:jc w:val="left"/>
            </w:pPr>
            <w:r>
              <w:t xml:space="preserve">13.22</w:t>
            </w:r>
          </w:p>
        </w:tc>
        <w:tc>
          <w:tcPr/>
          <w:p>
            <w:pPr>
              <w:pStyle w:val="Compact"/>
              <w:jc w:val="left"/>
            </w:pPr>
            <w:r>
              <w:t xml:space="preserve">15.26</w:t>
            </w:r>
          </w:p>
        </w:tc>
        <w:tc>
          <w:tcPr/>
          <w:p>
            <w:pPr>
              <w:pStyle w:val="Compact"/>
              <w:jc w:val="left"/>
            </w:pPr>
            <w:r>
              <w:t xml:space="preserve">15.70</w:t>
            </w:r>
          </w:p>
        </w:tc>
        <w:tc>
          <w:tcPr/>
          <w:p>
            <w:pPr>
              <w:pStyle w:val="Compact"/>
              <w:jc w:val="left"/>
            </w:pPr>
            <w:r>
              <w:t xml:space="preserve">16.24</w:t>
            </w:r>
          </w:p>
        </w:tc>
        <w:tc>
          <w:tcPr/>
          <w:p>
            <w:pPr>
              <w:pStyle w:val="Compact"/>
              <w:jc w:val="left"/>
            </w:pPr>
            <w:r>
              <w:t xml:space="preserve">17.54</w:t>
            </w:r>
          </w:p>
        </w:tc>
      </w:tr>
      <w:tr>
        <w:tc>
          <w:tcPr/>
          <w:p>
            <w:pPr>
              <w:pStyle w:val="Compact"/>
              <w:jc w:val="left"/>
            </w:pPr>
            <w:r>
              <w:t xml:space="preserve">Vmax_up_080</w:t>
            </w:r>
          </w:p>
        </w:tc>
        <w:tc>
          <w:tcPr/>
          <w:p>
            <w:pPr>
              <w:pStyle w:val="Compact"/>
              <w:jc w:val="left"/>
            </w:pPr>
            <w:r>
              <w:t xml:space="preserve">M0</w:t>
            </w:r>
          </w:p>
        </w:tc>
        <w:tc>
          <w:tcPr/>
          <w:p>
            <w:pPr>
              <w:pStyle w:val="Compact"/>
              <w:jc w:val="left"/>
            </w:pPr>
            <w:r>
              <w:t xml:space="preserve">P2</w:t>
            </w:r>
          </w:p>
        </w:tc>
        <w:tc>
          <w:tcPr/>
          <w:p>
            <w:pPr>
              <w:pStyle w:val="Compact"/>
              <w:jc w:val="left"/>
            </w:pPr>
            <w:r>
              <w:t xml:space="preserve">3.02</w:t>
            </w:r>
          </w:p>
        </w:tc>
        <w:tc>
          <w:tcPr/>
          <w:p>
            <w:pPr>
              <w:pStyle w:val="Compact"/>
              <w:jc w:val="left"/>
            </w:pPr>
            <w:r>
              <w:t xml:space="preserve">2.44</w:t>
            </w:r>
          </w:p>
        </w:tc>
        <w:tc>
          <w:tcPr/>
          <w:p>
            <w:pPr>
              <w:pStyle w:val="Compact"/>
              <w:jc w:val="left"/>
            </w:pPr>
            <w:r>
              <w:t xml:space="preserve">2.32</w:t>
            </w:r>
          </w:p>
        </w:tc>
        <w:tc>
          <w:tcPr/>
          <w:p>
            <w:pPr>
              <w:pStyle w:val="Compact"/>
              <w:jc w:val="left"/>
            </w:pPr>
            <w:r>
              <w:t xml:space="preserve">2.26</w:t>
            </w:r>
          </w:p>
        </w:tc>
        <w:tc>
          <w:tcPr/>
          <w:p>
            <w:pPr>
              <w:pStyle w:val="Compact"/>
              <w:jc w:val="left"/>
            </w:pPr>
            <w:r>
              <w:t xml:space="preserve">2.24</w:t>
            </w:r>
          </w:p>
        </w:tc>
        <w:tc>
          <w:tcPr/>
          <w:p>
            <w:pPr>
              <w:pStyle w:val="Compact"/>
              <w:jc w:val="left"/>
            </w:pPr>
            <w:r>
              <w:t xml:space="preserve">2.22</w:t>
            </w:r>
          </w:p>
        </w:tc>
      </w:tr>
      <w:tr>
        <w:tc>
          <w:tcPr/>
          <w:p>
            <w:pPr>
              <w:pStyle w:val="Compact"/>
              <w:jc w:val="left"/>
            </w:pPr>
            <w:r>
              <w:t xml:space="preserve">Vmax_up_080</w:t>
            </w:r>
          </w:p>
        </w:tc>
        <w:tc>
          <w:tcPr/>
          <w:p>
            <w:pPr>
              <w:pStyle w:val="Compact"/>
              <w:jc w:val="left"/>
            </w:pPr>
            <w:r>
              <w:t xml:space="preserve">M1</w:t>
            </w:r>
          </w:p>
        </w:tc>
        <w:tc>
          <w:tcPr/>
          <w:p>
            <w:pPr>
              <w:pStyle w:val="Compact"/>
              <w:jc w:val="left"/>
            </w:pPr>
            <w:r>
              <w:t xml:space="preserve">AUC0-inf A (ii) + Cmax</w:t>
            </w:r>
          </w:p>
        </w:tc>
        <w:tc>
          <w:tcPr/>
          <w:p>
            <w:pPr>
              <w:pStyle w:val="Compact"/>
              <w:jc w:val="left"/>
            </w:pPr>
            <w:r>
              <w:t xml:space="preserve">12.48</w:t>
            </w:r>
          </w:p>
        </w:tc>
        <w:tc>
          <w:tcPr/>
          <w:p>
            <w:pPr>
              <w:pStyle w:val="Compact"/>
              <w:jc w:val="left"/>
            </w:pPr>
            <w:r>
              <w:t xml:space="preserve">18.58</w:t>
            </w:r>
          </w:p>
        </w:tc>
        <w:tc>
          <w:tcPr/>
          <w:p>
            <w:pPr>
              <w:pStyle w:val="Compact"/>
              <w:jc w:val="left"/>
            </w:pPr>
            <w:r>
              <w:t xml:space="preserve">22.28</w:t>
            </w:r>
          </w:p>
        </w:tc>
        <w:tc>
          <w:tcPr/>
          <w:p>
            <w:pPr>
              <w:pStyle w:val="Compact"/>
              <w:jc w:val="left"/>
            </w:pPr>
            <w:r>
              <w:t xml:space="preserve">23.04</w:t>
            </w:r>
          </w:p>
        </w:tc>
        <w:tc>
          <w:tcPr/>
          <w:p>
            <w:pPr>
              <w:pStyle w:val="Compact"/>
              <w:jc w:val="left"/>
            </w:pPr>
            <w:r>
              <w:t xml:space="preserve">23.86</w:t>
            </w:r>
          </w:p>
        </w:tc>
        <w:tc>
          <w:tcPr/>
          <w:p>
            <w:pPr>
              <w:pStyle w:val="Compact"/>
              <w:jc w:val="left"/>
            </w:pPr>
            <w:r>
              <w:t xml:space="preserve">24.76</w:t>
            </w:r>
          </w:p>
        </w:tc>
      </w:tr>
      <w:tr>
        <w:tc>
          <w:tcPr/>
          <w:p>
            <w:pPr>
              <w:pStyle w:val="Compact"/>
              <w:jc w:val="left"/>
            </w:pPr>
            <w:r>
              <w:t xml:space="preserve">Vmax_up_080</w:t>
            </w:r>
          </w:p>
        </w:tc>
        <w:tc>
          <w:tcPr/>
          <w:p>
            <w:pPr>
              <w:pStyle w:val="Compact"/>
              <w:jc w:val="left"/>
            </w:pPr>
            <w:r>
              <w:t xml:space="preserve">M1</w:t>
            </w:r>
          </w:p>
        </w:tc>
        <w:tc>
          <w:tcPr/>
          <w:p>
            <w:pPr>
              <w:pStyle w:val="Compact"/>
              <w:jc w:val="left"/>
            </w:pPr>
            <w:r>
              <w:t xml:space="preserve">AUC0-inf B + Cmax</w:t>
            </w:r>
          </w:p>
        </w:tc>
        <w:tc>
          <w:tcPr/>
          <w:p>
            <w:pPr>
              <w:pStyle w:val="Compact"/>
              <w:jc w:val="left"/>
            </w:pPr>
            <w:r>
              <w:t xml:space="preserve">8.06</w:t>
            </w:r>
          </w:p>
        </w:tc>
        <w:tc>
          <w:tcPr/>
          <w:p>
            <w:pPr>
              <w:pStyle w:val="Compact"/>
              <w:jc w:val="left"/>
            </w:pPr>
            <w:r>
              <w:t xml:space="preserve">13.94</w:t>
            </w:r>
          </w:p>
        </w:tc>
        <w:tc>
          <w:tcPr/>
          <w:p>
            <w:pPr>
              <w:pStyle w:val="Compact"/>
              <w:jc w:val="left"/>
            </w:pPr>
            <w:r>
              <w:t xml:space="preserve">16.20</w:t>
            </w:r>
          </w:p>
        </w:tc>
        <w:tc>
          <w:tcPr/>
          <w:p>
            <w:pPr>
              <w:pStyle w:val="Compact"/>
              <w:jc w:val="left"/>
            </w:pPr>
            <w:r>
              <w:t xml:space="preserve">16.56</w:t>
            </w:r>
          </w:p>
        </w:tc>
        <w:tc>
          <w:tcPr/>
          <w:p>
            <w:pPr>
              <w:pStyle w:val="Compact"/>
              <w:jc w:val="left"/>
            </w:pPr>
            <w:r>
              <w:t xml:space="preserve">17.12</w:t>
            </w:r>
          </w:p>
        </w:tc>
        <w:tc>
          <w:tcPr/>
          <w:p>
            <w:pPr>
              <w:pStyle w:val="Compact"/>
              <w:jc w:val="left"/>
            </w:pPr>
            <w:r>
              <w:t xml:space="preserve">18.36</w:t>
            </w:r>
          </w:p>
        </w:tc>
      </w:tr>
      <w:tr>
        <w:tc>
          <w:tcPr/>
          <w:p>
            <w:pPr>
              <w:pStyle w:val="Compact"/>
              <w:jc w:val="left"/>
            </w:pPr>
            <w:r>
              <w:t xml:space="preserve">Vmax_up_080</w:t>
            </w:r>
          </w:p>
        </w:tc>
        <w:tc>
          <w:tcPr/>
          <w:p>
            <w:pPr>
              <w:pStyle w:val="Compact"/>
              <w:jc w:val="left"/>
            </w:pPr>
            <w:r>
              <w:t xml:space="preserve">M1</w:t>
            </w:r>
          </w:p>
        </w:tc>
        <w:tc>
          <w:tcPr/>
          <w:p>
            <w:pPr>
              <w:pStyle w:val="Compact"/>
              <w:jc w:val="left"/>
            </w:pPr>
            <w:r>
              <w:t xml:space="preserve">P2</w:t>
            </w:r>
          </w:p>
        </w:tc>
        <w:tc>
          <w:tcPr/>
          <w:p>
            <w:pPr>
              <w:pStyle w:val="Compact"/>
              <w:jc w:val="left"/>
            </w:pPr>
            <w:r>
              <w:t xml:space="preserve">3.38</w:t>
            </w:r>
          </w:p>
        </w:tc>
        <w:tc>
          <w:tcPr/>
          <w:p>
            <w:pPr>
              <w:pStyle w:val="Compact"/>
              <w:jc w:val="left"/>
            </w:pPr>
            <w:r>
              <w:t xml:space="preserve">2.80</w:t>
            </w:r>
          </w:p>
        </w:tc>
        <w:tc>
          <w:tcPr/>
          <w:p>
            <w:pPr>
              <w:pStyle w:val="Compact"/>
              <w:jc w:val="left"/>
            </w:pPr>
            <w:r>
              <w:t xml:space="preserve">2.66</w:t>
            </w:r>
          </w:p>
        </w:tc>
        <w:tc>
          <w:tcPr/>
          <w:p>
            <w:pPr>
              <w:pStyle w:val="Compact"/>
              <w:jc w:val="left"/>
            </w:pPr>
            <w:r>
              <w:t xml:space="preserve">2.64</w:t>
            </w:r>
          </w:p>
        </w:tc>
        <w:tc>
          <w:tcPr/>
          <w:p>
            <w:pPr>
              <w:pStyle w:val="Compact"/>
              <w:jc w:val="left"/>
            </w:pPr>
            <w:r>
              <w:t xml:space="preserve">2.60</w:t>
            </w:r>
          </w:p>
        </w:tc>
        <w:tc>
          <w:tcPr/>
          <w:p>
            <w:pPr>
              <w:pStyle w:val="Compact"/>
              <w:jc w:val="left"/>
            </w:pPr>
            <w:r>
              <w:t xml:space="preserve">2.62</w:t>
            </w:r>
          </w:p>
        </w:tc>
      </w:tr>
    </w:tbl>
    <w:p>
      <w:pPr>
        <w:numPr>
          <w:ilvl w:val="0"/>
          <w:numId w:val="1046"/>
        </w:numPr>
        <w:pStyle w:val="Compact"/>
      </w:pPr>
      <w:r>
        <w:t xml:space="preserve">With the residual error as estimated, lowering the LLOQ below 0.078 mg/L lets measurement noise near zero become quantifiable (additive SD 0.03 mg/L): reliability under criteria (i) is 84.2% at 0.02 mg/L against 86.6% at 0.078 mg/L in the primary model. With the additive error scaled with the LLOQ (constant precision at the LLOQ) it is 84.6%.</w:t>
      </w:r>
    </w:p>
    <w:p>
      <w:pPr>
        <w:numPr>
          <w:ilvl w:val="0"/>
          <w:numId w:val="1046"/>
        </w:numPr>
        <w:pStyle w:val="Compact"/>
      </w:pPr>
      <w:r>
        <w:t xml:space="preserve">Window coverage does not depend materially on the LLOQ in this range: window coverage below 80% in 0.00% (0.02 mg/L) to 0.01% (0.5 mg/L) of subjects, median true extrapolation 0.03% to 1.00%, because the true concentration falls through the whole range within the cliff (LLOQ reached at a median of study Day 38.6 at 0.02 mg/L and Day 37.7 at 0.5 mg/L).</w:t>
      </w:r>
    </w:p>
    <w:p>
      <w:pPr>
        <w:numPr>
          <w:ilvl w:val="0"/>
          <w:numId w:val="1046"/>
        </w:numPr>
        <w:pStyle w:val="Compact"/>
      </w:pPr>
      <w:r>
        <w:t xml:space="preserve">Boundary type I error of P2 across the LLOQs: 2.22% to 4.22% (M0) and 2.60% to 4.62% (M1); AUC0-inf (rule A, criteria (ii)) + Cmax 6.74% to 28.70% and 6.84% to 28.52%; rule B + Cmax 3.58% to 17.54% and 3.92% to 18.36%.</w:t>
      </w:r>
    </w:p>
    <w:p>
      <w:pPr>
        <w:pStyle w:val="CaptionedFigure"/>
      </w:pPr>
      <w:r>
        <w:drawing>
          <wp:inline>
            <wp:extent cx="5334000" cy="3467099"/>
            <wp:effectExtent b="0" l="0" r="0" t="0"/>
            <wp:docPr descr="Figure 5-10. Individual-level metrics by LLOQ, both models, residual error as estimated and scaled. Analysis figure results/lloq/fig_lloq_individual.png." title="" id="90" name="Picture"/>
            <a:graphic>
              <a:graphicData uri="http://schemas.openxmlformats.org/drawingml/2006/picture">
                <pic:pic>
                  <pic:nvPicPr>
                    <pic:cNvPr descr="../../results/lloq/fig_lloq_individual.png" id="91" name="Picture"/>
                    <pic:cNvPicPr>
                      <a:picLocks noChangeArrowheads="1" noChangeAspect="1"/>
                    </pic:cNvPicPr>
                  </pic:nvPicPr>
                  <pic:blipFill>
                    <a:blip r:embed="rId89"/>
                    <a:stretch>
                      <a:fillRect/>
                    </a:stretch>
                  </pic:blipFill>
                  <pic:spPr bwMode="auto">
                    <a:xfrm>
                      <a:off x="0" y="0"/>
                      <a:ext cx="5334000" cy="3467099"/>
                    </a:xfrm>
                    <a:prstGeom prst="rect">
                      <a:avLst/>
                    </a:prstGeom>
                    <a:noFill/>
                    <a:ln w="9525">
                      <a:noFill/>
                      <a:headEnd/>
                      <a:tailEnd/>
                    </a:ln>
                  </pic:spPr>
                </pic:pic>
              </a:graphicData>
            </a:graphic>
          </wp:inline>
        </w:drawing>
      </w:r>
    </w:p>
    <w:p>
      <w:pPr>
        <w:pStyle w:val="ImageCaption"/>
      </w:pPr>
      <w:r>
        <w:t xml:space="preserve">Figure 5-10. Individual-level metrics by LLOQ, both models, residual error as estimated and scaled. Analysis figure results/lloq/fig_lloq_individual.png.</w:t>
      </w:r>
    </w:p>
    <w:bookmarkEnd w:id="92"/>
    <w:bookmarkStart w:id="96" w:name="sample-size"/>
    <w:p>
      <w:pPr>
        <w:pStyle w:val="Heading2"/>
      </w:pPr>
      <w:r>
        <w:t xml:space="preserve">5.11 Sample size</w:t>
      </w:r>
    </w:p>
    <w:p>
      <w:pPr>
        <w:pStyle w:val="TableCaption"/>
      </w:pPr>
      <w:r>
        <w:t xml:space="preserve">Table 5-19. Evaluable subjects per arm (randomized per arm, 117/130 evaluable) for 90% and 85% P2 power at a true GMR of 0.95 for both endpoints; Cmax CV and correlation from the primary model.</w:t>
      </w:r>
    </w:p>
    <w:tbl>
      <w:tblPr>
        <w:tblStyle w:val="Table"/>
        <w:tblW w:type="auto" w:w="0"/>
        <w:tblLook w:firstRow="1" w:lastRow="0" w:firstColumn="0" w:lastColumn="0" w:noHBand="0" w:noVBand="0" w:val="0020"/>
        <w:jc w:val="start"/>
        <w:tblCaption w:val="Table 5-19. Evaluable subjects per arm (randomized per arm, 117/130 evaluable) for 90% and 85% P2 power at a true GMR of 0.95 for both endpoints; Cmax CV and correlation from the primary model."/>
      </w:tblPr>
      <w:tblGrid>
        <w:gridCol w:w="1584"/>
        <w:gridCol w:w="1584"/>
        <w:gridCol w:w="1584"/>
        <w:gridCol w:w="1584"/>
        <w:gridCol w:w="1584"/>
      </w:tblGrid>
      <w:tr>
        <w:trPr>
          <w:tblHeader w:val="true"/>
        </w:trPr>
        <w:tc>
          <w:tcPr/>
          <w:p>
            <w:pPr>
              <w:pStyle w:val="Compact"/>
              <w:jc w:val="left"/>
            </w:pPr>
            <w:r>
              <w:t xml:space="preserve">AUC0-last CV (%)</w:t>
            </w:r>
          </w:p>
        </w:tc>
        <w:tc>
          <w:tcPr/>
          <w:p>
            <w:pPr>
              <w:pStyle w:val="Compact"/>
              <w:jc w:val="left"/>
            </w:pPr>
            <w:r>
              <w:t xml:space="preserve">90%, M0</w:t>
            </w:r>
          </w:p>
        </w:tc>
        <w:tc>
          <w:tcPr/>
          <w:p>
            <w:pPr>
              <w:pStyle w:val="Compact"/>
              <w:jc w:val="left"/>
            </w:pPr>
            <w:r>
              <w:t xml:space="preserve">90%, M1</w:t>
            </w:r>
          </w:p>
        </w:tc>
        <w:tc>
          <w:tcPr/>
          <w:p>
            <w:pPr>
              <w:pStyle w:val="Compact"/>
              <w:jc w:val="left"/>
            </w:pPr>
            <w:r>
              <w:t xml:space="preserve">85%, M0</w:t>
            </w:r>
          </w:p>
        </w:tc>
        <w:tc>
          <w:tcPr/>
          <w:p>
            <w:pPr>
              <w:pStyle w:val="Compact"/>
              <w:jc w:val="left"/>
            </w:pPr>
            <w:r>
              <w:t xml:space="preserve">85%, M1</w:t>
            </w:r>
          </w:p>
        </w:tc>
      </w:tr>
      <w:tr>
        <w:tc>
          <w:tcPr/>
          <w:p>
            <w:pPr>
              <w:pStyle w:val="Compact"/>
              <w:jc w:val="left"/>
            </w:pPr>
            <w:r>
              <w:t xml:space="preserve">35</w:t>
            </w:r>
          </w:p>
        </w:tc>
        <w:tc>
          <w:tcPr/>
          <w:p>
            <w:pPr>
              <w:pStyle w:val="Compact"/>
              <w:jc w:val="left"/>
            </w:pPr>
            <w:r>
              <w:t xml:space="preserve">76 (85)</w:t>
            </w:r>
          </w:p>
        </w:tc>
        <w:tc>
          <w:tcPr/>
          <w:p>
            <w:pPr>
              <w:pStyle w:val="Compact"/>
              <w:jc w:val="left"/>
            </w:pPr>
            <w:r>
              <w:t xml:space="preserve">73 (82)</w:t>
            </w:r>
          </w:p>
        </w:tc>
        <w:tc>
          <w:tcPr/>
          <w:p>
            <w:pPr>
              <w:pStyle w:val="Compact"/>
              <w:jc w:val="left"/>
            </w:pPr>
            <w:r>
              <w:t xml:space="preserve">65 (73)</w:t>
            </w:r>
          </w:p>
        </w:tc>
        <w:tc>
          <w:tcPr/>
          <w:p>
            <w:pPr>
              <w:pStyle w:val="Compact"/>
              <w:jc w:val="left"/>
            </w:pPr>
            <w:r>
              <w:t xml:space="preserve">63 (70)</w:t>
            </w:r>
          </w:p>
        </w:tc>
      </w:tr>
      <w:tr>
        <w:tc>
          <w:tcPr/>
          <w:p>
            <w:pPr>
              <w:pStyle w:val="Compact"/>
              <w:jc w:val="left"/>
            </w:pPr>
            <w:r>
              <w:t xml:space="preserve">40</w:t>
            </w:r>
          </w:p>
        </w:tc>
        <w:tc>
          <w:tcPr/>
          <w:p>
            <w:pPr>
              <w:pStyle w:val="Compact"/>
              <w:jc w:val="left"/>
            </w:pPr>
            <w:r>
              <w:t xml:space="preserve">89 (99)</w:t>
            </w:r>
          </w:p>
        </w:tc>
        <w:tc>
          <w:tcPr/>
          <w:p>
            <w:pPr>
              <w:pStyle w:val="Compact"/>
              <w:jc w:val="left"/>
            </w:pPr>
            <w:r>
              <w:t xml:space="preserve">87 (97)</w:t>
            </w:r>
          </w:p>
        </w:tc>
        <w:tc>
          <w:tcPr/>
          <w:p>
            <w:pPr>
              <w:pStyle w:val="Compact"/>
              <w:jc w:val="left"/>
            </w:pPr>
            <w:r>
              <w:t xml:space="preserve">77 (86)</w:t>
            </w:r>
          </w:p>
        </w:tc>
        <w:tc>
          <w:tcPr/>
          <w:p>
            <w:pPr>
              <w:pStyle w:val="Compact"/>
              <w:jc w:val="left"/>
            </w:pPr>
            <w:r>
              <w:t xml:space="preserve">74 (83)</w:t>
            </w:r>
          </w:p>
        </w:tc>
      </w:tr>
      <w:tr>
        <w:tc>
          <w:tcPr/>
          <w:p>
            <w:pPr>
              <w:pStyle w:val="Compact"/>
              <w:jc w:val="left"/>
            </w:pPr>
            <w:r>
              <w:t xml:space="preserve">43</w:t>
            </w:r>
          </w:p>
        </w:tc>
        <w:tc>
          <w:tcPr/>
          <w:p>
            <w:pPr>
              <w:pStyle w:val="Compact"/>
              <w:jc w:val="left"/>
            </w:pPr>
            <w:r>
              <w:t xml:space="preserve">100 (112)</w:t>
            </w:r>
          </w:p>
        </w:tc>
        <w:tc>
          <w:tcPr/>
          <w:p>
            <w:pPr>
              <w:pStyle w:val="Compact"/>
              <w:jc w:val="left"/>
            </w:pPr>
            <w:r>
              <w:t xml:space="preserve">97 (108)</w:t>
            </w:r>
          </w:p>
        </w:tc>
        <w:tc>
          <w:tcPr/>
          <w:p>
            <w:pPr>
              <w:pStyle w:val="Compact"/>
              <w:jc w:val="left"/>
            </w:pPr>
            <w:r>
              <w:t xml:space="preserve">85 (95)</w:t>
            </w:r>
          </w:p>
        </w:tc>
        <w:tc>
          <w:tcPr/>
          <w:p>
            <w:pPr>
              <w:pStyle w:val="Compact"/>
              <w:jc w:val="left"/>
            </w:pPr>
            <w:r>
              <w:t xml:space="preserve">83 (93)</w:t>
            </w:r>
          </w:p>
        </w:tc>
      </w:tr>
      <w:tr>
        <w:tc>
          <w:tcPr/>
          <w:p>
            <w:pPr>
              <w:pStyle w:val="Compact"/>
              <w:jc w:val="left"/>
            </w:pPr>
            <w:r>
              <w:t xml:space="preserve">46</w:t>
            </w:r>
          </w:p>
        </w:tc>
        <w:tc>
          <w:tcPr/>
          <w:p>
            <w:pPr>
              <w:pStyle w:val="Compact"/>
              <w:jc w:val="left"/>
            </w:pPr>
            <w:r>
              <w:t xml:space="preserve">112 (125)</w:t>
            </w:r>
          </w:p>
        </w:tc>
        <w:tc>
          <w:tcPr/>
          <w:p>
            <w:pPr>
              <w:pStyle w:val="Compact"/>
              <w:jc w:val="left"/>
            </w:pPr>
            <w:r>
              <w:t xml:space="preserve">109 (122)</w:t>
            </w:r>
          </w:p>
        </w:tc>
        <w:tc>
          <w:tcPr/>
          <w:p>
            <w:pPr>
              <w:pStyle w:val="Compact"/>
              <w:jc w:val="left"/>
            </w:pPr>
            <w:r>
              <w:t xml:space="preserve">95 (106)</w:t>
            </w:r>
          </w:p>
        </w:tc>
        <w:tc>
          <w:tcPr/>
          <w:p>
            <w:pPr>
              <w:pStyle w:val="Compact"/>
              <w:jc w:val="left"/>
            </w:pPr>
            <w:r>
              <w:t xml:space="preserve">93 (104)</w:t>
            </w:r>
          </w:p>
        </w:tc>
      </w:tr>
      <w:tr>
        <w:tc>
          <w:tcPr/>
          <w:p>
            <w:pPr>
              <w:pStyle w:val="Compact"/>
              <w:jc w:val="left"/>
            </w:pPr>
            <w:r>
              <w:t xml:space="preserve">50</w:t>
            </w:r>
          </w:p>
        </w:tc>
        <w:tc>
          <w:tcPr/>
          <w:p>
            <w:pPr>
              <w:pStyle w:val="Compact"/>
              <w:jc w:val="left"/>
            </w:pPr>
            <w:r>
              <w:t xml:space="preserve">129 (144)</w:t>
            </w:r>
          </w:p>
        </w:tc>
        <w:tc>
          <w:tcPr/>
          <w:p>
            <w:pPr>
              <w:pStyle w:val="Compact"/>
              <w:jc w:val="left"/>
            </w:pPr>
            <w:r>
              <w:t xml:space="preserve">126 (140)</w:t>
            </w:r>
          </w:p>
        </w:tc>
        <w:tc>
          <w:tcPr/>
          <w:p>
            <w:pPr>
              <w:pStyle w:val="Compact"/>
              <w:jc w:val="left"/>
            </w:pPr>
            <w:r>
              <w:t xml:space="preserve">110 (123)</w:t>
            </w:r>
          </w:p>
        </w:tc>
        <w:tc>
          <w:tcPr/>
          <w:p>
            <w:pPr>
              <w:pStyle w:val="Compact"/>
              <w:jc w:val="left"/>
            </w:pPr>
            <w:r>
              <w:t xml:space="preserve">107 (119)</w:t>
            </w:r>
          </w:p>
        </w:tc>
      </w:tr>
      <w:tr>
        <w:tc>
          <w:tcPr/>
          <w:p>
            <w:pPr>
              <w:pStyle w:val="Compact"/>
              <w:jc w:val="left"/>
            </w:pPr>
            <w:r>
              <w:t xml:space="preserve">52</w:t>
            </w:r>
          </w:p>
        </w:tc>
        <w:tc>
          <w:tcPr/>
          <w:p>
            <w:pPr>
              <w:pStyle w:val="Compact"/>
              <w:jc w:val="left"/>
            </w:pPr>
            <w:r>
              <w:t xml:space="preserve">138 (154)</w:t>
            </w:r>
          </w:p>
        </w:tc>
        <w:tc>
          <w:tcPr/>
          <w:p>
            <w:pPr>
              <w:pStyle w:val="Compact"/>
              <w:jc w:val="left"/>
            </w:pPr>
            <w:r>
              <w:t xml:space="preserve">135 (150)</w:t>
            </w:r>
          </w:p>
        </w:tc>
        <w:tc>
          <w:tcPr/>
          <w:p>
            <w:pPr>
              <w:pStyle w:val="Compact"/>
              <w:jc w:val="left"/>
            </w:pPr>
            <w:r>
              <w:t xml:space="preserve">118 (132)</w:t>
            </w:r>
          </w:p>
        </w:tc>
        <w:tc>
          <w:tcPr/>
          <w:p>
            <w:pPr>
              <w:pStyle w:val="Compact"/>
              <w:jc w:val="left"/>
            </w:pPr>
            <w:r>
              <w:t xml:space="preserve">115 (128)</w:t>
            </w:r>
          </w:p>
        </w:tc>
      </w:tr>
    </w:tbl>
    <w:p>
      <w:pPr>
        <w:numPr>
          <w:ilvl w:val="0"/>
          <w:numId w:val="1047"/>
        </w:numPr>
        <w:pStyle w:val="Compact"/>
      </w:pPr>
      <w:r>
        <w:t xml:space="preserve">Inputs from the primary model (planned schedule, 60 to 90 kg): Cmax log-scale CV 34.3%, correlation of log AUC0-last and log Cmax 0.75, the weight stratum explaining 5.5% of the AUC0-last variance.</w:t>
      </w:r>
    </w:p>
    <w:p>
      <w:pPr>
        <w:numPr>
          <w:ilvl w:val="0"/>
          <w:numId w:val="1047"/>
        </w:numPr>
        <w:pStyle w:val="Compact"/>
      </w:pPr>
      <w:r>
        <w:t xml:space="preserve">With 117 evaluable subjects per arm, P2 power at GMR 0.95 is 94.0% (M0) and 94.5% (M1) at CV 43%, and 87.2% and 88.0% at CV 50%.</w:t>
      </w:r>
    </w:p>
    <w:p>
      <w:pPr>
        <w:numPr>
          <w:ilvl w:val="0"/>
          <w:numId w:val="1047"/>
        </w:numPr>
        <w:pStyle w:val="Compact"/>
      </w:pPr>
      <w:r>
        <w:t xml:space="preserve">The analytic approximation lies inside the Wilson 95% interval of the statistical simulation (5,000 trials per cell) in 277 of 288 grid cells (largest difference 1.50 percentage points). Against PK-model trials with 117 evaluable subjects per arm at the models’ own CV (both models, M0 and M1), it is within 0.61 percentage points of the empirical power at true GMRs of 0.95 (the GMR of Table 5-19) and 1.00, and higher than the empirical power by 1.15 to 2.48 percentage points at a true GMR of 0.90 (results/sample_size/ss_power_mc.csv, ss_pk_check.csv).</w:t>
      </w:r>
    </w:p>
    <w:p>
      <w:pPr>
        <w:numPr>
          <w:ilvl w:val="0"/>
          <w:numId w:val="1047"/>
        </w:numPr>
        <w:pStyle w:val="Compact"/>
      </w:pPr>
      <w:r>
        <w:t xml:space="preserve">CV sources: Li 2020 (Table 3, 300 mg arms, SD/mean 35% to 51%), Cohen 2022 (about 52%; 200 mg, a different presentation, device comparison), the PK models (40% and 43%).</w:t>
      </w:r>
    </w:p>
    <w:p>
      <w:pPr>
        <w:pStyle w:val="CaptionedFigure"/>
      </w:pPr>
      <w:r>
        <w:drawing>
          <wp:inline>
            <wp:extent cx="5334000" cy="3088105"/>
            <wp:effectExtent b="0" l="0" r="0" t="0"/>
            <wp:docPr descr="Figure 5-11. P2 power at a true GMR of 0.95 by evaluable subjects per arm and AUC0-last CV, M0 and M1 (lines analytic, points simulation). Analysis figure results/sample_size/fig_ss_power.png." title="" id="94" name="Picture"/>
            <a:graphic>
              <a:graphicData uri="http://schemas.openxmlformats.org/drawingml/2006/picture">
                <pic:pic>
                  <pic:nvPicPr>
                    <pic:cNvPr descr="../../results/sample_size/fig_ss_power.png" id="95" name="Picture"/>
                    <pic:cNvPicPr>
                      <a:picLocks noChangeArrowheads="1" noChangeAspect="1"/>
                    </pic:cNvPicPr>
                  </pic:nvPicPr>
                  <pic:blipFill>
                    <a:blip r:embed="rId93"/>
                    <a:stretch>
                      <a:fillRect/>
                    </a:stretch>
                  </pic:blipFill>
                  <pic:spPr bwMode="auto">
                    <a:xfrm>
                      <a:off x="0" y="0"/>
                      <a:ext cx="5334000" cy="3088105"/>
                    </a:xfrm>
                    <a:prstGeom prst="rect">
                      <a:avLst/>
                    </a:prstGeom>
                    <a:noFill/>
                    <a:ln w="9525">
                      <a:noFill/>
                      <a:headEnd/>
                      <a:tailEnd/>
                    </a:ln>
                  </pic:spPr>
                </pic:pic>
              </a:graphicData>
            </a:graphic>
          </wp:inline>
        </w:drawing>
      </w:r>
    </w:p>
    <w:p>
      <w:pPr>
        <w:pStyle w:val="ImageCaption"/>
      </w:pPr>
      <w:r>
        <w:t xml:space="preserve">Figure 5-11. P2 power at a true GMR of 0.95 by evaluable subjects per arm and AUC0-last CV, M0 and M1 (lines analytic, points simulation). Analysis figure results/sample_size/fig_ss_power.png.</w:t>
      </w:r>
    </w:p>
    <w:bookmarkEnd w:id="96"/>
    <w:bookmarkEnd w:id="97"/>
    <w:bookmarkStart w:id="103" w:name="discussion"/>
    <w:p>
      <w:pPr>
        <w:pStyle w:val="Heading1"/>
      </w:pPr>
      <w:r>
        <w:t xml:space="preserve">6. Discussion</w:t>
      </w:r>
    </w:p>
    <w:bookmarkStart w:id="98" w:name="the-estimand-and-the-choice-of-auc0-last"/>
    <w:p>
      <w:pPr>
        <w:pStyle w:val="Heading2"/>
      </w:pPr>
      <w:r>
        <w:t xml:space="preserve">6.1 The estimand and the choice of AUC0-last</w:t>
      </w:r>
    </w:p>
    <w:p>
      <w:pPr>
        <w:pStyle w:val="FirstParagraph"/>
      </w:pPr>
      <w:r>
        <w:t xml:space="preserve">The relevant quantity for PK similarity is total exposure, the ratio of the population geometric means of AUC0-inf. For dupilumab under the planned schedule, AUC0-last differs from AUC0-inf by less than 1% in the median subject. As an estimator of the true AUC0-inf ratio, the AUC0-last ratio is biased by at most 1.5% across the boundary scenarios, and in 15 of 16 scenarios the bias points away from 1.</w:t>
      </w:r>
    </w:p>
    <w:p>
      <w:pPr>
        <w:pStyle w:val="BodyText"/>
      </w:pPr>
      <w:r>
        <w:t xml:space="preserve">NCA AUC0-inf, by contrast, estimates a quantity that is not observed. Its extrapolated part is about 4.2 times the true tail at the median and is estimated in the same way in both arms, which dilutes differences. Its subject-level reliability criteria remove a non-random subset of subjects.</w:t>
      </w:r>
    </w:p>
    <w:p>
      <w:pPr>
        <w:pStyle w:val="BodyText"/>
      </w:pPr>
      <w:r>
        <w:t xml:space="preserve">AUC0-inf is therefore not a better measure of total exposure than AUC0-last for this product. Used as the primary endpoint, it fails to control the probability of concluding similarity at the equivalence limits in 8 to 12 of the 16 boundary scenarios with the pooled t-test (10 to 12 with the weight stratum in the model), under the handling rules that are usual in practice (rule A under either criteria set, or rule B).</w:t>
      </w:r>
    </w:p>
    <w:bookmarkEnd w:id="98"/>
    <w:bookmarkStart w:id="99" w:name="boundary-cells-above-5"/>
    <w:p>
      <w:pPr>
        <w:pStyle w:val="Heading2"/>
      </w:pPr>
      <w:r>
        <w:t xml:space="preserve">6.2 Boundary cells above 5%</w:t>
      </w:r>
    </w:p>
    <w:p>
      <w:pPr>
        <w:pStyle w:val="FirstParagraph"/>
      </w:pPr>
      <w:r>
        <w:t xml:space="preserve">2020 model, peripheral volume (V2) up (multiplier 2.28), true AUC0-inf ratio 0.7998: M0 5.18% (95% CI 4.88 to 5.50), nominal; M1 5.63% (95% CI 5.31 to 5.95), exceeding; M2 5.75% (95% CI 5.43 to 6.08), exceeding. Quantitative cause: under M0 the AUC0-last GMR is biased by 0.41% relative to the true AUC0-inf ratio (toward 1), which moves the pass rate from 4.59% for the unbiased reference to 5.20% for AUC0-last alone; Cmax failures change it by -0.02 percentage points; under M1 the AUC0-last GMR is biased by 0.41% relative to the true AUC0-inf ratio (toward 1), which moves the pass rate from 4.94% for the unbiased reference to 5.65% for AUC0-last alone; Cmax failures change it by -0.02 percentage points; under M2 the AUC0-last GMR is biased by 0.41% relative to the true AUC0-inf ratio (toward 1), which moves the pass rate from 4.97% for the unbiased reference to 5.77% for AUC0-last alone; Cmax failures change it by -0.03 percentage points.</w:t>
      </w:r>
    </w:p>
    <w:p>
      <w:pPr>
        <w:pStyle w:val="BodyText"/>
      </w:pPr>
      <w:r>
        <w:t xml:space="preserve">Facts relevant to the plausibility of this mechanism: a proposed biosimilar has the same amino-acid sequence as the reference IgG4 antibody; the cell corresponds to a peripheral volume of distribution 2.28 times that of the reference in the 2020 model (3.21 times in the primary model for the same true AUC0-inf ratio), with absorption and clearance unchanged. Under M0, the Wilson interval at the pre-specified 10,000 trials was 5.32% (95% CI 4.90 to 5.78); the 20,000-trial extension was decided after that result was known (Appendix D). Both values are reported. Under M1 the value at 10,000 trials was 5.74% (95% CI 5.30 to 6.21), already above 5%; the cell was extended for both analysis models together, as registered.</w:t>
      </w:r>
    </w:p>
    <w:bookmarkEnd w:id="99"/>
    <w:bookmarkStart w:id="100" w:name="auc0-inf-as-a-secondary-endpoint"/>
    <w:p>
      <w:pPr>
        <w:pStyle w:val="Heading2"/>
      </w:pPr>
      <w:r>
        <w:t xml:space="preserve">6.3 AUC0-inf as a secondary endpoint</w:t>
      </w:r>
    </w:p>
    <w:p>
      <w:pPr>
        <w:pStyle w:val="FirstParagraph"/>
      </w:pPr>
      <w:r>
        <w:t xml:space="preserve">The sponsor proposes to report AUC0-inf as a secondary endpoint:</w:t>
      </w:r>
    </w:p>
    <w:p>
      <w:pPr>
        <w:numPr>
          <w:ilvl w:val="0"/>
          <w:numId w:val="1048"/>
        </w:numPr>
        <w:pStyle w:val="Compact"/>
      </w:pPr>
      <w:r>
        <w:t xml:space="preserve">AUCINF_obs with Best Fit lambda-z;</w:t>
      </w:r>
    </w:p>
    <w:p>
      <w:pPr>
        <w:numPr>
          <w:ilvl w:val="0"/>
          <w:numId w:val="1048"/>
        </w:numPr>
        <w:pStyle w:val="Compact"/>
      </w:pPr>
      <w:r>
        <w:t xml:space="preserve">the reliability criteria of set (i) (adjusted R-squared at least 0.80, extrapolation at most 20%) as the primary definition, with set (iii) (adjusted R-squared at least 0.90) reported alongside, because both are conventional and the software applies neither by default (Section 3.4);</w:t>
      </w:r>
    </w:p>
    <w:p>
      <w:pPr>
        <w:numPr>
          <w:ilvl w:val="0"/>
          <w:numId w:val="1048"/>
        </w:numPr>
        <w:pStyle w:val="Compact"/>
      </w:pPr>
      <w:r>
        <w:t xml:space="preserve">the GMR and 90% CI, both in all subjects with an estimable lambda-z and in subjects meeting the criteria;</w:t>
      </w:r>
    </w:p>
    <w:p>
      <w:pPr>
        <w:numPr>
          <w:ilvl w:val="0"/>
          <w:numId w:val="1048"/>
        </w:numPr>
        <w:pStyle w:val="Compact"/>
      </w:pPr>
      <w:r>
        <w:t xml:space="preserve">the number and characteristics (including body weight) of subjects excluded, by arm;</w:t>
      </w:r>
    </w:p>
    <w:p>
      <w:pPr>
        <w:numPr>
          <w:ilvl w:val="0"/>
          <w:numId w:val="1048"/>
        </w:numPr>
        <w:pStyle w:val="Compact"/>
      </w:pPr>
      <w:r>
        <w:t xml:space="preserve">the individual lambda-z windows as a listing.</w:t>
      </w:r>
    </w:p>
    <w:p>
      <w:pPr>
        <w:pStyle w:val="FirstParagraph"/>
      </w:pPr>
      <w:r>
        <w:t xml:space="preserve">AUC0-inf is not used for the equivalence decision.</w:t>
      </w:r>
    </w:p>
    <w:p>
      <w:pPr>
        <w:pStyle w:val="BodyText"/>
      </w:pPr>
      <w:r>
        <w:t xml:space="preserve">A span-ratio criterion is not proposed. It penalizes denser late sampling (Section 5.3), and with a span of at least 3 half-lives (set (iv)) 65.9% to 72.5% of subjects of the study population would fail.</w:t>
      </w:r>
    </w:p>
    <w:p>
      <w:pPr>
        <w:pStyle w:val="BodyText"/>
      </w:pPr>
      <w:r>
        <w:t xml:space="preserve">Rule C (substituting AUC0-last for subjects failing the criteria) may be pre-specified as a sensitivity analysis. Its boundary type I error is close to that of AUC0-last + Cmax under each analysis model (largest 5.01% (95% CI 4.71 to 5.32) under M0 and 5.39% (95% CI 5.09 to 5.71) under M1, in the same scenario).</w:t>
      </w:r>
    </w:p>
    <w:bookmarkEnd w:id="100"/>
    <w:bookmarkStart w:id="101" w:name="sampling-schedule-1"/>
    <w:p>
      <w:pPr>
        <w:pStyle w:val="Heading2"/>
      </w:pPr>
      <w:r>
        <w:t xml:space="preserve">6.4 Sampling schedule</w:t>
      </w:r>
    </w:p>
    <w:p>
      <w:pPr>
        <w:pStyle w:val="FirstParagraph"/>
      </w:pPr>
      <w:r>
        <w:t xml:space="preserve">The planned 13-sample schedule to Day 57 is retained. No added-sampling schedule met a decision criterion in either model (in one sensitivity variant, a criterion met at 20,000 subjects was not confirmed in 200,000), and the cliff cannot be sampled at feasible visit intervals. The last planned sample (Day 57) lies after the median time at which the true concentration reaches the LLOQ, and only 2.5% (primary model) to 4.6% (2020 model) of subjects remain above the LLOQ after Day 58. Extending sampling beyond Day 57 would therefore add few quantifiable samples.</w:t>
      </w:r>
    </w:p>
    <w:bookmarkEnd w:id="101"/>
    <w:bookmarkStart w:id="102" w:name="limitations-and-uncertainties"/>
    <w:p>
      <w:pPr>
        <w:pStyle w:val="Heading2"/>
      </w:pPr>
      <w:r>
        <w:t xml:space="preserve">6.5 Limitations and uncertainties</w:t>
      </w:r>
    </w:p>
    <w:p>
      <w:pPr>
        <w:numPr>
          <w:ilvl w:val="0"/>
          <w:numId w:val="1049"/>
        </w:numPr>
        <w:pStyle w:val="Compact"/>
      </w:pPr>
      <w:r>
        <w:rPr>
          <w:bCs/>
          <w:b/>
        </w:rPr>
        <w:t xml:space="preserve">Literature models.</w:t>
      </w:r>
      <w:r>
        <w:t xml:space="preserve"> </w:t>
      </w:r>
      <w:r>
        <w:t xml:space="preserve">The models are published population models whose individual data were not available to the sponsor. They were used as published, and no parameter was re-estimated or tuned. Parameter uncertainty (an outer Monte Carlo layer) was not simulated. Structural uncertainty is represented by two models, and the conclusions are the same in both.</w:t>
      </w:r>
    </w:p>
    <w:p>
      <w:pPr>
        <w:numPr>
          <w:ilvl w:val="0"/>
          <w:numId w:val="1049"/>
        </w:numPr>
        <w:pStyle w:val="Compact"/>
      </w:pPr>
      <w:r>
        <w:rPr>
          <w:bCs/>
          <w:b/>
        </w:rPr>
        <w:t xml:space="preserve">Unobservable terminal curve.</w:t>
      </w:r>
      <w:r>
        <w:t xml:space="preserve"> </w:t>
      </w:r>
      <w:r>
        <w:t xml:space="preserve">The terminal curve below the LLOQ cannot be observed, and Km is fixed in both models without between-subject variability. The Km and Vmax sensitivity analyses in both arms, and the Km inversion in the test arm, show that coverage and the operating characteristics do not depend on these assumptions within ranges consistent with the observed data.</w:t>
      </w:r>
    </w:p>
    <w:p>
      <w:pPr>
        <w:numPr>
          <w:ilvl w:val="0"/>
          <w:numId w:val="1049"/>
        </w:numPr>
        <w:pStyle w:val="Compact"/>
      </w:pPr>
      <w:r>
        <w:rPr>
          <w:bCs/>
          <w:b/>
        </w:rPr>
        <w:t xml:space="preserve">Cmax.</w:t>
      </w:r>
      <w:r>
        <w:t xml:space="preserve"> </w:t>
      </w:r>
      <w:r>
        <w:t xml:space="preserve">Cmax is over-predicted (Section 4.2). The operating characteristics of Cmax itself are not the subject of this report.</w:t>
      </w:r>
    </w:p>
    <w:p>
      <w:pPr>
        <w:numPr>
          <w:ilvl w:val="0"/>
          <w:numId w:val="1049"/>
        </w:numPr>
        <w:pStyle w:val="Compact"/>
      </w:pPr>
      <w:r>
        <w:rPr>
          <w:bCs/>
          <w:b/>
        </w:rPr>
        <w:t xml:space="preserve">200 mg presentation.</w:t>
      </w:r>
      <w:r>
        <w:t xml:space="preserve"> </w:t>
      </w:r>
      <w:r>
        <w:t xml:space="preserve">The faster absorption of the 200 mg (175 mg/mL) presentation is not reproduced. The study uses the 300 mg (150 mg/mL, 2 mL) presentation, whose absorption timing and exposure are reproduced.</w:t>
      </w:r>
    </w:p>
    <w:p>
      <w:pPr>
        <w:numPr>
          <w:ilvl w:val="0"/>
          <w:numId w:val="1049"/>
        </w:numPr>
        <w:pStyle w:val="Compact"/>
      </w:pPr>
      <w:r>
        <w:rPr>
          <w:bCs/>
          <w:b/>
        </w:rPr>
        <w:t xml:space="preserve">Design placeholders.</w:t>
      </w:r>
      <w:r>
        <w:t xml:space="preserve"> </w:t>
      </w:r>
      <w:r>
        <w:t xml:space="preserve">Several study-design inputs are placeholders pending confirmation (Appendix B), in particular the bioanalytical LLOQ of the sponsor’s assay (its effect between 0.02 and 0.5 mg/L is shown in Section 5.10, and the value is set in one configuration file for regeneration), the Day 1 post-dose sampling time, the visit windows, the weight distribution and the stratification.</w:t>
      </w:r>
    </w:p>
    <w:p>
      <w:pPr>
        <w:numPr>
          <w:ilvl w:val="0"/>
          <w:numId w:val="1049"/>
        </w:numPr>
        <w:pStyle w:val="Compact"/>
      </w:pPr>
      <w:r>
        <w:rPr>
          <w:bCs/>
          <w:b/>
        </w:rPr>
        <w:t xml:space="preserve">Analysis model.</w:t>
      </w:r>
      <w:r>
        <w:t xml:space="preserve"> </w:t>
      </w:r>
      <w:r>
        <w:t xml:space="preserve">The primary analysis model (pooled t-test or ANOVA with the randomization stratum) is not yet selected; both are reported (Section 5.9).</w:t>
      </w:r>
    </w:p>
    <w:p>
      <w:pPr>
        <w:numPr>
          <w:ilvl w:val="0"/>
          <w:numId w:val="1049"/>
        </w:numPr>
        <w:pStyle w:val="Compact"/>
      </w:pPr>
      <w:r>
        <w:rPr>
          <w:bCs/>
          <w:b/>
        </w:rPr>
        <w:t xml:space="preserve">Body weight outside the trial population.</w:t>
      </w:r>
      <w:r>
        <w:t xml:space="preserve"> </w:t>
      </w:r>
      <w:r>
        <w:t xml:space="preserve">The proposal is judged in the trial population of healthy adults of 60 to 90 kg. Results for heavier or lighter subjects and for an adult atopic dermatitis body-weight distribution (a placeholder built from published summaries) are robustness checks in Appendix I. The body-weight ranges of the models’ development data are not reported, so results above about 130 kg may be extrapolations.</w:t>
      </w:r>
    </w:p>
    <w:p>
      <w:pPr>
        <w:numPr>
          <w:ilvl w:val="0"/>
          <w:numId w:val="1049"/>
        </w:numPr>
        <w:pStyle w:val="Compact"/>
      </w:pPr>
      <w:r>
        <w:rPr>
          <w:bCs/>
          <w:b/>
        </w:rPr>
        <w:t xml:space="preserve">Manual lambda-z review.</w:t>
      </w:r>
      <w:r>
        <w:t xml:space="preserve"> </w:t>
      </w:r>
      <w:r>
        <w:t xml:space="preserve">The automated Best Fit is simulated. In the study, a pharmacokineticist may review the lambda-z windows; this is not simulated.</w:t>
      </w:r>
    </w:p>
    <w:p>
      <w:pPr>
        <w:numPr>
          <w:ilvl w:val="0"/>
          <w:numId w:val="1049"/>
        </w:numPr>
        <w:pStyle w:val="Compact"/>
      </w:pPr>
      <w:r>
        <w:rPr>
          <w:bCs/>
          <w:b/>
        </w:rPr>
        <w:t xml:space="preserve">Dropout.</w:t>
      </w:r>
      <w:r>
        <w:t xml:space="preserve"> </w:t>
      </w:r>
      <w:r>
        <w:t xml:space="preserve">Dropout is not simulated: 117 evaluable subjects per arm are assumed.</w:t>
      </w:r>
    </w:p>
    <w:p>
      <w:pPr>
        <w:numPr>
          <w:ilvl w:val="0"/>
          <w:numId w:val="1049"/>
        </w:numPr>
        <w:pStyle w:val="Compact"/>
      </w:pPr>
      <w:r>
        <w:rPr>
          <w:bCs/>
          <w:b/>
        </w:rPr>
        <w:t xml:space="preserve">Immunogenicity.</w:t>
      </w:r>
      <w:r>
        <w:t xml:space="preserve"> </w:t>
      </w:r>
      <w:r>
        <w:t xml:space="preserve">Anti-drug antibodies are represented only by an ADA-like subgroup sensitivity analysis, not in the operating characteristics.</w:t>
      </w:r>
    </w:p>
    <w:p>
      <w:pPr>
        <w:numPr>
          <w:ilvl w:val="0"/>
          <w:numId w:val="1049"/>
        </w:numPr>
        <w:pStyle w:val="Compact"/>
      </w:pPr>
      <w:r>
        <w:rPr>
          <w:bCs/>
          <w:b/>
        </w:rPr>
        <w:t xml:space="preserve">Post hoc analyses</w:t>
      </w:r>
      <w:r>
        <w:t xml:space="preserve"> </w:t>
      </w:r>
      <w:r>
        <w:t xml:space="preserve">are listed in Appendix D.</w:t>
      </w:r>
    </w:p>
    <w:bookmarkEnd w:id="102"/>
    <w:bookmarkEnd w:id="103"/>
    <w:bookmarkStart w:id="104" w:name="conclusions"/>
    <w:p>
      <w:pPr>
        <w:pStyle w:val="Heading1"/>
      </w:pPr>
      <w:r>
        <w:t xml:space="preserve">7. Conclusions</w:t>
      </w:r>
    </w:p>
    <w:p>
      <w:pPr>
        <w:numPr>
          <w:ilvl w:val="0"/>
          <w:numId w:val="1050"/>
        </w:numPr>
        <w:pStyle w:val="Compact"/>
      </w:pPr>
      <w:r>
        <w:t xml:space="preserve">Boundary scenarios in which AUC0-last + Cmax exceeds 5% (point estimate) under any analysis model: 2020 model, peripheral volume (V2) up (multiplier 2.28), true AUC0-inf ratio 0.7998: M0 5.18% (95% CI 4.88 to 5.50), nominal; M1 5.63% (95% CI 5.31 to 5.95), exceeding; M2 5.75% (95% CI 5.43 to 6.08), exceeding. Quantitative cause: under M0 the AUC0-last GMR is biased by 0.41% relative to the true AUC0-inf ratio (toward 1), which moves the pass rate from 4.59% for the unbiased reference to 5.20% for AUC0-last alone; Cmax failures change it by -0.02 percentage points; under M1 the AUC0-last GMR is biased by 0.41% relative to the true AUC0-inf ratio (toward 1), which moves the pass rate from 4.94% for the unbiased reference to 5.65% for AUC0-last alone; Cmax failures change it by -0.02 percentage points; under M2 the AUC0-last GMR is biased by 0.41% relative to the true AUC0-inf ratio (toward 1), which moves the pass rate from 4.97% for the unbiased reference to 5.77% for AUC0-last alone; Cmax failures change it by -0.03 percentage points. Facts relevant to plausibility are stated in Section 6.2.</w:t>
      </w:r>
    </w:p>
    <w:p>
      <w:pPr>
        <w:numPr>
          <w:ilvl w:val="0"/>
          <w:numId w:val="1050"/>
        </w:numPr>
        <w:pStyle w:val="Compact"/>
      </w:pPr>
      <w:r>
        <w:t xml:space="preserve">Under the planned schedule, AUC0-last captures essentially all of the total exposure to dupilumab after a 300 mg subcutaneous dose (median true extrapolation 0.65% and 0.64% in the two models), and this holds for assay LLOQs between 0.02 and 0.5 mg/L.</w:t>
      </w:r>
    </w:p>
    <w:p>
      <w:pPr>
        <w:numPr>
          <w:ilvl w:val="0"/>
          <w:numId w:val="1050"/>
        </w:numPr>
        <w:pStyle w:val="Compact"/>
      </w:pPr>
      <w:r>
        <w:t xml:space="preserve">In the trial population, a reliable AUC0-inf cannot be obtained in 8.2% to 13.4% of subjects under criteria set (i) and in 33.2% to 38.8% under criteria set (iii) (two models); the share under set (i) is the lower end of the conventional range. Rule A removes subjects with lower true exposure and more subjects of the heavier stratum, loses the stratified balance of body weight between the arms, and removes a different share of subjects in the two arms when the products differ (up to 12.3 percentage points under set (i)). The window coverage of AUC0-last is at least 84.3% in every subject, and the geometric mean of trial AUC0-last GMRs is within 0.012 of the true AUC0-inf ratio.</w:t>
      </w:r>
    </w:p>
    <w:p>
      <w:pPr>
        <w:numPr>
          <w:ilvl w:val="0"/>
          <w:numId w:val="1050"/>
        </w:numPr>
        <w:pStyle w:val="Compact"/>
      </w:pPr>
      <w:r>
        <w:t xml:space="preserve">With the pooled t-test (M0), AUC0-last + Cmax is 15 conservative, 1 nominal and 0 exceeding of 16 boundary cells; with the weight stratum in the model (M1), 15, 0 and 1. M1 corrects the standard error of M0, which ignores the stratified randomization. Power for identical products is 99.6% (95% CI 99.4 to 99.7) (M0) and 99.7% (95% CI 99.5 to 99.7) (M1) in the primary model.</w:t>
      </w:r>
    </w:p>
    <w:p>
      <w:pPr>
        <w:numPr>
          <w:ilvl w:val="0"/>
          <w:numId w:val="1050"/>
        </w:numPr>
        <w:pStyle w:val="Compact"/>
      </w:pPr>
      <w:r>
        <w:t xml:space="preserve">Configurations based on NCA AUC0-inf exceed 5% in 8 to 12 of 16 boundary scenarios with the pooled t-test (10 to 12 with the weight stratum in the model) under the usual handling rules, because of extrapolation and selection bias; under the stricter criteria set (iii), rule A exceeds 5% in 9 of 16 (M0), and the decision changes with the handling rule or criteria set in a median of 12.6% and up to 39.6% of trials per boundary scenario. They add little protection at the limits and cause additional failures of similar products.</w:t>
      </w:r>
    </w:p>
    <w:p>
      <w:pPr>
        <w:numPr>
          <w:ilvl w:val="0"/>
          <w:numId w:val="1050"/>
        </w:numPr>
        <w:pStyle w:val="Compact"/>
      </w:pPr>
      <w:r>
        <w:t xml:space="preserve">Differences in target binding, represented in this model by Km, do not change exposure enough to be detected by any PK endpoint.</w:t>
      </w:r>
    </w:p>
    <w:p>
      <w:pPr>
        <w:numPr>
          <w:ilvl w:val="0"/>
          <w:numId w:val="1050"/>
        </w:numPr>
        <w:pStyle w:val="Compact"/>
      </w:pPr>
      <w:r>
        <w:t xml:space="preserve">Additional samples between Day 36 and Day 50 are not justified. The planned schedule, including Day 50, is retained.</w:t>
      </w:r>
    </w:p>
    <w:p>
      <w:pPr>
        <w:numPr>
          <w:ilvl w:val="0"/>
          <w:numId w:val="1050"/>
        </w:numPr>
        <w:pStyle w:val="Compact"/>
      </w:pPr>
      <w:r>
        <w:t xml:space="preserve">At the protocol CV of 43%, 117 evaluable subjects per arm give P2 power of 94.0% (M0) and 94.5% (M1) at a true GMR of 0.95; at a CV of 50% power is 87.2% and 88.0%.</w:t>
      </w:r>
    </w:p>
    <w:p>
      <w:pPr>
        <w:numPr>
          <w:ilvl w:val="0"/>
          <w:numId w:val="1050"/>
        </w:numPr>
        <w:pStyle w:val="Compact"/>
      </w:pPr>
      <w:r>
        <w:t xml:space="preserve">The sponsor proposes AUC0-last and Cmax as co-primary endpoints, with AUC0-inf as a secondary endpoint with pre-specified lambda-z criteria. The primary analysis model, the assay LLOQ and the target power remain sponsor decisions.</w:t>
      </w:r>
    </w:p>
    <w:bookmarkEnd w:id="104"/>
    <w:bookmarkStart w:id="105" w:name="references"/>
    <w:p>
      <w:pPr>
        <w:pStyle w:val="Heading1"/>
      </w:pPr>
      <w:r>
        <w:t xml:space="preserve">8. References</w:t>
      </w:r>
    </w:p>
    <w:p>
      <w:pPr>
        <w:numPr>
          <w:ilvl w:val="0"/>
          <w:numId w:val="1051"/>
        </w:numPr>
        <w:pStyle w:val="Compact"/>
      </w:pPr>
      <w:r>
        <w:t xml:space="preserve">FDA. Clinical Pharmacology Data to Support a Demonstration of Biosimilarity to a Reference Product. Guidance for Industry. December 2016.</w:t>
      </w:r>
    </w:p>
    <w:p>
      <w:pPr>
        <w:numPr>
          <w:ilvl w:val="0"/>
          <w:numId w:val="1051"/>
        </w:numPr>
        <w:pStyle w:val="Compact"/>
      </w:pPr>
      <w:r>
        <w:t xml:space="preserve">FDA. Scientific Considerations in Demonstrating Biosimilarity to a Reference Product: Updated Recommendations for Assessing the Need for Comparative Efficacy Studies. Draft Guidance for Industry. October 2025.</w:t>
      </w:r>
    </w:p>
    <w:p>
      <w:pPr>
        <w:numPr>
          <w:ilvl w:val="0"/>
          <w:numId w:val="1051"/>
        </w:numPr>
        <w:pStyle w:val="Compact"/>
      </w:pPr>
      <w:r>
        <w:t xml:space="preserve">ICH. M15 General Principles for Model-Informed Drug Development. Step 4, 2026; FDA guidance for industry, 2026.</w:t>
      </w:r>
    </w:p>
    <w:p>
      <w:pPr>
        <w:numPr>
          <w:ilvl w:val="0"/>
          <w:numId w:val="1051"/>
        </w:numPr>
        <w:pStyle w:val="Compact"/>
      </w:pPr>
      <w:r>
        <w:t xml:space="preserve">Kovalenko P, et al. CPT Pharmacometrics Syst Pharmacol. 2016;5(11):617-624 (Table 2,</w:t>
      </w:r>
      <w:r>
        <w:t xml:space="preserve"> </w:t>
      </w:r>
      <w:r>
        <w:t xml:space="preserve">“</w:t>
      </w:r>
      <w:r>
        <w:t xml:space="preserve">BLQ data included</w:t>
      </w:r>
      <w:r>
        <w:t xml:space="preserve">”</w:t>
      </w:r>
      <w:r>
        <w:t xml:space="preserve">).</w:t>
      </w:r>
    </w:p>
    <w:p>
      <w:pPr>
        <w:numPr>
          <w:ilvl w:val="0"/>
          <w:numId w:val="1051"/>
        </w:numPr>
        <w:pStyle w:val="Compact"/>
      </w:pPr>
      <w:r>
        <w:t xml:space="preserve">Kovalenko P, et al. Clin Pharmacol Drug Dev. 2020;9(6):756-767 (Table 1; Supplementary Table 2).</w:t>
      </w:r>
    </w:p>
    <w:p>
      <w:pPr>
        <w:numPr>
          <w:ilvl w:val="0"/>
          <w:numId w:val="1051"/>
        </w:numPr>
        <w:pStyle w:val="Compact"/>
      </w:pPr>
      <w:r>
        <w:t xml:space="preserve">Li Z, et al. Clin Pharmacol Drug Dev. 2020;9(6):742-755 (Tables 1 to 3; Figure 2).</w:t>
      </w:r>
    </w:p>
    <w:p>
      <w:pPr>
        <w:numPr>
          <w:ilvl w:val="0"/>
          <w:numId w:val="1051"/>
        </w:numPr>
        <w:pStyle w:val="Compact"/>
      </w:pPr>
      <w:r>
        <w:t xml:space="preserve">Clot PA, et al. Int Immunopharmacol. 2021;99:107985 (Tables 1, 3 and 5).</w:t>
      </w:r>
    </w:p>
    <w:p>
      <w:pPr>
        <w:numPr>
          <w:ilvl w:val="0"/>
          <w:numId w:val="1051"/>
        </w:numPr>
        <w:pStyle w:val="Compact"/>
      </w:pPr>
      <w:r>
        <w:t xml:space="preserve">Cohen S, et al. Clin Pharmacol Drug Dev. 2022;11(5):675-682 (Table 2).</w:t>
      </w:r>
    </w:p>
    <w:p>
      <w:pPr>
        <w:numPr>
          <w:ilvl w:val="0"/>
          <w:numId w:val="1051"/>
        </w:numPr>
        <w:pStyle w:val="Compact"/>
      </w:pPr>
      <w:r>
        <w:t xml:space="preserve">FDA. BLA 761055 (dupilumab) Clinical Pharmacology Review. 2016.</w:t>
      </w:r>
    </w:p>
    <w:p>
      <w:pPr>
        <w:numPr>
          <w:ilvl w:val="0"/>
          <w:numId w:val="1051"/>
        </w:numPr>
        <w:pStyle w:val="Compact"/>
      </w:pPr>
      <w:r>
        <w:t xml:space="preserve">Schuirmann DJ. A comparison of the two one-sided tests procedure and the power approach for assessing the equivalence of average bioavailability. J Pharmacokinet Biopharm. 1987;15:657-680.</w:t>
      </w:r>
    </w:p>
    <w:p>
      <w:pPr>
        <w:numPr>
          <w:ilvl w:val="0"/>
          <w:numId w:val="1051"/>
        </w:numPr>
        <w:pStyle w:val="Compact"/>
      </w:pPr>
      <w:r>
        <w:t xml:space="preserve">Wilson EB. Probable inference, the law of succession, and statistical inference. J Am Stat Assoc. 1927;22:209-212.</w:t>
      </w:r>
    </w:p>
    <w:p>
      <w:pPr>
        <w:numPr>
          <w:ilvl w:val="0"/>
          <w:numId w:val="1051"/>
        </w:numPr>
        <w:pStyle w:val="Compact"/>
      </w:pPr>
      <w:r>
        <w:t xml:space="preserve">R Core Team. R: A Language and Environment for Statistical Computing, version 4.3.3. Fidler M, et al. rxode2, version 5.1.7. Denney W, et al. PKNCA, version 0.12.1. Bae KS. NonCompart, version 0.8.4.</w:t>
      </w:r>
    </w:p>
    <w:p>
      <w:pPr>
        <w:numPr>
          <w:ilvl w:val="0"/>
          <w:numId w:val="1051"/>
        </w:numPr>
        <w:pStyle w:val="Compact"/>
      </w:pPr>
      <w:r>
        <w:t xml:space="preserve">FDA. Statistical Software Clarifying Statement. 2015.</w:t>
      </w:r>
    </w:p>
    <w:p>
      <w:pPr>
        <w:pStyle w:val="FirstParagraph"/>
      </w:pPr>
      <w:r>
        <w:t xml:space="preserve">Journal, volume, pages and tables of references 4 to 9 were verified by the analysis team; full titles are to be added by medical writing. The wording of references 1 to 3 should be re-checked against the current FDA and ICH versions before submission.</w:t>
      </w:r>
    </w:p>
    <w:bookmarkEnd w:id="105"/>
    <w:bookmarkStart w:id="106" w:name="appendix-a.-parameter-provenance"/>
    <w:p>
      <w:pPr>
        <w:pStyle w:val="Heading1"/>
      </w:pPr>
      <w:r>
        <w:t xml:space="preserve">Appendix A. Parameter provenance</w:t>
      </w:r>
    </w:p>
    <w:p>
      <w:pPr>
        <w:pStyle w:val="TableCaption"/>
      </w:pPr>
      <w:r>
        <w:t xml:space="preserve">Table A-1. Model parameters, values and published sources (generated from the model configuration files).</w:t>
      </w:r>
    </w:p>
    <w:tbl>
      <w:tblPr>
        <w:tblStyle w:val="Table"/>
        <w:tblW w:type="pct" w:w="5000"/>
        <w:tblLook w:firstRow="1" w:lastRow="0" w:firstColumn="0" w:lastColumn="0" w:noHBand="0" w:noVBand="0" w:val="0020"/>
        <w:jc w:val="start"/>
        <w:tblCaption w:val="Table A-1. Model parameters, values and published sources (generated from the model configuration files)."/>
      </w:tblPr>
      <w:tblGrid>
        <w:gridCol w:w="991"/>
        <w:gridCol w:w="811"/>
        <w:gridCol w:w="1172"/>
        <w:gridCol w:w="450"/>
        <w:gridCol w:w="525"/>
        <w:gridCol w:w="3967"/>
      </w:tblGrid>
      <w:tr>
        <w:trPr>
          <w:tblHeader w:val="true"/>
        </w:trPr>
        <w:tc>
          <w:tcPr/>
          <w:p>
            <w:pPr>
              <w:pStyle w:val="Compact"/>
              <w:jc w:val="left"/>
            </w:pPr>
            <w:r>
              <w:t xml:space="preserve">Model</w:t>
            </w:r>
          </w:p>
        </w:tc>
        <w:tc>
          <w:tcPr/>
          <w:p>
            <w:pPr>
              <w:pStyle w:val="Compact"/>
              <w:jc w:val="left"/>
            </w:pPr>
            <w:r>
              <w:t xml:space="preserve">Parameter</w:t>
            </w:r>
          </w:p>
        </w:tc>
        <w:tc>
          <w:tcPr/>
          <w:p>
            <w:pPr>
              <w:pStyle w:val="Compact"/>
              <w:jc w:val="right"/>
            </w:pPr>
            <w:r>
              <w:t xml:space="preserve">Value</w:t>
            </w:r>
          </w:p>
        </w:tc>
        <w:tc>
          <w:tcPr/>
          <w:p>
            <w:pPr>
              <w:pStyle w:val="Compact"/>
              <w:jc w:val="left"/>
            </w:pPr>
            <w:r>
              <w:t xml:space="preserve">Unit</w:t>
            </w:r>
          </w:p>
        </w:tc>
        <w:tc>
          <w:tcPr/>
          <w:p>
            <w:pPr>
              <w:pStyle w:val="Compact"/>
              <w:jc w:val="left"/>
            </w:pPr>
            <w:r>
              <w:t xml:space="preserve">Status</w:t>
            </w:r>
          </w:p>
        </w:tc>
        <w:tc>
          <w:tcPr/>
          <w:p>
            <w:pPr>
              <w:pStyle w:val="Compact"/>
              <w:jc w:val="left"/>
            </w:pPr>
            <w:r>
              <w:t xml:space="preserve">Source</w:t>
            </w:r>
          </w:p>
        </w:tc>
      </w:tr>
      <w:tr>
        <w:tc>
          <w:tcPr/>
          <w:p>
            <w:pPr>
              <w:pStyle w:val="Compact"/>
              <w:jc w:val="left"/>
            </w:pPr>
            <w:r>
              <w:t xml:space="preserve">Kovalenko 2016 (primary)</w:t>
            </w:r>
          </w:p>
        </w:tc>
        <w:tc>
          <w:tcPr/>
          <w:p>
            <w:pPr>
              <w:pStyle w:val="Compact"/>
              <w:jc w:val="left"/>
            </w:pPr>
            <w:r>
              <w:t xml:space="preserve">Vc (central volume, L at 75 kg; V2 in Kovalenko 2016)</w:t>
            </w:r>
          </w:p>
        </w:tc>
        <w:tc>
          <w:tcPr/>
          <w:p>
            <w:pPr>
              <w:pStyle w:val="Compact"/>
              <w:jc w:val="right"/>
            </w:pPr>
            <w:r>
              <w:t xml:space="preserve">2.74</w:t>
            </w:r>
          </w:p>
        </w:tc>
        <w:tc>
          <w:tcPr/>
          <w:p>
            <w:pPr>
              <w:pStyle w:val="Compact"/>
              <w:jc w:val="left"/>
            </w:pPr>
            <w:r>
              <w:t xml:space="preserve">L</w:t>
            </w:r>
          </w:p>
        </w:tc>
        <w:tc>
          <w:tcPr/>
          <w:p>
            <w:pPr>
              <w:pStyle w:val="Compact"/>
              <w:jc w:val="left"/>
            </w:pPr>
            <w:r>
              <w:t xml:space="preserve">confirmed</w:t>
            </w:r>
          </w:p>
        </w:tc>
        <w:tc>
          <w:tcPr/>
          <w:p>
            <w:pPr>
              <w:pStyle w:val="Compact"/>
              <w:jc w:val="left"/>
            </w:pPr>
            <w:r>
              <w:t xml:space="preserve">Kovalenko 2016 Table 2 (V2, BLQ included)</w:t>
            </w:r>
          </w:p>
        </w:tc>
      </w:tr>
      <w:tr>
        <w:tc>
          <w:tcPr/>
          <w:p>
            <w:pPr>
              <w:pStyle w:val="Compact"/>
              <w:jc w:val="left"/>
            </w:pPr>
            <w:r>
              <w:t xml:space="preserve">Kovalenko 2016 (primary)</w:t>
            </w:r>
          </w:p>
        </w:tc>
        <w:tc>
          <w:tcPr/>
          <w:p>
            <w:pPr>
              <w:pStyle w:val="Compact"/>
              <w:jc w:val="left"/>
            </w:pPr>
            <w:r>
              <w:t xml:space="preserve">ke</w:t>
            </w:r>
          </w:p>
        </w:tc>
        <w:tc>
          <w:tcPr/>
          <w:p>
            <w:pPr>
              <w:pStyle w:val="Compact"/>
              <w:jc w:val="right"/>
            </w:pPr>
            <w:r>
              <w:t xml:space="preserve">0.0459</w:t>
            </w:r>
          </w:p>
        </w:tc>
        <w:tc>
          <w:tcPr/>
          <w:p>
            <w:pPr>
              <w:pStyle w:val="Compact"/>
              <w:jc w:val="left"/>
            </w:pPr>
            <w:r>
              <w:t xml:space="preserve">1/day</w:t>
            </w:r>
          </w:p>
        </w:tc>
        <w:tc>
          <w:tcPr/>
          <w:p>
            <w:pPr>
              <w:pStyle w:val="Compact"/>
              <w:jc w:val="left"/>
            </w:pPr>
            <w:r>
              <w:t xml:space="preserve">confirmed</w:t>
            </w:r>
          </w:p>
        </w:tc>
        <w:tc>
          <w:tcPr/>
          <w:p>
            <w:pPr>
              <w:pStyle w:val="Compact"/>
              <w:jc w:val="left"/>
            </w:pPr>
            <w:r>
              <w:t xml:space="preserve">Kovalenko 2016 Table 2</w:t>
            </w:r>
          </w:p>
        </w:tc>
      </w:tr>
      <w:tr>
        <w:tc>
          <w:tcPr/>
          <w:p>
            <w:pPr>
              <w:pStyle w:val="Compact"/>
              <w:jc w:val="left"/>
            </w:pPr>
            <w:r>
              <w:t xml:space="preserve">Kovalenko 2016 (primary)</w:t>
            </w:r>
          </w:p>
        </w:tc>
        <w:tc>
          <w:tcPr/>
          <w:p>
            <w:pPr>
              <w:pStyle w:val="Compact"/>
              <w:jc w:val="left"/>
            </w:pPr>
            <w:r>
              <w:t xml:space="preserve">k12 (k23 in Kovalenko 2016; kcp in 2020)</w:t>
            </w:r>
          </w:p>
        </w:tc>
        <w:tc>
          <w:tcPr/>
          <w:p>
            <w:pPr>
              <w:pStyle w:val="Compact"/>
              <w:jc w:val="right"/>
            </w:pPr>
            <w:r>
              <w:t xml:space="preserve">0.0652</w:t>
            </w:r>
          </w:p>
        </w:tc>
        <w:tc>
          <w:tcPr/>
          <w:p>
            <w:pPr>
              <w:pStyle w:val="Compact"/>
              <w:jc w:val="left"/>
            </w:pPr>
            <w:r>
              <w:t xml:space="preserve">1/day</w:t>
            </w:r>
          </w:p>
        </w:tc>
        <w:tc>
          <w:tcPr/>
          <w:p>
            <w:pPr>
              <w:pStyle w:val="Compact"/>
              <w:jc w:val="left"/>
            </w:pPr>
            <w:r>
              <w:t xml:space="preserve">confirmed</w:t>
            </w:r>
          </w:p>
        </w:tc>
        <w:tc>
          <w:tcPr/>
          <w:p>
            <w:pPr>
              <w:pStyle w:val="Compact"/>
              <w:jc w:val="left"/>
            </w:pPr>
            <w:r>
              <w:t xml:space="preserve">Kovalenko 2016 Table 2 (k23)</w:t>
            </w:r>
          </w:p>
        </w:tc>
      </w:tr>
      <w:tr>
        <w:tc>
          <w:tcPr/>
          <w:p>
            <w:pPr>
              <w:pStyle w:val="Compact"/>
              <w:jc w:val="left"/>
            </w:pPr>
            <w:r>
              <w:t xml:space="preserve">Kovalenko 2016 (primary)</w:t>
            </w:r>
          </w:p>
        </w:tc>
        <w:tc>
          <w:tcPr/>
          <w:p>
            <w:pPr>
              <w:pStyle w:val="Compact"/>
              <w:jc w:val="left"/>
            </w:pPr>
            <w:r>
              <w:t xml:space="preserve">k21 (k32 in Kovalenko 2016; kpc in 2020)</w:t>
            </w:r>
          </w:p>
        </w:tc>
        <w:tc>
          <w:tcPr/>
          <w:p>
            <w:pPr>
              <w:pStyle w:val="Compact"/>
              <w:jc w:val="right"/>
            </w:pPr>
            <w:r>
              <w:t xml:space="preserve">0.129</w:t>
            </w:r>
          </w:p>
        </w:tc>
        <w:tc>
          <w:tcPr/>
          <w:p>
            <w:pPr>
              <w:pStyle w:val="Compact"/>
              <w:jc w:val="left"/>
            </w:pPr>
            <w:r>
              <w:t xml:space="preserve">1/day</w:t>
            </w:r>
          </w:p>
        </w:tc>
        <w:tc>
          <w:tcPr/>
          <w:p>
            <w:pPr>
              <w:pStyle w:val="Compact"/>
              <w:jc w:val="left"/>
            </w:pPr>
            <w:r>
              <w:t xml:space="preserve">confirmed</w:t>
            </w:r>
          </w:p>
        </w:tc>
        <w:tc>
          <w:tcPr/>
          <w:p>
            <w:pPr>
              <w:pStyle w:val="Compact"/>
              <w:jc w:val="left"/>
            </w:pPr>
            <w:r>
              <w:t xml:space="preserve">Kovalenko 2016 Table 2 (k32)</w:t>
            </w:r>
          </w:p>
        </w:tc>
      </w:tr>
      <w:tr>
        <w:tc>
          <w:tcPr/>
          <w:p>
            <w:pPr>
              <w:pStyle w:val="Compact"/>
              <w:jc w:val="left"/>
            </w:pPr>
            <w:r>
              <w:t xml:space="preserve">Kovalenko 2016 (primary)</w:t>
            </w:r>
          </w:p>
        </w:tc>
        <w:tc>
          <w:tcPr/>
          <w:p>
            <w:pPr>
              <w:pStyle w:val="Compact"/>
              <w:jc w:val="left"/>
            </w:pPr>
            <w:r>
              <w:t xml:space="preserve">ka</w:t>
            </w:r>
          </w:p>
        </w:tc>
        <w:tc>
          <w:tcPr/>
          <w:p>
            <w:pPr>
              <w:pStyle w:val="Compact"/>
              <w:jc w:val="right"/>
            </w:pPr>
            <w:r>
              <w:t xml:space="preserve">0.254</w:t>
            </w:r>
          </w:p>
        </w:tc>
        <w:tc>
          <w:tcPr/>
          <w:p>
            <w:pPr>
              <w:pStyle w:val="Compact"/>
              <w:jc w:val="left"/>
            </w:pPr>
            <w:r>
              <w:t xml:space="preserve">1/day</w:t>
            </w:r>
          </w:p>
        </w:tc>
        <w:tc>
          <w:tcPr/>
          <w:p>
            <w:pPr>
              <w:pStyle w:val="Compact"/>
              <w:jc w:val="left"/>
            </w:pPr>
            <w:r>
              <w:t xml:space="preserve">confirmed</w:t>
            </w:r>
          </w:p>
        </w:tc>
        <w:tc>
          <w:tcPr/>
          <w:p>
            <w:pPr>
              <w:pStyle w:val="Compact"/>
              <w:jc w:val="left"/>
            </w:pPr>
            <w:r>
              <w:t xml:space="preserve">Kovalenko 2016 Table 2</w:t>
            </w:r>
          </w:p>
        </w:tc>
      </w:tr>
      <w:tr>
        <w:tc>
          <w:tcPr/>
          <w:p>
            <w:pPr>
              <w:pStyle w:val="Compact"/>
              <w:jc w:val="left"/>
            </w:pPr>
            <w:r>
              <w:t xml:space="preserve">Kovalenko 2016 (primary)</w:t>
            </w:r>
          </w:p>
        </w:tc>
        <w:tc>
          <w:tcPr/>
          <w:p>
            <w:pPr>
              <w:pStyle w:val="Compact"/>
              <w:jc w:val="left"/>
            </w:pPr>
            <w:r>
              <w:t xml:space="preserve">Vmax</w:t>
            </w:r>
          </w:p>
        </w:tc>
        <w:tc>
          <w:tcPr/>
          <w:p>
            <w:pPr>
              <w:pStyle w:val="Compact"/>
              <w:jc w:val="right"/>
            </w:pPr>
            <w:r>
              <w:t xml:space="preserve">0.968</w:t>
            </w:r>
          </w:p>
        </w:tc>
        <w:tc>
          <w:tcPr/>
          <w:p>
            <w:pPr>
              <w:pStyle w:val="Compact"/>
              <w:jc w:val="left"/>
            </w:pPr>
            <w:r>
              <w:t xml:space="preserve">mg/L/day</w:t>
            </w:r>
          </w:p>
        </w:tc>
        <w:tc>
          <w:tcPr/>
          <w:p>
            <w:pPr>
              <w:pStyle w:val="Compact"/>
              <w:jc w:val="left"/>
            </w:pPr>
            <w:r>
              <w:t xml:space="preserve">confirmed</w:t>
            </w:r>
          </w:p>
        </w:tc>
        <w:tc>
          <w:tcPr/>
          <w:p>
            <w:pPr>
              <w:pStyle w:val="Compact"/>
              <w:jc w:val="left"/>
            </w:pPr>
            <w:r>
              <w:t xml:space="preserve">Kovalenko 2016 Table 2</w:t>
            </w:r>
          </w:p>
        </w:tc>
      </w:tr>
      <w:tr>
        <w:tc>
          <w:tcPr/>
          <w:p>
            <w:pPr>
              <w:pStyle w:val="Compact"/>
              <w:jc w:val="left"/>
            </w:pPr>
            <w:r>
              <w:t xml:space="preserve">Kovalenko 2016 (primary)</w:t>
            </w:r>
          </w:p>
        </w:tc>
        <w:tc>
          <w:tcPr/>
          <w:p>
            <w:pPr>
              <w:pStyle w:val="Compact"/>
              <w:jc w:val="left"/>
            </w:pPr>
            <w:r>
              <w:t xml:space="preserve">Km</w:t>
            </w:r>
          </w:p>
        </w:tc>
        <w:tc>
          <w:tcPr/>
          <w:p>
            <w:pPr>
              <w:pStyle w:val="Compact"/>
              <w:jc w:val="right"/>
            </w:pPr>
            <w:r>
              <w:t xml:space="preserve">0.01</w:t>
            </w:r>
          </w:p>
        </w:tc>
        <w:tc>
          <w:tcPr/>
          <w:p>
            <w:pPr>
              <w:pStyle w:val="Compact"/>
              <w:jc w:val="left"/>
            </w:pPr>
            <w:r>
              <w:t xml:space="preserve">mg/L</w:t>
            </w:r>
          </w:p>
        </w:tc>
        <w:tc>
          <w:tcPr/>
          <w:p>
            <w:pPr>
              <w:pStyle w:val="Compact"/>
              <w:jc w:val="left"/>
            </w:pPr>
            <w:r>
              <w:t xml:space="preserve">confirmed</w:t>
            </w:r>
          </w:p>
        </w:tc>
        <w:tc>
          <w:tcPr/>
          <w:p>
            <w:pPr>
              <w:pStyle w:val="Compact"/>
              <w:jc w:val="left"/>
            </w:pPr>
            <w:r>
              <w:t xml:space="preserve">Kovalenko 2016 Table 2 (fixed)</w:t>
            </w:r>
          </w:p>
        </w:tc>
      </w:tr>
      <w:tr>
        <w:tc>
          <w:tcPr/>
          <w:p>
            <w:pPr>
              <w:pStyle w:val="Compact"/>
              <w:jc w:val="left"/>
            </w:pPr>
            <w:r>
              <w:t xml:space="preserve">Kovalenko 2016 (primary)</w:t>
            </w:r>
          </w:p>
        </w:tc>
        <w:tc>
          <w:tcPr/>
          <w:p>
            <w:pPr>
              <w:pStyle w:val="Compact"/>
              <w:jc w:val="left"/>
            </w:pPr>
            <w:r>
              <w:t xml:space="preserve">F</w:t>
            </w:r>
          </w:p>
        </w:tc>
        <w:tc>
          <w:tcPr/>
          <w:p>
            <w:pPr>
              <w:pStyle w:val="Compact"/>
              <w:jc w:val="right"/>
            </w:pPr>
            <w:r>
              <w:t xml:space="preserve">0.607</w:t>
            </w:r>
          </w:p>
        </w:tc>
        <w:tc>
          <w:tcPr/>
          <w:p>
            <w:pPr>
              <w:pStyle w:val="Compact"/>
              <w:jc w:val="left"/>
            </w:pPr>
            <w:r>
              <w:t xml:space="preserve">fraction</w:t>
            </w:r>
          </w:p>
        </w:tc>
        <w:tc>
          <w:tcPr/>
          <w:p>
            <w:pPr>
              <w:pStyle w:val="Compact"/>
              <w:jc w:val="left"/>
            </w:pPr>
            <w:r>
              <w:t xml:space="preserve">confirmed</w:t>
            </w:r>
          </w:p>
        </w:tc>
        <w:tc>
          <w:tcPr/>
          <w:p>
            <w:pPr>
              <w:pStyle w:val="Compact"/>
              <w:jc w:val="left"/>
            </w:pPr>
            <w:r>
              <w:t xml:space="preserve">Kovalenko 2016 Table 2</w:t>
            </w:r>
          </w:p>
        </w:tc>
      </w:tr>
      <w:tr>
        <w:tc>
          <w:tcPr/>
          <w:p>
            <w:pPr>
              <w:pStyle w:val="Compact"/>
              <w:jc w:val="left"/>
            </w:pPr>
            <w:r>
              <w:t xml:space="preserve">Kovalenko 2016 (primary)</w:t>
            </w:r>
          </w:p>
        </w:tc>
        <w:tc>
          <w:tcPr/>
          <w:p>
            <w:pPr>
              <w:pStyle w:val="Compact"/>
              <w:jc w:val="left"/>
            </w:pPr>
            <w:r>
              <w:t xml:space="preserve">Weight exponent on Vc</w:t>
            </w:r>
          </w:p>
        </w:tc>
        <w:tc>
          <w:tcPr/>
          <w:p>
            <w:pPr>
              <w:pStyle w:val="Compact"/>
              <w:jc w:val="right"/>
            </w:pPr>
            <w:r>
              <w:t xml:space="preserve">0.705</w:t>
            </w:r>
          </w:p>
        </w:tc>
        <w:tc>
          <w:tcPr/>
          <w:p>
            <w:pPr>
              <w:pStyle w:val="Compact"/>
            </w:pPr>
          </w:p>
        </w:tc>
        <w:tc>
          <w:tcPr/>
          <w:p>
            <w:pPr>
              <w:pStyle w:val="Compact"/>
              <w:jc w:val="left"/>
            </w:pPr>
            <w:r>
              <w:t xml:space="preserve">confirmed</w:t>
            </w:r>
          </w:p>
        </w:tc>
        <w:tc>
          <w:tcPr/>
          <w:p>
            <w:pPr>
              <w:pStyle w:val="Compact"/>
              <w:jc w:val="left"/>
            </w:pPr>
            <w:r>
              <w:t xml:space="preserve">Kovalenko 2016 Table 2</w:t>
            </w:r>
          </w:p>
        </w:tc>
      </w:tr>
      <w:tr>
        <w:tc>
          <w:tcPr/>
          <w:p>
            <w:pPr>
              <w:pStyle w:val="Compact"/>
              <w:jc w:val="left"/>
            </w:pPr>
            <w:r>
              <w:t xml:space="preserve">Kovalenko 2016 (primary)</w:t>
            </w:r>
          </w:p>
        </w:tc>
        <w:tc>
          <w:tcPr/>
          <w:p>
            <w:pPr>
              <w:pStyle w:val="Compact"/>
              <w:jc w:val="left"/>
            </w:pPr>
            <w:r>
              <w:t xml:space="preserve">Reference weight</w:t>
            </w:r>
          </w:p>
        </w:tc>
        <w:tc>
          <w:tcPr/>
          <w:p>
            <w:pPr>
              <w:pStyle w:val="Compact"/>
              <w:jc w:val="right"/>
            </w:pPr>
            <w:r>
              <w:t xml:space="preserve">75</w:t>
            </w:r>
          </w:p>
        </w:tc>
        <w:tc>
          <w:tcPr/>
          <w:p>
            <w:pPr>
              <w:pStyle w:val="Compact"/>
              <w:jc w:val="left"/>
            </w:pPr>
            <w:r>
              <w:t xml:space="preserve">kg</w:t>
            </w:r>
          </w:p>
        </w:tc>
        <w:tc>
          <w:tcPr/>
          <w:p>
            <w:pPr>
              <w:pStyle w:val="Compact"/>
              <w:jc w:val="left"/>
            </w:pPr>
            <w:r>
              <w:t xml:space="preserve">confirmed</w:t>
            </w:r>
          </w:p>
        </w:tc>
        <w:tc>
          <w:tcPr/>
          <w:p>
            <w:pPr>
              <w:pStyle w:val="Compact"/>
              <w:jc w:val="left"/>
            </w:pPr>
            <w:r>
              <w:t xml:space="preserve">Kovalenko 2016 Table 2</w:t>
            </w:r>
          </w:p>
        </w:tc>
      </w:tr>
      <w:tr>
        <w:tc>
          <w:tcPr/>
          <w:p>
            <w:pPr>
              <w:pStyle w:val="Compact"/>
              <w:jc w:val="left"/>
            </w:pPr>
            <w:r>
              <w:t xml:space="preserve">Kovalenko 2016 (primary)</w:t>
            </w:r>
          </w:p>
        </w:tc>
        <w:tc>
          <w:tcPr/>
          <w:p>
            <w:pPr>
              <w:pStyle w:val="Compact"/>
              <w:jc w:val="left"/>
            </w:pPr>
            <w:r>
              <w:t xml:space="preserve">IIV variance Vc</w:t>
            </w:r>
          </w:p>
        </w:tc>
        <w:tc>
          <w:tcPr/>
          <w:p>
            <w:pPr>
              <w:pStyle w:val="Compact"/>
              <w:jc w:val="right"/>
            </w:pPr>
            <w:r>
              <w:t xml:space="preserve">0.0225</w:t>
            </w:r>
          </w:p>
        </w:tc>
        <w:tc>
          <w:tcPr/>
          <w:p>
            <w:pPr>
              <w:pStyle w:val="Compact"/>
              <w:jc w:val="left"/>
            </w:pPr>
            <w:r>
              <w:t xml:space="preserve">log-scale variance</w:t>
            </w:r>
          </w:p>
        </w:tc>
        <w:tc>
          <w:tcPr/>
          <w:p>
            <w:pPr>
              <w:pStyle w:val="Compact"/>
              <w:jc w:val="left"/>
            </w:pPr>
            <w:r>
              <w:t xml:space="preserve">confirmed</w:t>
            </w:r>
          </w:p>
        </w:tc>
        <w:tc>
          <w:tcPr/>
          <w:p>
            <w:pPr>
              <w:pStyle w:val="Compact"/>
              <w:jc w:val="left"/>
            </w:pPr>
            <w:r>
              <w:t xml:space="preserve">Kovalenko 2016 Table 2 (V2)</w:t>
            </w:r>
          </w:p>
        </w:tc>
      </w:tr>
      <w:tr>
        <w:tc>
          <w:tcPr/>
          <w:p>
            <w:pPr>
              <w:pStyle w:val="Compact"/>
              <w:jc w:val="left"/>
            </w:pPr>
            <w:r>
              <w:t xml:space="preserve">Kovalenko 2016 (primary)</w:t>
            </w:r>
          </w:p>
        </w:tc>
        <w:tc>
          <w:tcPr/>
          <w:p>
            <w:pPr>
              <w:pStyle w:val="Compact"/>
              <w:jc w:val="left"/>
            </w:pPr>
            <w:r>
              <w:t xml:space="preserve">IIV variance ke</w:t>
            </w:r>
          </w:p>
        </w:tc>
        <w:tc>
          <w:tcPr/>
          <w:p>
            <w:pPr>
              <w:pStyle w:val="Compact"/>
              <w:jc w:val="right"/>
            </w:pPr>
            <w:r>
              <w:t xml:space="preserve">0.131</w:t>
            </w:r>
          </w:p>
        </w:tc>
        <w:tc>
          <w:tcPr/>
          <w:p>
            <w:pPr>
              <w:pStyle w:val="Compact"/>
              <w:jc w:val="left"/>
            </w:pPr>
            <w:r>
              <w:t xml:space="preserve">log-scale variance</w:t>
            </w:r>
          </w:p>
        </w:tc>
        <w:tc>
          <w:tcPr/>
          <w:p>
            <w:pPr>
              <w:pStyle w:val="Compact"/>
              <w:jc w:val="left"/>
            </w:pPr>
            <w:r>
              <w:t xml:space="preserve">confirmed</w:t>
            </w:r>
          </w:p>
        </w:tc>
        <w:tc>
          <w:tcPr/>
          <w:p>
            <w:pPr>
              <w:pStyle w:val="Compact"/>
              <w:jc w:val="left"/>
            </w:pPr>
            <w:r>
              <w:t xml:space="preserve">Kovalenko 2016 Table 2</w:t>
            </w:r>
          </w:p>
        </w:tc>
      </w:tr>
      <w:tr>
        <w:tc>
          <w:tcPr/>
          <w:p>
            <w:pPr>
              <w:pStyle w:val="Compact"/>
              <w:jc w:val="left"/>
            </w:pPr>
            <w:r>
              <w:t xml:space="preserve">Kovalenko 2016 (primary)</w:t>
            </w:r>
          </w:p>
        </w:tc>
        <w:tc>
          <w:tcPr/>
          <w:p>
            <w:pPr>
              <w:pStyle w:val="Compact"/>
              <w:jc w:val="left"/>
            </w:pPr>
            <w:r>
              <w:t xml:space="preserve">IIV variance ka</w:t>
            </w:r>
          </w:p>
        </w:tc>
        <w:tc>
          <w:tcPr/>
          <w:p>
            <w:pPr>
              <w:pStyle w:val="Compact"/>
              <w:jc w:val="right"/>
            </w:pPr>
            <w:r>
              <w:t xml:space="preserve">0.251</w:t>
            </w:r>
          </w:p>
        </w:tc>
        <w:tc>
          <w:tcPr/>
          <w:p>
            <w:pPr>
              <w:pStyle w:val="Compact"/>
              <w:jc w:val="left"/>
            </w:pPr>
            <w:r>
              <w:t xml:space="preserve">log-scale variance</w:t>
            </w:r>
          </w:p>
        </w:tc>
        <w:tc>
          <w:tcPr/>
          <w:p>
            <w:pPr>
              <w:pStyle w:val="Compact"/>
              <w:jc w:val="left"/>
            </w:pPr>
            <w:r>
              <w:t xml:space="preserve">confirmed</w:t>
            </w:r>
          </w:p>
        </w:tc>
        <w:tc>
          <w:tcPr/>
          <w:p>
            <w:pPr>
              <w:pStyle w:val="Compact"/>
              <w:jc w:val="left"/>
            </w:pPr>
            <w:r>
              <w:t xml:space="preserve">Kovalenko 2016 Table 2</w:t>
            </w:r>
          </w:p>
        </w:tc>
      </w:tr>
      <w:tr>
        <w:tc>
          <w:tcPr/>
          <w:p>
            <w:pPr>
              <w:pStyle w:val="Compact"/>
              <w:jc w:val="left"/>
            </w:pPr>
            <w:r>
              <w:t xml:space="preserve">Kovalenko 2016 (primary)</w:t>
            </w:r>
          </w:p>
        </w:tc>
        <w:tc>
          <w:tcPr/>
          <w:p>
            <w:pPr>
              <w:pStyle w:val="Compact"/>
              <w:jc w:val="left"/>
            </w:pPr>
            <w:r>
              <w:t xml:space="preserve">IIV variance Vmax</w:t>
            </w:r>
          </w:p>
        </w:tc>
        <w:tc>
          <w:tcPr/>
          <w:p>
            <w:pPr>
              <w:pStyle w:val="Compact"/>
              <w:jc w:val="right"/>
            </w:pPr>
            <w:r>
              <w:t xml:space="preserve">0.0428</w:t>
            </w:r>
          </w:p>
        </w:tc>
        <w:tc>
          <w:tcPr/>
          <w:p>
            <w:pPr>
              <w:pStyle w:val="Compact"/>
              <w:jc w:val="left"/>
            </w:pPr>
            <w:r>
              <w:t xml:space="preserve">log-scale variance</w:t>
            </w:r>
          </w:p>
        </w:tc>
        <w:tc>
          <w:tcPr/>
          <w:p>
            <w:pPr>
              <w:pStyle w:val="Compact"/>
              <w:jc w:val="left"/>
            </w:pPr>
            <w:r>
              <w:t xml:space="preserve">confirmed</w:t>
            </w:r>
          </w:p>
        </w:tc>
        <w:tc>
          <w:tcPr/>
          <w:p>
            <w:pPr>
              <w:pStyle w:val="Compact"/>
              <w:jc w:val="left"/>
            </w:pPr>
            <w:r>
              <w:t xml:space="preserve">Kovalenko 2016 Table 2</w:t>
            </w:r>
          </w:p>
        </w:tc>
      </w:tr>
      <w:tr>
        <w:tc>
          <w:tcPr/>
          <w:p>
            <w:pPr>
              <w:pStyle w:val="Compact"/>
              <w:jc w:val="left"/>
            </w:pPr>
            <w:r>
              <w:t xml:space="preserve">Kovalenko 2016 (primary)</w:t>
            </w:r>
          </w:p>
        </w:tc>
        <w:tc>
          <w:tcPr/>
          <w:p>
            <w:pPr>
              <w:pStyle w:val="Compact"/>
              <w:jc w:val="left"/>
            </w:pPr>
            <w:r>
              <w:t xml:space="preserve">IIV variance k12</w:t>
            </w:r>
          </w:p>
        </w:tc>
        <w:tc>
          <w:tcPr/>
          <w:p>
            <w:pPr>
              <w:pStyle w:val="Compact"/>
              <w:jc w:val="right"/>
            </w:pPr>
            <w:r>
              <w:t xml:space="preserve">0</w:t>
            </w:r>
          </w:p>
        </w:tc>
        <w:tc>
          <w:tcPr/>
          <w:p>
            <w:pPr>
              <w:pStyle w:val="Compact"/>
              <w:jc w:val="left"/>
            </w:pPr>
            <w:r>
              <w:t xml:space="preserve">log-scale variance</w:t>
            </w:r>
          </w:p>
        </w:tc>
        <w:tc>
          <w:tcPr/>
          <w:p>
            <w:pPr>
              <w:pStyle w:val="Compact"/>
              <w:jc w:val="left"/>
            </w:pPr>
            <w:r>
              <w:t xml:space="preserve">confirmed</w:t>
            </w:r>
          </w:p>
        </w:tc>
        <w:tc>
          <w:tcPr/>
          <w:p>
            <w:pPr>
              <w:pStyle w:val="Compact"/>
              <w:jc w:val="left"/>
            </w:pPr>
            <w:r>
              <w:t xml:space="preserve">Kovalenko 2016 Table 2 (no IIV estimated)</w:t>
            </w:r>
          </w:p>
        </w:tc>
      </w:tr>
      <w:tr>
        <w:tc>
          <w:tcPr/>
          <w:p>
            <w:pPr>
              <w:pStyle w:val="Compact"/>
              <w:jc w:val="left"/>
            </w:pPr>
            <w:r>
              <w:t xml:space="preserve">Kovalenko 2016 (primary)</w:t>
            </w:r>
          </w:p>
        </w:tc>
        <w:tc>
          <w:tcPr/>
          <w:p>
            <w:pPr>
              <w:pStyle w:val="Compact"/>
              <w:jc w:val="left"/>
            </w:pPr>
            <w:r>
              <w:t xml:space="preserve">IIV variance k21</w:t>
            </w:r>
          </w:p>
        </w:tc>
        <w:tc>
          <w:tcPr/>
          <w:p>
            <w:pPr>
              <w:pStyle w:val="Compact"/>
              <w:jc w:val="right"/>
            </w:pPr>
            <w:r>
              <w:t xml:space="preserve">0</w:t>
            </w:r>
          </w:p>
        </w:tc>
        <w:tc>
          <w:tcPr/>
          <w:p>
            <w:pPr>
              <w:pStyle w:val="Compact"/>
              <w:jc w:val="left"/>
            </w:pPr>
            <w:r>
              <w:t xml:space="preserve">log-scale variance</w:t>
            </w:r>
          </w:p>
        </w:tc>
        <w:tc>
          <w:tcPr/>
          <w:p>
            <w:pPr>
              <w:pStyle w:val="Compact"/>
              <w:jc w:val="left"/>
            </w:pPr>
            <w:r>
              <w:t xml:space="preserve">confirmed</w:t>
            </w:r>
          </w:p>
        </w:tc>
        <w:tc>
          <w:tcPr/>
          <w:p>
            <w:pPr>
              <w:pStyle w:val="Compact"/>
              <w:jc w:val="left"/>
            </w:pPr>
            <w:r>
              <w:t xml:space="preserve">Kovalenko 2016 Table 2 (no IIV estimated)</w:t>
            </w:r>
          </w:p>
        </w:tc>
      </w:tr>
      <w:tr>
        <w:tc>
          <w:tcPr/>
          <w:p>
            <w:pPr>
              <w:pStyle w:val="Compact"/>
              <w:jc w:val="left"/>
            </w:pPr>
            <w:r>
              <w:t xml:space="preserve">Kovalenko 2016 (primary)</w:t>
            </w:r>
          </w:p>
        </w:tc>
        <w:tc>
          <w:tcPr/>
          <w:p>
            <w:pPr>
              <w:pStyle w:val="Compact"/>
              <w:jc w:val="left"/>
            </w:pPr>
            <w:r>
              <w:t xml:space="preserve">IIV variance F</w:t>
            </w:r>
          </w:p>
        </w:tc>
        <w:tc>
          <w:tcPr/>
          <w:p>
            <w:pPr>
              <w:pStyle w:val="Compact"/>
              <w:jc w:val="right"/>
            </w:pPr>
            <w:r>
              <w:t xml:space="preserve">0</w:t>
            </w:r>
          </w:p>
        </w:tc>
        <w:tc>
          <w:tcPr/>
          <w:p>
            <w:pPr>
              <w:pStyle w:val="Compact"/>
              <w:jc w:val="left"/>
            </w:pPr>
            <w:r>
              <w:t xml:space="preserve">log-scale variance</w:t>
            </w:r>
          </w:p>
        </w:tc>
        <w:tc>
          <w:tcPr/>
          <w:p>
            <w:pPr>
              <w:pStyle w:val="Compact"/>
              <w:jc w:val="left"/>
            </w:pPr>
            <w:r>
              <w:t xml:space="preserve">confirmed</w:t>
            </w:r>
          </w:p>
        </w:tc>
        <w:tc>
          <w:tcPr/>
          <w:p>
            <w:pPr>
              <w:pStyle w:val="Compact"/>
              <w:jc w:val="left"/>
            </w:pPr>
            <w:r>
              <w:t xml:space="preserve">Kovalenko 2016 Table 2 (no IIV estimated)</w:t>
            </w:r>
          </w:p>
        </w:tc>
      </w:tr>
      <w:tr>
        <w:tc>
          <w:tcPr/>
          <w:p>
            <w:pPr>
              <w:pStyle w:val="Compact"/>
              <w:jc w:val="left"/>
            </w:pPr>
            <w:r>
              <w:t xml:space="preserve">Kovalenko 2016 (primary)</w:t>
            </w:r>
          </w:p>
        </w:tc>
        <w:tc>
          <w:tcPr/>
          <w:p>
            <w:pPr>
              <w:pStyle w:val="Compact"/>
              <w:jc w:val="left"/>
            </w:pPr>
            <w:r>
              <w:t xml:space="preserve">IIV variance Km</w:t>
            </w:r>
          </w:p>
        </w:tc>
        <w:tc>
          <w:tcPr/>
          <w:p>
            <w:pPr>
              <w:pStyle w:val="Compact"/>
              <w:jc w:val="right"/>
            </w:pPr>
            <w:r>
              <w:t xml:space="preserve">0</w:t>
            </w:r>
          </w:p>
        </w:tc>
        <w:tc>
          <w:tcPr/>
          <w:p>
            <w:pPr>
              <w:pStyle w:val="Compact"/>
              <w:jc w:val="left"/>
            </w:pPr>
            <w:r>
              <w:t xml:space="preserve">log-scale variance</w:t>
            </w:r>
          </w:p>
        </w:tc>
        <w:tc>
          <w:tcPr/>
          <w:p>
            <w:pPr>
              <w:pStyle w:val="Compact"/>
              <w:jc w:val="left"/>
            </w:pPr>
            <w:r>
              <w:t xml:space="preserve">confirmed</w:t>
            </w:r>
          </w:p>
        </w:tc>
        <w:tc>
          <w:tcPr/>
          <w:p>
            <w:pPr>
              <w:pStyle w:val="Compact"/>
              <w:jc w:val="left"/>
            </w:pPr>
            <w:r>
              <w:t xml:space="preserve">Km fixed; no IIV</w:t>
            </w:r>
          </w:p>
        </w:tc>
      </w:tr>
      <w:tr>
        <w:tc>
          <w:tcPr/>
          <w:p>
            <w:pPr>
              <w:pStyle w:val="Compact"/>
              <w:jc w:val="left"/>
            </w:pPr>
            <w:r>
              <w:t xml:space="preserve">Kovalenko 2016 (primary)</w:t>
            </w:r>
          </w:p>
        </w:tc>
        <w:tc>
          <w:tcPr/>
          <w:p>
            <w:pPr>
              <w:pStyle w:val="Compact"/>
              <w:jc w:val="left"/>
            </w:pPr>
            <w:r>
              <w:t xml:space="preserve">Residual proportional</w:t>
            </w:r>
          </w:p>
        </w:tc>
        <w:tc>
          <w:tcPr/>
          <w:p>
            <w:pPr>
              <w:pStyle w:val="Compact"/>
              <w:jc w:val="right"/>
            </w:pPr>
            <w:r>
              <w:t xml:space="preserve">0.242</w:t>
            </w:r>
          </w:p>
        </w:tc>
        <w:tc>
          <w:tcPr/>
          <w:p>
            <w:pPr>
              <w:pStyle w:val="Compact"/>
              <w:jc w:val="left"/>
            </w:pPr>
            <w:r>
              <w:t xml:space="preserve">fraction (SD)</w:t>
            </w:r>
          </w:p>
        </w:tc>
        <w:tc>
          <w:tcPr/>
          <w:p>
            <w:pPr>
              <w:pStyle w:val="Compact"/>
              <w:jc w:val="left"/>
            </w:pPr>
            <w:r>
              <w:t xml:space="preserve">confirmed</w:t>
            </w:r>
          </w:p>
        </w:tc>
        <w:tc>
          <w:tcPr/>
          <w:p>
            <w:pPr>
              <w:pStyle w:val="Compact"/>
              <w:jc w:val="left"/>
            </w:pPr>
            <w:r>
              <w:t xml:space="preserve">Kovalenko 2016 Table 2 (proportional 24.2% CV)</w:t>
            </w:r>
          </w:p>
        </w:tc>
      </w:tr>
      <w:tr>
        <w:tc>
          <w:tcPr/>
          <w:p>
            <w:pPr>
              <w:pStyle w:val="Compact"/>
              <w:jc w:val="left"/>
            </w:pPr>
            <w:r>
              <w:t xml:space="preserve">Kovalenko 2016 (primary)</w:t>
            </w:r>
          </w:p>
        </w:tc>
        <w:tc>
          <w:tcPr/>
          <w:p>
            <w:pPr>
              <w:pStyle w:val="Compact"/>
              <w:jc w:val="left"/>
            </w:pPr>
            <w:r>
              <w:t xml:space="preserve">Residual additive</w:t>
            </w:r>
          </w:p>
        </w:tc>
        <w:tc>
          <w:tcPr/>
          <w:p>
            <w:pPr>
              <w:pStyle w:val="Compact"/>
              <w:jc w:val="right"/>
            </w:pPr>
            <w:r>
              <w:t xml:space="preserve">0.03</w:t>
            </w:r>
          </w:p>
        </w:tc>
        <w:tc>
          <w:tcPr/>
          <w:p>
            <w:pPr>
              <w:pStyle w:val="Compact"/>
              <w:jc w:val="left"/>
            </w:pPr>
            <w:r>
              <w:t xml:space="preserve">mg/L (SD)</w:t>
            </w:r>
          </w:p>
        </w:tc>
        <w:tc>
          <w:tcPr/>
          <w:p>
            <w:pPr>
              <w:pStyle w:val="Compact"/>
              <w:jc w:val="left"/>
            </w:pPr>
            <w:r>
              <w:t xml:space="preserve">confirmed</w:t>
            </w:r>
          </w:p>
        </w:tc>
        <w:tc>
          <w:tcPr/>
          <w:p>
            <w:pPr>
              <w:pStyle w:val="Compact"/>
              <w:jc w:val="left"/>
            </w:pPr>
            <w:r>
              <w:t xml:space="preserve">Kovalenko 2016 Table 2 (additive 0.03 mg/L, fixed)</w:t>
            </w:r>
          </w:p>
        </w:tc>
      </w:tr>
      <w:tr>
        <w:tc>
          <w:tcPr/>
          <w:p>
            <w:pPr>
              <w:pStyle w:val="Compact"/>
              <w:jc w:val="left"/>
            </w:pPr>
            <w:r>
              <w:t xml:space="preserve">Kovalenko 2020 Model 1 (sensitivity)</w:t>
            </w:r>
          </w:p>
        </w:tc>
        <w:tc>
          <w:tcPr/>
          <w:p>
            <w:pPr>
              <w:pStyle w:val="Compact"/>
              <w:jc w:val="left"/>
            </w:pPr>
            <w:r>
              <w:t xml:space="preserve">Vc (central volume, L at 75 kg; V2 in Kovalenko 2016)</w:t>
            </w:r>
          </w:p>
        </w:tc>
        <w:tc>
          <w:tcPr/>
          <w:p>
            <w:pPr>
              <w:pStyle w:val="Compact"/>
              <w:jc w:val="right"/>
            </w:pPr>
            <w:r>
              <w:t xml:space="preserve">2.48</w:t>
            </w:r>
          </w:p>
        </w:tc>
        <w:tc>
          <w:tcPr/>
          <w:p>
            <w:pPr>
              <w:pStyle w:val="Compact"/>
              <w:jc w:val="left"/>
            </w:pPr>
            <w:r>
              <w:t xml:space="preserve">L</w:t>
            </w:r>
          </w:p>
        </w:tc>
        <w:tc>
          <w:tcPr/>
          <w:p>
            <w:pPr>
              <w:pStyle w:val="Compact"/>
              <w:jc w:val="left"/>
            </w:pPr>
            <w:r>
              <w:t xml:space="preserve">confirmed</w:t>
            </w:r>
          </w:p>
        </w:tc>
        <w:tc>
          <w:tcPr/>
          <w:p>
            <w:pPr>
              <w:pStyle w:val="Compact"/>
              <w:jc w:val="left"/>
            </w:pPr>
            <w:r>
              <w:t xml:space="preserve">Kovalenko 2020 Table 1 Model 1 (Vc)</w:t>
            </w:r>
          </w:p>
        </w:tc>
      </w:tr>
      <w:tr>
        <w:tc>
          <w:tcPr/>
          <w:p>
            <w:pPr>
              <w:pStyle w:val="Compact"/>
              <w:jc w:val="left"/>
            </w:pPr>
            <w:r>
              <w:t xml:space="preserve">Kovalenko 2020 Model 1 (sensitivity)</w:t>
            </w:r>
          </w:p>
        </w:tc>
        <w:tc>
          <w:tcPr/>
          <w:p>
            <w:pPr>
              <w:pStyle w:val="Compact"/>
              <w:jc w:val="left"/>
            </w:pPr>
            <w:r>
              <w:t xml:space="preserve">ke</w:t>
            </w:r>
          </w:p>
        </w:tc>
        <w:tc>
          <w:tcPr/>
          <w:p>
            <w:pPr>
              <w:pStyle w:val="Compact"/>
              <w:jc w:val="right"/>
            </w:pPr>
            <w:r>
              <w:t xml:space="preserve">0.0534</w:t>
            </w:r>
          </w:p>
        </w:tc>
        <w:tc>
          <w:tcPr/>
          <w:p>
            <w:pPr>
              <w:pStyle w:val="Compact"/>
              <w:jc w:val="left"/>
            </w:pPr>
            <w:r>
              <w:t xml:space="preserve">1/day</w:t>
            </w:r>
          </w:p>
        </w:tc>
        <w:tc>
          <w:tcPr/>
          <w:p>
            <w:pPr>
              <w:pStyle w:val="Compact"/>
              <w:jc w:val="left"/>
            </w:pPr>
            <w:r>
              <w:t xml:space="preserve">confirmed</w:t>
            </w:r>
          </w:p>
        </w:tc>
        <w:tc>
          <w:tcPr/>
          <w:p>
            <w:pPr>
              <w:pStyle w:val="Compact"/>
              <w:jc w:val="left"/>
            </w:pPr>
            <w:r>
              <w:t xml:space="preserve">Kovalenko 2020 Table 1 Model 1</w:t>
            </w:r>
          </w:p>
        </w:tc>
      </w:tr>
      <w:tr>
        <w:tc>
          <w:tcPr/>
          <w:p>
            <w:pPr>
              <w:pStyle w:val="Compact"/>
              <w:jc w:val="left"/>
            </w:pPr>
            <w:r>
              <w:t xml:space="preserve">Kovalenko 2020 Model 1 (sensitivity)</w:t>
            </w:r>
          </w:p>
        </w:tc>
        <w:tc>
          <w:tcPr/>
          <w:p>
            <w:pPr>
              <w:pStyle w:val="Compact"/>
              <w:jc w:val="left"/>
            </w:pPr>
            <w:r>
              <w:t xml:space="preserve">k12 (k23 in Kovalenko 2016; kcp in 2020)</w:t>
            </w:r>
          </w:p>
        </w:tc>
        <w:tc>
          <w:tcPr/>
          <w:p>
            <w:pPr>
              <w:pStyle w:val="Compact"/>
              <w:jc w:val="right"/>
            </w:pPr>
            <w:r>
              <w:t xml:space="preserve">0.213</w:t>
            </w:r>
          </w:p>
        </w:tc>
        <w:tc>
          <w:tcPr/>
          <w:p>
            <w:pPr>
              <w:pStyle w:val="Compact"/>
              <w:jc w:val="left"/>
            </w:pPr>
            <w:r>
              <w:t xml:space="preserve">1/day</w:t>
            </w:r>
          </w:p>
        </w:tc>
        <w:tc>
          <w:tcPr/>
          <w:p>
            <w:pPr>
              <w:pStyle w:val="Compact"/>
              <w:jc w:val="left"/>
            </w:pPr>
            <w:r>
              <w:t xml:space="preserve">confirmed</w:t>
            </w:r>
          </w:p>
        </w:tc>
        <w:tc>
          <w:tcPr/>
          <w:p>
            <w:pPr>
              <w:pStyle w:val="Compact"/>
              <w:jc w:val="left"/>
            </w:pPr>
            <w:r>
              <w:t xml:space="preserve">Kovalenko 2020 Table 1 Model 1 (kcp)</w:t>
            </w:r>
          </w:p>
        </w:tc>
      </w:tr>
      <w:tr>
        <w:tc>
          <w:tcPr/>
          <w:p>
            <w:pPr>
              <w:pStyle w:val="Compact"/>
              <w:jc w:val="left"/>
            </w:pPr>
            <w:r>
              <w:t xml:space="preserve">Kovalenko 2020 Model 1 (sensitivity)</w:t>
            </w:r>
          </w:p>
        </w:tc>
        <w:tc>
          <w:tcPr/>
          <w:p>
            <w:pPr>
              <w:pStyle w:val="Compact"/>
              <w:jc w:val="left"/>
            </w:pPr>
            <w:r>
              <w:t xml:space="preserve">k21 (k32 in Kovalenko 2016; kpc in 2020)</w:t>
            </w:r>
          </w:p>
        </w:tc>
        <w:tc>
          <w:tcPr/>
          <w:p>
            <w:pPr>
              <w:pStyle w:val="Compact"/>
              <w:jc w:val="right"/>
            </w:pPr>
            <w:r>
              <w:t xml:space="preserve">0.31</w:t>
            </w:r>
          </w:p>
        </w:tc>
        <w:tc>
          <w:tcPr/>
          <w:p>
            <w:pPr>
              <w:pStyle w:val="Compact"/>
              <w:jc w:val="left"/>
            </w:pPr>
            <w:r>
              <w:t xml:space="preserve">1/day</w:t>
            </w:r>
          </w:p>
        </w:tc>
        <w:tc>
          <w:tcPr/>
          <w:p>
            <w:pPr>
              <w:pStyle w:val="Compact"/>
              <w:jc w:val="left"/>
            </w:pPr>
            <w:r>
              <w:t xml:space="preserve">confirmed</w:t>
            </w:r>
          </w:p>
        </w:tc>
        <w:tc>
          <w:tcPr/>
          <w:p>
            <w:pPr>
              <w:pStyle w:val="Compact"/>
              <w:jc w:val="left"/>
            </w:pPr>
            <w:r>
              <w:t xml:space="preserve">Kovalenko 2020 Table 1 Model 1 (kpc, derived from Mpc 0.686)</w:t>
            </w:r>
          </w:p>
        </w:tc>
      </w:tr>
      <w:tr>
        <w:tc>
          <w:tcPr/>
          <w:p>
            <w:pPr>
              <w:pStyle w:val="Compact"/>
              <w:jc w:val="left"/>
            </w:pPr>
            <w:r>
              <w:t xml:space="preserve">Kovalenko 2020 Model 1 (sensitivity)</w:t>
            </w:r>
          </w:p>
        </w:tc>
        <w:tc>
          <w:tcPr/>
          <w:p>
            <w:pPr>
              <w:pStyle w:val="Compact"/>
              <w:jc w:val="left"/>
            </w:pPr>
            <w:r>
              <w:t xml:space="preserve">ka</w:t>
            </w:r>
          </w:p>
        </w:tc>
        <w:tc>
          <w:tcPr/>
          <w:p>
            <w:pPr>
              <w:pStyle w:val="Compact"/>
              <w:jc w:val="right"/>
            </w:pPr>
            <w:r>
              <w:t xml:space="preserve">0.256</w:t>
            </w:r>
          </w:p>
        </w:tc>
        <w:tc>
          <w:tcPr/>
          <w:p>
            <w:pPr>
              <w:pStyle w:val="Compact"/>
              <w:jc w:val="left"/>
            </w:pPr>
            <w:r>
              <w:t xml:space="preserve">1/day</w:t>
            </w:r>
          </w:p>
        </w:tc>
        <w:tc>
          <w:tcPr/>
          <w:p>
            <w:pPr>
              <w:pStyle w:val="Compact"/>
              <w:jc w:val="left"/>
            </w:pPr>
            <w:r>
              <w:t xml:space="preserve">confirmed</w:t>
            </w:r>
          </w:p>
        </w:tc>
        <w:tc>
          <w:tcPr/>
          <w:p>
            <w:pPr>
              <w:pStyle w:val="Compact"/>
              <w:jc w:val="left"/>
            </w:pPr>
            <w:r>
              <w:t xml:space="preserve">Kovalenko 2020 Table 1 Model 1</w:t>
            </w:r>
          </w:p>
        </w:tc>
      </w:tr>
      <w:tr>
        <w:tc>
          <w:tcPr/>
          <w:p>
            <w:pPr>
              <w:pStyle w:val="Compact"/>
              <w:jc w:val="left"/>
            </w:pPr>
            <w:r>
              <w:t xml:space="preserve">Kovalenko 2020 Model 1 (sensitivity)</w:t>
            </w:r>
          </w:p>
        </w:tc>
        <w:tc>
          <w:tcPr/>
          <w:p>
            <w:pPr>
              <w:pStyle w:val="Compact"/>
              <w:jc w:val="left"/>
            </w:pPr>
            <w:r>
              <w:t xml:space="preserve">MTT</w:t>
            </w:r>
          </w:p>
        </w:tc>
        <w:tc>
          <w:tcPr/>
          <w:p>
            <w:pPr>
              <w:pStyle w:val="Compact"/>
              <w:jc w:val="right"/>
            </w:pPr>
            <w:r>
              <w:t xml:space="preserve">0.105</w:t>
            </w:r>
          </w:p>
        </w:tc>
        <w:tc>
          <w:tcPr/>
          <w:p>
            <w:pPr>
              <w:pStyle w:val="Compact"/>
              <w:jc w:val="left"/>
            </w:pPr>
            <w:r>
              <w:t xml:space="preserve">day</w:t>
            </w:r>
          </w:p>
        </w:tc>
        <w:tc>
          <w:tcPr/>
          <w:p>
            <w:pPr>
              <w:pStyle w:val="Compact"/>
              <w:jc w:val="left"/>
            </w:pPr>
            <w:r>
              <w:t xml:space="preserve">confirmed</w:t>
            </w:r>
          </w:p>
        </w:tc>
        <w:tc>
          <w:tcPr/>
          <w:p>
            <w:pPr>
              <w:pStyle w:val="Compact"/>
              <w:jc w:val="left"/>
            </w:pPr>
            <w:r>
              <w:t xml:space="preserve">Kovalenko 2020 Table 1 Model 1</w:t>
            </w:r>
          </w:p>
        </w:tc>
      </w:tr>
      <w:tr>
        <w:tc>
          <w:tcPr/>
          <w:p>
            <w:pPr>
              <w:pStyle w:val="Compact"/>
              <w:jc w:val="left"/>
            </w:pPr>
            <w:r>
              <w:t xml:space="preserve">Kovalenko 2020 Model 1 (sensitivity)</w:t>
            </w:r>
          </w:p>
        </w:tc>
        <w:tc>
          <w:tcPr/>
          <w:p>
            <w:pPr>
              <w:pStyle w:val="Compact"/>
              <w:jc w:val="left"/>
            </w:pPr>
            <w:r>
              <w:t xml:space="preserve">n_transit</w:t>
            </w:r>
          </w:p>
        </w:tc>
        <w:tc>
          <w:tcPr/>
          <w:p>
            <w:pPr>
              <w:pStyle w:val="Compact"/>
              <w:jc w:val="right"/>
            </w:pPr>
            <w:r>
              <w:t xml:space="preserve">3</w:t>
            </w:r>
          </w:p>
        </w:tc>
        <w:tc>
          <w:tcPr/>
          <w:p>
            <w:pPr>
              <w:pStyle w:val="Compact"/>
            </w:pPr>
          </w:p>
        </w:tc>
        <w:tc>
          <w:tcPr/>
          <w:p>
            <w:pPr>
              <w:pStyle w:val="Compact"/>
              <w:jc w:val="left"/>
            </w:pPr>
            <w:r>
              <w:t xml:space="preserve">confirmed</w:t>
            </w:r>
          </w:p>
        </w:tc>
        <w:tc>
          <w:tcPr/>
          <w:p>
            <w:pPr>
              <w:pStyle w:val="Compact"/>
              <w:jc w:val="left"/>
            </w:pPr>
            <w:r>
              <w:t xml:space="preserve">Kovalenko 2020 Table 1 Model 1</w:t>
            </w:r>
          </w:p>
        </w:tc>
      </w:tr>
      <w:tr>
        <w:tc>
          <w:tcPr/>
          <w:p>
            <w:pPr>
              <w:pStyle w:val="Compact"/>
              <w:jc w:val="left"/>
            </w:pPr>
            <w:r>
              <w:t xml:space="preserve">Kovalenko 2020 Model 1 (sensitivity)</w:t>
            </w:r>
          </w:p>
        </w:tc>
        <w:tc>
          <w:tcPr/>
          <w:p>
            <w:pPr>
              <w:pStyle w:val="Compact"/>
              <w:jc w:val="left"/>
            </w:pPr>
            <w:r>
              <w:t xml:space="preserve">Vmax</w:t>
            </w:r>
          </w:p>
        </w:tc>
        <w:tc>
          <w:tcPr/>
          <w:p>
            <w:pPr>
              <w:pStyle w:val="Compact"/>
              <w:jc w:val="right"/>
            </w:pPr>
            <w:r>
              <w:t xml:space="preserve">1.07</w:t>
            </w:r>
          </w:p>
        </w:tc>
        <w:tc>
          <w:tcPr/>
          <w:p>
            <w:pPr>
              <w:pStyle w:val="Compact"/>
              <w:jc w:val="left"/>
            </w:pPr>
            <w:r>
              <w:t xml:space="preserve">mg/L/day</w:t>
            </w:r>
          </w:p>
        </w:tc>
        <w:tc>
          <w:tcPr/>
          <w:p>
            <w:pPr>
              <w:pStyle w:val="Compact"/>
              <w:jc w:val="left"/>
            </w:pPr>
            <w:r>
              <w:t xml:space="preserve">confirmed</w:t>
            </w:r>
          </w:p>
        </w:tc>
        <w:tc>
          <w:tcPr/>
          <w:p>
            <w:pPr>
              <w:pStyle w:val="Compact"/>
              <w:jc w:val="left"/>
            </w:pPr>
            <w:r>
              <w:t xml:space="preserve">Kovalenko 2020 Table 1 Model 1 (Vm)</w:t>
            </w:r>
          </w:p>
        </w:tc>
      </w:tr>
      <w:tr>
        <w:tc>
          <w:tcPr/>
          <w:p>
            <w:pPr>
              <w:pStyle w:val="Compact"/>
              <w:jc w:val="left"/>
            </w:pPr>
            <w:r>
              <w:t xml:space="preserve">Kovalenko 2020 Model 1 (sensitivity)</w:t>
            </w:r>
          </w:p>
        </w:tc>
        <w:tc>
          <w:tcPr/>
          <w:p>
            <w:pPr>
              <w:pStyle w:val="Compact"/>
              <w:jc w:val="left"/>
            </w:pPr>
            <w:r>
              <w:t xml:space="preserve">Km</w:t>
            </w:r>
          </w:p>
        </w:tc>
        <w:tc>
          <w:tcPr/>
          <w:p>
            <w:pPr>
              <w:pStyle w:val="Compact"/>
              <w:jc w:val="right"/>
            </w:pPr>
            <w:r>
              <w:t xml:space="preserve">0.01</w:t>
            </w:r>
          </w:p>
        </w:tc>
        <w:tc>
          <w:tcPr/>
          <w:p>
            <w:pPr>
              <w:pStyle w:val="Compact"/>
              <w:jc w:val="left"/>
            </w:pPr>
            <w:r>
              <w:t xml:space="preserve">mg/L</w:t>
            </w:r>
          </w:p>
        </w:tc>
        <w:tc>
          <w:tcPr/>
          <w:p>
            <w:pPr>
              <w:pStyle w:val="Compact"/>
              <w:jc w:val="left"/>
            </w:pPr>
            <w:r>
              <w:t xml:space="preserve">confirmed</w:t>
            </w:r>
          </w:p>
        </w:tc>
        <w:tc>
          <w:tcPr/>
          <w:p>
            <w:pPr>
              <w:pStyle w:val="Compact"/>
              <w:jc w:val="left"/>
            </w:pPr>
            <w:r>
              <w:t xml:space="preserve">Kovalenko 2020 Table 1 Model 1 (fixed; determined by likelihood profiling)</w:t>
            </w:r>
          </w:p>
        </w:tc>
      </w:tr>
      <w:tr>
        <w:tc>
          <w:tcPr/>
          <w:p>
            <w:pPr>
              <w:pStyle w:val="Compact"/>
              <w:jc w:val="left"/>
            </w:pPr>
            <w:r>
              <w:t xml:space="preserve">Kovalenko 2020 Model 1 (sensitivity)</w:t>
            </w:r>
          </w:p>
        </w:tc>
        <w:tc>
          <w:tcPr/>
          <w:p>
            <w:pPr>
              <w:pStyle w:val="Compact"/>
              <w:jc w:val="left"/>
            </w:pPr>
            <w:r>
              <w:t xml:space="preserve">F</w:t>
            </w:r>
          </w:p>
        </w:tc>
        <w:tc>
          <w:tcPr/>
          <w:p>
            <w:pPr>
              <w:pStyle w:val="Compact"/>
              <w:jc w:val="right"/>
            </w:pPr>
            <w:r>
              <w:t xml:space="preserve">0.643</w:t>
            </w:r>
          </w:p>
        </w:tc>
        <w:tc>
          <w:tcPr/>
          <w:p>
            <w:pPr>
              <w:pStyle w:val="Compact"/>
              <w:jc w:val="left"/>
            </w:pPr>
            <w:r>
              <w:t xml:space="preserve">fraction</w:t>
            </w:r>
          </w:p>
        </w:tc>
        <w:tc>
          <w:tcPr/>
          <w:p>
            <w:pPr>
              <w:pStyle w:val="Compact"/>
              <w:jc w:val="left"/>
            </w:pPr>
            <w:r>
              <w:t xml:space="preserve">confirmed</w:t>
            </w:r>
          </w:p>
        </w:tc>
        <w:tc>
          <w:tcPr/>
          <w:p>
            <w:pPr>
              <w:pStyle w:val="Compact"/>
              <w:jc w:val="left"/>
            </w:pPr>
            <w:r>
              <w:t xml:space="preserve">Kovalenko 2020 Table 1 Model 1</w:t>
            </w:r>
          </w:p>
        </w:tc>
      </w:tr>
      <w:tr>
        <w:tc>
          <w:tcPr/>
          <w:p>
            <w:pPr>
              <w:pStyle w:val="Compact"/>
              <w:jc w:val="left"/>
            </w:pPr>
            <w:r>
              <w:t xml:space="preserve">Kovalenko 2020 Model 1 (sensitivity)</w:t>
            </w:r>
          </w:p>
        </w:tc>
        <w:tc>
          <w:tcPr/>
          <w:p>
            <w:pPr>
              <w:pStyle w:val="Compact"/>
              <w:jc w:val="left"/>
            </w:pPr>
            <w:r>
              <w:t xml:space="preserve">Weight exponent on Vc</w:t>
            </w:r>
          </w:p>
        </w:tc>
        <w:tc>
          <w:tcPr/>
          <w:p>
            <w:pPr>
              <w:pStyle w:val="Compact"/>
              <w:jc w:val="right"/>
            </w:pPr>
            <w:r>
              <w:t xml:space="preserve">0.711</w:t>
            </w:r>
          </w:p>
        </w:tc>
        <w:tc>
          <w:tcPr/>
          <w:p>
            <w:pPr>
              <w:pStyle w:val="Compact"/>
            </w:pPr>
          </w:p>
        </w:tc>
        <w:tc>
          <w:tcPr/>
          <w:p>
            <w:pPr>
              <w:pStyle w:val="Compact"/>
              <w:jc w:val="left"/>
            </w:pPr>
            <w:r>
              <w:t xml:space="preserve">confirmed</w:t>
            </w:r>
          </w:p>
        </w:tc>
        <w:tc>
          <w:tcPr/>
          <w:p>
            <w:pPr>
              <w:pStyle w:val="Compact"/>
              <w:jc w:val="left"/>
            </w:pPr>
            <w:r>
              <w:t xml:space="preserve">Kovalenko 2020 Table 1 Model 1</w:t>
            </w:r>
          </w:p>
        </w:tc>
      </w:tr>
      <w:tr>
        <w:tc>
          <w:tcPr/>
          <w:p>
            <w:pPr>
              <w:pStyle w:val="Compact"/>
              <w:jc w:val="left"/>
            </w:pPr>
            <w:r>
              <w:t xml:space="preserve">Kovalenko 2020 Model 1 (sensitivity)</w:t>
            </w:r>
          </w:p>
        </w:tc>
        <w:tc>
          <w:tcPr/>
          <w:p>
            <w:pPr>
              <w:pStyle w:val="Compact"/>
              <w:jc w:val="left"/>
            </w:pPr>
            <w:r>
              <w:t xml:space="preserve">Reference weight</w:t>
            </w:r>
          </w:p>
        </w:tc>
        <w:tc>
          <w:tcPr/>
          <w:p>
            <w:pPr>
              <w:pStyle w:val="Compact"/>
              <w:jc w:val="right"/>
            </w:pPr>
            <w:r>
              <w:t xml:space="preserve">75</w:t>
            </w:r>
          </w:p>
        </w:tc>
        <w:tc>
          <w:tcPr/>
          <w:p>
            <w:pPr>
              <w:pStyle w:val="Compact"/>
              <w:jc w:val="left"/>
            </w:pPr>
            <w:r>
              <w:t xml:space="preserve">kg</w:t>
            </w:r>
          </w:p>
        </w:tc>
        <w:tc>
          <w:tcPr/>
          <w:p>
            <w:pPr>
              <w:pStyle w:val="Compact"/>
              <w:jc w:val="left"/>
            </w:pPr>
            <w:r>
              <w:t xml:space="preserve">confirmed</w:t>
            </w:r>
          </w:p>
        </w:tc>
        <w:tc>
          <w:tcPr/>
          <w:p>
            <w:pPr>
              <w:pStyle w:val="Compact"/>
              <w:jc w:val="left"/>
            </w:pPr>
            <w:r>
              <w:t xml:space="preserve">Kovalenko 2020 Model 1 (reference weight 75 kg)</w:t>
            </w:r>
          </w:p>
        </w:tc>
      </w:tr>
      <w:tr>
        <w:tc>
          <w:tcPr/>
          <w:p>
            <w:pPr>
              <w:pStyle w:val="Compact"/>
              <w:jc w:val="left"/>
            </w:pPr>
            <w:r>
              <w:t xml:space="preserve">Kovalenko 2020 Model 1 (sensitivity)</w:t>
            </w:r>
          </w:p>
        </w:tc>
        <w:tc>
          <w:tcPr/>
          <w:p>
            <w:pPr>
              <w:pStyle w:val="Compact"/>
              <w:jc w:val="left"/>
            </w:pPr>
            <w:r>
              <w:t xml:space="preserve">IIV variance Vc</w:t>
            </w:r>
          </w:p>
        </w:tc>
        <w:tc>
          <w:tcPr/>
          <w:p>
            <w:pPr>
              <w:pStyle w:val="Compact"/>
              <w:jc w:val="right"/>
            </w:pPr>
            <w:r>
              <w:t xml:space="preserve">0.0369</w:t>
            </w:r>
          </w:p>
        </w:tc>
        <w:tc>
          <w:tcPr/>
          <w:p>
            <w:pPr>
              <w:pStyle w:val="Compact"/>
              <w:jc w:val="left"/>
            </w:pPr>
            <w:r>
              <w:t xml:space="preserve">log-scale variance (SD 0.192)</w:t>
            </w:r>
          </w:p>
        </w:tc>
        <w:tc>
          <w:tcPr/>
          <w:p>
            <w:pPr>
              <w:pStyle w:val="Compact"/>
              <w:jc w:val="left"/>
            </w:pPr>
            <w:r>
              <w:t xml:space="preserve">confirmed</w:t>
            </w:r>
          </w:p>
        </w:tc>
        <w:tc>
          <w:tcPr/>
          <w:p>
            <w:pPr>
              <w:pStyle w:val="Compact"/>
              <w:jc w:val="left"/>
            </w:pPr>
            <w:r>
              <w:t xml:space="preserve">Kovalenko 2020 Supplementary Table 2 (Model 1; reported as SD, squared; covariances not reported, diagonal)</w:t>
            </w:r>
          </w:p>
        </w:tc>
      </w:tr>
      <w:tr>
        <w:tc>
          <w:tcPr/>
          <w:p>
            <w:pPr>
              <w:pStyle w:val="Compact"/>
              <w:jc w:val="left"/>
            </w:pPr>
            <w:r>
              <w:t xml:space="preserve">Kovalenko 2020 Model 1 (sensitivity)</w:t>
            </w:r>
          </w:p>
        </w:tc>
        <w:tc>
          <w:tcPr/>
          <w:p>
            <w:pPr>
              <w:pStyle w:val="Compact"/>
              <w:jc w:val="left"/>
            </w:pPr>
            <w:r>
              <w:t xml:space="preserve">IIV variance ke</w:t>
            </w:r>
          </w:p>
        </w:tc>
        <w:tc>
          <w:tcPr/>
          <w:p>
            <w:pPr>
              <w:pStyle w:val="Compact"/>
              <w:jc w:val="right"/>
            </w:pPr>
            <w:r>
              <w:t xml:space="preserve">0.0812</w:t>
            </w:r>
          </w:p>
        </w:tc>
        <w:tc>
          <w:tcPr/>
          <w:p>
            <w:pPr>
              <w:pStyle w:val="Compact"/>
              <w:jc w:val="left"/>
            </w:pPr>
            <w:r>
              <w:t xml:space="preserve">log-scale variance (SD 0.285)</w:t>
            </w:r>
          </w:p>
        </w:tc>
        <w:tc>
          <w:tcPr/>
          <w:p>
            <w:pPr>
              <w:pStyle w:val="Compact"/>
              <w:jc w:val="left"/>
            </w:pPr>
            <w:r>
              <w:t xml:space="preserve">confirmed</w:t>
            </w:r>
          </w:p>
        </w:tc>
        <w:tc>
          <w:tcPr/>
          <w:p>
            <w:pPr>
              <w:pStyle w:val="Compact"/>
              <w:jc w:val="left"/>
            </w:pPr>
            <w:r>
              <w:t xml:space="preserve">Kovalenko 2020 Supplementary Table 2 (Model 1; reported as SD, squared; covariances not reported, diagonal)</w:t>
            </w:r>
          </w:p>
        </w:tc>
      </w:tr>
      <w:tr>
        <w:tc>
          <w:tcPr/>
          <w:p>
            <w:pPr>
              <w:pStyle w:val="Compact"/>
              <w:jc w:val="left"/>
            </w:pPr>
            <w:r>
              <w:t xml:space="preserve">Kovalenko 2020 Model 1 (sensitivity)</w:t>
            </w:r>
          </w:p>
        </w:tc>
        <w:tc>
          <w:tcPr/>
          <w:p>
            <w:pPr>
              <w:pStyle w:val="Compact"/>
              <w:jc w:val="left"/>
            </w:pPr>
            <w:r>
              <w:t xml:space="preserve">IIV variance ka</w:t>
            </w:r>
          </w:p>
        </w:tc>
        <w:tc>
          <w:tcPr/>
          <w:p>
            <w:pPr>
              <w:pStyle w:val="Compact"/>
              <w:jc w:val="right"/>
            </w:pPr>
            <w:r>
              <w:t xml:space="preserve">0.2247</w:t>
            </w:r>
          </w:p>
        </w:tc>
        <w:tc>
          <w:tcPr/>
          <w:p>
            <w:pPr>
              <w:pStyle w:val="Compact"/>
              <w:jc w:val="left"/>
            </w:pPr>
            <w:r>
              <w:t xml:space="preserve">log-scale variance (SD 0.474)</w:t>
            </w:r>
          </w:p>
        </w:tc>
        <w:tc>
          <w:tcPr/>
          <w:p>
            <w:pPr>
              <w:pStyle w:val="Compact"/>
              <w:jc w:val="left"/>
            </w:pPr>
            <w:r>
              <w:t xml:space="preserve">confirmed</w:t>
            </w:r>
          </w:p>
        </w:tc>
        <w:tc>
          <w:tcPr/>
          <w:p>
            <w:pPr>
              <w:pStyle w:val="Compact"/>
              <w:jc w:val="left"/>
            </w:pPr>
            <w:r>
              <w:t xml:space="preserve">Kovalenko 2020 Supplementary Table 2 (Model 1; reported as SD, squared; covariances not reported, diagonal)</w:t>
            </w:r>
          </w:p>
        </w:tc>
      </w:tr>
      <w:tr>
        <w:tc>
          <w:tcPr/>
          <w:p>
            <w:pPr>
              <w:pStyle w:val="Compact"/>
              <w:jc w:val="left"/>
            </w:pPr>
            <w:r>
              <w:t xml:space="preserve">Kovalenko 2020 Model 1 (sensitivity)</w:t>
            </w:r>
          </w:p>
        </w:tc>
        <w:tc>
          <w:tcPr/>
          <w:p>
            <w:pPr>
              <w:pStyle w:val="Compact"/>
              <w:jc w:val="left"/>
            </w:pPr>
            <w:r>
              <w:t xml:space="preserve">IIV variance Vmax</w:t>
            </w:r>
          </w:p>
        </w:tc>
        <w:tc>
          <w:tcPr/>
          <w:p>
            <w:pPr>
              <w:pStyle w:val="Compact"/>
              <w:jc w:val="right"/>
            </w:pPr>
            <w:r>
              <w:t xml:space="preserve">0.0557</w:t>
            </w:r>
          </w:p>
        </w:tc>
        <w:tc>
          <w:tcPr/>
          <w:p>
            <w:pPr>
              <w:pStyle w:val="Compact"/>
              <w:jc w:val="left"/>
            </w:pPr>
            <w:r>
              <w:t xml:space="preserve">log-scale variance (SD 0.236)</w:t>
            </w:r>
          </w:p>
        </w:tc>
        <w:tc>
          <w:tcPr/>
          <w:p>
            <w:pPr>
              <w:pStyle w:val="Compact"/>
              <w:jc w:val="left"/>
            </w:pPr>
            <w:r>
              <w:t xml:space="preserve">confirmed</w:t>
            </w:r>
          </w:p>
        </w:tc>
        <w:tc>
          <w:tcPr/>
          <w:p>
            <w:pPr>
              <w:pStyle w:val="Compact"/>
              <w:jc w:val="left"/>
            </w:pPr>
            <w:r>
              <w:t xml:space="preserve">Kovalenko 2020 Supplementary Table 2 (Model 1; reported as SD, squared; covariances not reported, diagonal)</w:t>
            </w:r>
          </w:p>
        </w:tc>
      </w:tr>
      <w:tr>
        <w:tc>
          <w:tcPr/>
          <w:p>
            <w:pPr>
              <w:pStyle w:val="Compact"/>
              <w:jc w:val="left"/>
            </w:pPr>
            <w:r>
              <w:t xml:space="preserve">Kovalenko 2020 Model 1 (sensitivity)</w:t>
            </w:r>
          </w:p>
        </w:tc>
        <w:tc>
          <w:tcPr/>
          <w:p>
            <w:pPr>
              <w:pStyle w:val="Compact"/>
              <w:jc w:val="left"/>
            </w:pPr>
            <w:r>
              <w:t xml:space="preserve">IIV variance MTT</w:t>
            </w:r>
          </w:p>
        </w:tc>
        <w:tc>
          <w:tcPr/>
          <w:p>
            <w:pPr>
              <w:pStyle w:val="Compact"/>
              <w:jc w:val="right"/>
            </w:pPr>
            <w:r>
              <w:t xml:space="preserve">0.2756</w:t>
            </w:r>
          </w:p>
        </w:tc>
        <w:tc>
          <w:tcPr/>
          <w:p>
            <w:pPr>
              <w:pStyle w:val="Compact"/>
              <w:jc w:val="left"/>
            </w:pPr>
            <w:r>
              <w:t xml:space="preserve">log-scale variance (SD 0.525)</w:t>
            </w:r>
          </w:p>
        </w:tc>
        <w:tc>
          <w:tcPr/>
          <w:p>
            <w:pPr>
              <w:pStyle w:val="Compact"/>
              <w:jc w:val="left"/>
            </w:pPr>
            <w:r>
              <w:t xml:space="preserve">confirmed</w:t>
            </w:r>
          </w:p>
        </w:tc>
        <w:tc>
          <w:tcPr/>
          <w:p>
            <w:pPr>
              <w:pStyle w:val="Compact"/>
              <w:jc w:val="left"/>
            </w:pPr>
            <w:r>
              <w:t xml:space="preserve">Kovalenko 2020 Supplementary Table 2 (Model 1; reported as SD, squared; covariances not reported, diagonal)</w:t>
            </w:r>
          </w:p>
        </w:tc>
      </w:tr>
      <w:tr>
        <w:tc>
          <w:tcPr/>
          <w:p>
            <w:pPr>
              <w:pStyle w:val="Compact"/>
              <w:jc w:val="left"/>
            </w:pPr>
            <w:r>
              <w:t xml:space="preserve">Kovalenko 2020 Model 1 (sensitivity)</w:t>
            </w:r>
          </w:p>
        </w:tc>
        <w:tc>
          <w:tcPr/>
          <w:p>
            <w:pPr>
              <w:pStyle w:val="Compact"/>
              <w:jc w:val="left"/>
            </w:pPr>
            <w:r>
              <w:t xml:space="preserve">IIV variance k12</w:t>
            </w:r>
          </w:p>
        </w:tc>
        <w:tc>
          <w:tcPr/>
          <w:p>
            <w:pPr>
              <w:pStyle w:val="Compact"/>
              <w:jc w:val="right"/>
            </w:pPr>
            <w:r>
              <w:t xml:space="preserve">0</w:t>
            </w:r>
          </w:p>
        </w:tc>
        <w:tc>
          <w:tcPr/>
          <w:p>
            <w:pPr>
              <w:pStyle w:val="Compact"/>
              <w:jc w:val="left"/>
            </w:pPr>
            <w:r>
              <w:t xml:space="preserve">log-scale variance (SD 0)</w:t>
            </w:r>
          </w:p>
        </w:tc>
        <w:tc>
          <w:tcPr/>
          <w:p>
            <w:pPr>
              <w:pStyle w:val="Compact"/>
              <w:jc w:val="left"/>
            </w:pPr>
            <w:r>
              <w:t xml:space="preserve">confirmed</w:t>
            </w:r>
          </w:p>
        </w:tc>
        <w:tc>
          <w:tcPr/>
          <w:p>
            <w:pPr>
              <w:pStyle w:val="Compact"/>
              <w:jc w:val="left"/>
            </w:pPr>
            <w:r>
              <w:t xml:space="preserve">not estimated in Kovalenko 2020 Model 1</w:t>
            </w:r>
          </w:p>
        </w:tc>
      </w:tr>
      <w:tr>
        <w:tc>
          <w:tcPr/>
          <w:p>
            <w:pPr>
              <w:pStyle w:val="Compact"/>
              <w:jc w:val="left"/>
            </w:pPr>
            <w:r>
              <w:t xml:space="preserve">Kovalenko 2020 Model 1 (sensitivity)</w:t>
            </w:r>
          </w:p>
        </w:tc>
        <w:tc>
          <w:tcPr/>
          <w:p>
            <w:pPr>
              <w:pStyle w:val="Compact"/>
              <w:jc w:val="left"/>
            </w:pPr>
            <w:r>
              <w:t xml:space="preserve">IIV variance k21</w:t>
            </w:r>
          </w:p>
        </w:tc>
        <w:tc>
          <w:tcPr/>
          <w:p>
            <w:pPr>
              <w:pStyle w:val="Compact"/>
              <w:jc w:val="right"/>
            </w:pPr>
            <w:r>
              <w:t xml:space="preserve">0</w:t>
            </w:r>
          </w:p>
        </w:tc>
        <w:tc>
          <w:tcPr/>
          <w:p>
            <w:pPr>
              <w:pStyle w:val="Compact"/>
              <w:jc w:val="left"/>
            </w:pPr>
            <w:r>
              <w:t xml:space="preserve">log-scale variance (SD 0)</w:t>
            </w:r>
          </w:p>
        </w:tc>
        <w:tc>
          <w:tcPr/>
          <w:p>
            <w:pPr>
              <w:pStyle w:val="Compact"/>
              <w:jc w:val="left"/>
            </w:pPr>
            <w:r>
              <w:t xml:space="preserve">confirmed</w:t>
            </w:r>
          </w:p>
        </w:tc>
        <w:tc>
          <w:tcPr/>
          <w:p>
            <w:pPr>
              <w:pStyle w:val="Compact"/>
              <w:jc w:val="left"/>
            </w:pPr>
            <w:r>
              <w:t xml:space="preserve">not estimated in Kovalenko 2020 Model 1</w:t>
            </w:r>
          </w:p>
        </w:tc>
      </w:tr>
      <w:tr>
        <w:tc>
          <w:tcPr/>
          <w:p>
            <w:pPr>
              <w:pStyle w:val="Compact"/>
              <w:jc w:val="left"/>
            </w:pPr>
            <w:r>
              <w:t xml:space="preserve">Kovalenko 2020 Model 1 (sensitivity)</w:t>
            </w:r>
          </w:p>
        </w:tc>
        <w:tc>
          <w:tcPr/>
          <w:p>
            <w:pPr>
              <w:pStyle w:val="Compact"/>
              <w:jc w:val="left"/>
            </w:pPr>
            <w:r>
              <w:t xml:space="preserve">IIV variance F</w:t>
            </w:r>
          </w:p>
        </w:tc>
        <w:tc>
          <w:tcPr/>
          <w:p>
            <w:pPr>
              <w:pStyle w:val="Compact"/>
              <w:jc w:val="right"/>
            </w:pPr>
            <w:r>
              <w:t xml:space="preserve">0</w:t>
            </w:r>
          </w:p>
        </w:tc>
        <w:tc>
          <w:tcPr/>
          <w:p>
            <w:pPr>
              <w:pStyle w:val="Compact"/>
              <w:jc w:val="left"/>
            </w:pPr>
            <w:r>
              <w:t xml:space="preserve">log-scale variance (SD 0)</w:t>
            </w:r>
          </w:p>
        </w:tc>
        <w:tc>
          <w:tcPr/>
          <w:p>
            <w:pPr>
              <w:pStyle w:val="Compact"/>
              <w:jc w:val="left"/>
            </w:pPr>
            <w:r>
              <w:t xml:space="preserve">confirmed</w:t>
            </w:r>
          </w:p>
        </w:tc>
        <w:tc>
          <w:tcPr/>
          <w:p>
            <w:pPr>
              <w:pStyle w:val="Compact"/>
              <w:jc w:val="left"/>
            </w:pPr>
            <w:r>
              <w:t xml:space="preserve">not estimated in Kovalenko 2020 Model 1</w:t>
            </w:r>
          </w:p>
        </w:tc>
      </w:tr>
      <w:tr>
        <w:tc>
          <w:tcPr/>
          <w:p>
            <w:pPr>
              <w:pStyle w:val="Compact"/>
              <w:jc w:val="left"/>
            </w:pPr>
            <w:r>
              <w:t xml:space="preserve">Kovalenko 2020 Model 1 (sensitivity)</w:t>
            </w:r>
          </w:p>
        </w:tc>
        <w:tc>
          <w:tcPr/>
          <w:p>
            <w:pPr>
              <w:pStyle w:val="Compact"/>
              <w:jc w:val="left"/>
            </w:pPr>
            <w:r>
              <w:t xml:space="preserve">IIV variance Km</w:t>
            </w:r>
          </w:p>
        </w:tc>
        <w:tc>
          <w:tcPr/>
          <w:p>
            <w:pPr>
              <w:pStyle w:val="Compact"/>
              <w:jc w:val="right"/>
            </w:pPr>
            <w:r>
              <w:t xml:space="preserve">0</w:t>
            </w:r>
          </w:p>
        </w:tc>
        <w:tc>
          <w:tcPr/>
          <w:p>
            <w:pPr>
              <w:pStyle w:val="Compact"/>
              <w:jc w:val="left"/>
            </w:pPr>
            <w:r>
              <w:t xml:space="preserve">log-scale variance (SD 0)</w:t>
            </w:r>
          </w:p>
        </w:tc>
        <w:tc>
          <w:tcPr/>
          <w:p>
            <w:pPr>
              <w:pStyle w:val="Compact"/>
              <w:jc w:val="left"/>
            </w:pPr>
            <w:r>
              <w:t xml:space="preserve">confirmed</w:t>
            </w:r>
          </w:p>
        </w:tc>
        <w:tc>
          <w:tcPr/>
          <w:p>
            <w:pPr>
              <w:pStyle w:val="Compact"/>
              <w:jc w:val="left"/>
            </w:pPr>
            <w:r>
              <w:t xml:space="preserve">not estimated in Kovalenko 2020 Model 1</w:t>
            </w:r>
          </w:p>
        </w:tc>
      </w:tr>
      <w:tr>
        <w:tc>
          <w:tcPr/>
          <w:p>
            <w:pPr>
              <w:pStyle w:val="Compact"/>
              <w:jc w:val="left"/>
            </w:pPr>
            <w:r>
              <w:t xml:space="preserve">Kovalenko 2020 Model 1 (sensitivity)</w:t>
            </w:r>
          </w:p>
        </w:tc>
        <w:tc>
          <w:tcPr/>
          <w:p>
            <w:pPr>
              <w:pStyle w:val="Compact"/>
              <w:jc w:val="left"/>
            </w:pPr>
            <w:r>
              <w:t xml:space="preserve">Residual proportional</w:t>
            </w:r>
          </w:p>
        </w:tc>
        <w:tc>
          <w:tcPr/>
          <w:p>
            <w:pPr>
              <w:pStyle w:val="Compact"/>
              <w:jc w:val="right"/>
            </w:pPr>
            <w:r>
              <w:t xml:space="preserve">0.15</w:t>
            </w:r>
          </w:p>
        </w:tc>
        <w:tc>
          <w:tcPr/>
          <w:p>
            <w:pPr>
              <w:pStyle w:val="Compact"/>
              <w:jc w:val="left"/>
            </w:pPr>
            <w:r>
              <w:t xml:space="preserve">fraction (SD)</w:t>
            </w:r>
          </w:p>
        </w:tc>
        <w:tc>
          <w:tcPr/>
          <w:p>
            <w:pPr>
              <w:pStyle w:val="Compact"/>
              <w:jc w:val="left"/>
            </w:pPr>
            <w:r>
              <w:t xml:space="preserve">confirmed</w:t>
            </w:r>
          </w:p>
        </w:tc>
        <w:tc>
          <w:tcPr/>
          <w:p>
            <w:pPr>
              <w:pStyle w:val="Compact"/>
              <w:jc w:val="left"/>
            </w:pPr>
            <w:r>
              <w:t xml:space="preserve">Kovalenko 2020 Supplementary Table 2 (proportional 15.0%)</w:t>
            </w:r>
          </w:p>
        </w:tc>
      </w:tr>
      <w:tr>
        <w:tc>
          <w:tcPr/>
          <w:p>
            <w:pPr>
              <w:pStyle w:val="Compact"/>
              <w:jc w:val="left"/>
            </w:pPr>
            <w:r>
              <w:t xml:space="preserve">Kovalenko 2020 Model 1 (sensitivity)</w:t>
            </w:r>
          </w:p>
        </w:tc>
        <w:tc>
          <w:tcPr/>
          <w:p>
            <w:pPr>
              <w:pStyle w:val="Compact"/>
              <w:jc w:val="left"/>
            </w:pPr>
            <w:r>
              <w:t xml:space="preserve">Residual additive</w:t>
            </w:r>
          </w:p>
        </w:tc>
        <w:tc>
          <w:tcPr/>
          <w:p>
            <w:pPr>
              <w:pStyle w:val="Compact"/>
              <w:jc w:val="right"/>
            </w:pPr>
            <w:r>
              <w:t xml:space="preserve">0.03</w:t>
            </w:r>
          </w:p>
        </w:tc>
        <w:tc>
          <w:tcPr/>
          <w:p>
            <w:pPr>
              <w:pStyle w:val="Compact"/>
              <w:jc w:val="left"/>
            </w:pPr>
            <w:r>
              <w:t xml:space="preserve">mg/L (SD)</w:t>
            </w:r>
          </w:p>
        </w:tc>
        <w:tc>
          <w:tcPr/>
          <w:p>
            <w:pPr>
              <w:pStyle w:val="Compact"/>
              <w:jc w:val="left"/>
            </w:pPr>
            <w:r>
              <w:t xml:space="preserve">confirmed</w:t>
            </w:r>
          </w:p>
        </w:tc>
        <w:tc>
          <w:tcPr/>
          <w:p>
            <w:pPr>
              <w:pStyle w:val="Compact"/>
              <w:jc w:val="left"/>
            </w:pPr>
            <w:r>
              <w:t xml:space="preserve">Kovalenko 2020 Supplementary Table 2 (additive 0.03 mg/L, fixed)</w:t>
            </w:r>
          </w:p>
        </w:tc>
      </w:tr>
      <w:tr>
        <w:tc>
          <w:tcPr/>
          <w:p>
            <w:pPr>
              <w:pStyle w:val="Compact"/>
              <w:jc w:val="left"/>
            </w:pPr>
            <w:r>
              <w:t xml:space="preserve">both</w:t>
            </w:r>
          </w:p>
        </w:tc>
        <w:tc>
          <w:tcPr/>
          <w:p>
            <w:pPr>
              <w:pStyle w:val="Compact"/>
              <w:jc w:val="left"/>
            </w:pPr>
            <w:r>
              <w:t xml:space="preserve">LLOQ (study assay, config/assay.yaml)</w:t>
            </w:r>
          </w:p>
        </w:tc>
        <w:tc>
          <w:tcPr/>
          <w:p>
            <w:pPr>
              <w:pStyle w:val="Compact"/>
              <w:jc w:val="right"/>
            </w:pPr>
            <w:r>
              <w:t xml:space="preserve">0.078</w:t>
            </w:r>
          </w:p>
        </w:tc>
        <w:tc>
          <w:tcPr/>
          <w:p>
            <w:pPr>
              <w:pStyle w:val="Compact"/>
              <w:jc w:val="left"/>
            </w:pPr>
            <w:r>
              <w:t xml:space="preserve">mg/L</w:t>
            </w:r>
          </w:p>
        </w:tc>
        <w:tc>
          <w:tcPr/>
          <w:p>
            <w:pPr>
              <w:pStyle w:val="Compact"/>
              <w:jc w:val="left"/>
            </w:pPr>
            <w:r>
              <w:t xml:space="preserve">assumption for the sponsor’s assay</w:t>
            </w:r>
          </w:p>
        </w:tc>
        <w:tc>
          <w:tcPr/>
          <w:p>
            <w:pPr>
              <w:pStyle w:val="Compact"/>
              <w:jc w:val="left"/>
            </w:pPr>
            <w:r>
              <w:t xml:space="preserve">Clot 2021 section 2.4 (originator’s assay, the LLOQ of the data used to develop the PK models); placeholder until the sponsor’s validated assay LLOQ is fixed</w:t>
            </w:r>
          </w:p>
        </w:tc>
      </w:tr>
      <w:tr>
        <w:tc>
          <w:tcPr/>
          <w:p>
            <w:pPr>
              <w:pStyle w:val="Compact"/>
              <w:jc w:val="left"/>
            </w:pPr>
            <w:r>
              <w:t xml:space="preserve">Appendix I robustness check (adult atopic dermatitis body weight)</w:t>
            </w:r>
          </w:p>
        </w:tc>
        <w:tc>
          <w:tcPr/>
          <w:p>
            <w:pPr>
              <w:pStyle w:val="Compact"/>
              <w:jc w:val="left"/>
            </w:pPr>
            <w:r>
              <w:t xml:space="preserve">Body weight, primary distribution</w:t>
            </w:r>
          </w:p>
        </w:tc>
        <w:tc>
          <w:tcPr/>
          <w:p>
            <w:pPr>
              <w:pStyle w:val="Compact"/>
              <w:jc w:val="right"/>
            </w:pPr>
            <w:r>
              <w:t xml:space="preserve">lognormal mean 78 kg, SD 19 kg, 40 to 180 kg</w:t>
            </w:r>
          </w:p>
        </w:tc>
        <w:tc>
          <w:tcPr/>
          <w:p>
            <w:pPr>
              <w:pStyle w:val="Compact"/>
              <w:jc w:val="left"/>
            </w:pPr>
            <w:r>
              <w:t xml:space="preserve">kg</w:t>
            </w:r>
          </w:p>
        </w:tc>
        <w:tc>
          <w:tcPr/>
          <w:p>
            <w:pPr>
              <w:pStyle w:val="Compact"/>
              <w:jc w:val="left"/>
            </w:pPr>
            <w:r>
              <w:t xml:space="preserve">placeholder (assumption)</w:t>
            </w:r>
          </w:p>
        </w:tc>
        <w:tc>
          <w:tcPr/>
          <w:p>
            <w:pPr>
              <w:pStyle w:val="Compact"/>
              <w:jc w:val="left"/>
            </w:pPr>
            <w:r>
              <w:t xml:space="preserve">Kamal 2022 (phase 2b, 379 adults with atopic dermatitis: mean body weight 74.0 to 80.6 kg by dose group); Kovalenko 2021 (adult phase 3 population PK data: BMI SD 5.47 kg/m2); NCT03389893 (71 adults: 80.2 kg, SD 19.0); used only in the Appendix I robustness check</w:t>
            </w:r>
          </w:p>
        </w:tc>
      </w:tr>
      <w:tr>
        <w:tc>
          <w:tcPr/>
          <w:p>
            <w:pPr>
              <w:pStyle w:val="Compact"/>
              <w:jc w:val="left"/>
            </w:pPr>
            <w:r>
              <w:t xml:space="preserve">Appendix I robustness check (adult atopic dermatitis body weight)</w:t>
            </w:r>
          </w:p>
        </w:tc>
        <w:tc>
          <w:tcPr/>
          <w:p>
            <w:pPr>
              <w:pStyle w:val="Compact"/>
              <w:jc w:val="left"/>
            </w:pPr>
            <w:r>
              <w:t xml:space="preserve">Body weight, sensitivity distribution</w:t>
            </w:r>
          </w:p>
        </w:tc>
        <w:tc>
          <w:tcPr/>
          <w:p>
            <w:pPr>
              <w:pStyle w:val="Compact"/>
              <w:jc w:val="right"/>
            </w:pPr>
            <w:r>
              <w:t xml:space="preserve">lognormal mean 80 kg, SD 19 kg, 40 to 180 kg</w:t>
            </w:r>
          </w:p>
        </w:tc>
        <w:tc>
          <w:tcPr/>
          <w:p>
            <w:pPr>
              <w:pStyle w:val="Compact"/>
              <w:jc w:val="left"/>
            </w:pPr>
            <w:r>
              <w:t xml:space="preserve">kg</w:t>
            </w:r>
          </w:p>
        </w:tc>
        <w:tc>
          <w:tcPr/>
          <w:p>
            <w:pPr>
              <w:pStyle w:val="Compact"/>
              <w:jc w:val="left"/>
            </w:pPr>
            <w:r>
              <w:t xml:space="preserve">placeholder (assumption)</w:t>
            </w:r>
          </w:p>
        </w:tc>
        <w:tc>
          <w:tcPr/>
          <w:p>
            <w:pPr>
              <w:pStyle w:val="Compact"/>
              <w:jc w:val="left"/>
            </w:pPr>
            <w:r>
              <w:t xml:space="preserve">NCT03389893 (71 adults with atopic dermatitis: 80.2 kg, SD 19.0)</w:t>
            </w:r>
          </w:p>
        </w:tc>
      </w:tr>
      <w:tr>
        <w:tc>
          <w:tcPr/>
          <w:p>
            <w:pPr>
              <w:pStyle w:val="Compact"/>
              <w:jc w:val="left"/>
            </w:pPr>
            <w:r>
              <w:t xml:space="preserve">Appendix I robustness check (adult atopic dermatitis body weight)</w:t>
            </w:r>
          </w:p>
        </w:tc>
        <w:tc>
          <w:tcPr/>
          <w:p>
            <w:pPr>
              <w:pStyle w:val="Compact"/>
              <w:jc w:val="left"/>
            </w:pPr>
            <w:r>
              <w:t xml:space="preserve">Body weight, sensitivity distribution</w:t>
            </w:r>
          </w:p>
        </w:tc>
        <w:tc>
          <w:tcPr/>
          <w:p>
            <w:pPr>
              <w:pStyle w:val="Compact"/>
              <w:jc w:val="right"/>
            </w:pPr>
            <w:r>
              <w:t xml:space="preserve">lognormal mean 75 kg, SD 18 kg, 40 to 180 kg</w:t>
            </w:r>
          </w:p>
        </w:tc>
        <w:tc>
          <w:tcPr/>
          <w:p>
            <w:pPr>
              <w:pStyle w:val="Compact"/>
              <w:jc w:val="left"/>
            </w:pPr>
            <w:r>
              <w:t xml:space="preserve">kg</w:t>
            </w:r>
          </w:p>
        </w:tc>
        <w:tc>
          <w:tcPr/>
          <w:p>
            <w:pPr>
              <w:pStyle w:val="Compact"/>
              <w:jc w:val="left"/>
            </w:pPr>
            <w:r>
              <w:t xml:space="preserve">placeholder (assumption)</w:t>
            </w:r>
          </w:p>
        </w:tc>
        <w:tc>
          <w:tcPr/>
          <w:p>
            <w:pPr>
              <w:pStyle w:val="Compact"/>
              <w:jc w:val="left"/>
            </w:pPr>
            <w:r>
              <w:t xml:space="preserve">sensitivity with a lower mean (analyst)</w:t>
            </w:r>
          </w:p>
        </w:tc>
      </w:tr>
      <w:tr>
        <w:tc>
          <w:tcPr/>
          <w:p>
            <w:pPr>
              <w:pStyle w:val="Compact"/>
              <w:jc w:val="left"/>
            </w:pPr>
            <w:r>
              <w:t xml:space="preserve">Appendix I robustness check (adult atopic dermatitis body weight)</w:t>
            </w:r>
          </w:p>
        </w:tc>
        <w:tc>
          <w:tcPr/>
          <w:p>
            <w:pPr>
              <w:pStyle w:val="Compact"/>
              <w:jc w:val="left"/>
            </w:pPr>
            <w:r>
              <w:t xml:space="preserve">Height (for BMI)</w:t>
            </w:r>
          </w:p>
        </w:tc>
        <w:tc>
          <w:tcPr/>
          <w:p>
            <w:pPr>
              <w:pStyle w:val="Compact"/>
              <w:jc w:val="right"/>
            </w:pPr>
            <w:r>
              <w:t xml:space="preserve">normal, mean 172 cm, SD 10 cm, truncated 150 to 200 cm, independent of weight</w:t>
            </w:r>
          </w:p>
        </w:tc>
        <w:tc>
          <w:tcPr/>
          <w:p>
            <w:pPr>
              <w:pStyle w:val="Compact"/>
              <w:jc w:val="left"/>
            </w:pPr>
            <w:r>
              <w:t xml:space="preserve">cm</w:t>
            </w:r>
          </w:p>
        </w:tc>
        <w:tc>
          <w:tcPr/>
          <w:p>
            <w:pPr>
              <w:pStyle w:val="Compact"/>
              <w:jc w:val="left"/>
            </w:pPr>
            <w:r>
              <w:t xml:space="preserve">placeholder (assumption)</w:t>
            </w:r>
          </w:p>
        </w:tc>
        <w:tc>
          <w:tcPr/>
          <w:p>
            <w:pPr>
              <w:pStyle w:val="Compact"/>
              <w:jc w:val="left"/>
            </w:pPr>
            <w:r>
              <w:t xml:space="preserve">NCT03389893 (172.5 cm, SD 10.4)</w:t>
            </w:r>
          </w:p>
        </w:tc>
      </w:tr>
      <w:tr>
        <w:tc>
          <w:tcPr/>
          <w:p>
            <w:pPr>
              <w:pStyle w:val="Compact"/>
              <w:jc w:val="left"/>
            </w:pPr>
            <w:r>
              <w:t xml:space="preserve">Appendix I robustness check (adult atopic dermatitis body weight)</w:t>
            </w:r>
          </w:p>
        </w:tc>
        <w:tc>
          <w:tcPr/>
          <w:p>
            <w:pPr>
              <w:pStyle w:val="Compact"/>
              <w:jc w:val="left"/>
            </w:pPr>
            <w:r>
              <w:t xml:space="preserve">Male fraction</w:t>
            </w:r>
          </w:p>
        </w:tc>
        <w:tc>
          <w:tcPr/>
          <w:p>
            <w:pPr>
              <w:pStyle w:val="Compact"/>
              <w:jc w:val="right"/>
            </w:pPr>
            <w:r>
              <w:t xml:space="preserve">0.5</w:t>
            </w:r>
          </w:p>
        </w:tc>
        <w:tc>
          <w:tcPr/>
          <w:p>
            <w:pPr>
              <w:pStyle w:val="Compact"/>
            </w:pPr>
          </w:p>
        </w:tc>
        <w:tc>
          <w:tcPr/>
          <w:p>
            <w:pPr>
              <w:pStyle w:val="Compact"/>
              <w:jc w:val="left"/>
            </w:pPr>
            <w:r>
              <w:t xml:space="preserve">placeholder (assumption)</w:t>
            </w:r>
          </w:p>
        </w:tc>
        <w:tc>
          <w:tcPr/>
          <w:p>
            <w:pPr>
              <w:pStyle w:val="Compact"/>
              <w:jc w:val="left"/>
            </w:pPr>
            <w:r>
              <w:t xml:space="preserve">assumption</w:t>
            </w:r>
          </w:p>
        </w:tc>
      </w:tr>
      <w:tr>
        <w:tc>
          <w:tcPr/>
          <w:p>
            <w:pPr>
              <w:pStyle w:val="Compact"/>
              <w:jc w:val="left"/>
            </w:pPr>
            <w:r>
              <w:t xml:space="preserve">2016 model with phase 3 covariates (weight sensitivity)</w:t>
            </w:r>
          </w:p>
        </w:tc>
        <w:tc>
          <w:tcPr/>
          <w:p>
            <w:pPr>
              <w:pStyle w:val="Compact"/>
              <w:jc w:val="left"/>
            </w:pPr>
            <w:r>
              <w:t xml:space="preserve">Exponent of BMI on linear elimination (ke)</w:t>
            </w:r>
          </w:p>
        </w:tc>
        <w:tc>
          <w:tcPr/>
          <w:p>
            <w:pPr>
              <w:pStyle w:val="Compact"/>
              <w:jc w:val="right"/>
            </w:pPr>
            <w:r>
              <w:t xml:space="preserve">0.368</w:t>
            </w:r>
          </w:p>
        </w:tc>
        <w:tc>
          <w:tcPr/>
          <w:p>
            <w:pPr>
              <w:pStyle w:val="Compact"/>
            </w:pPr>
          </w:p>
        </w:tc>
        <w:tc>
          <w:tcPr/>
          <w:p>
            <w:pPr>
              <w:pStyle w:val="Compact"/>
              <w:jc w:val="left"/>
            </w:pPr>
            <w:r>
              <w:t xml:space="preserve">confirmed</w:t>
            </w:r>
          </w:p>
        </w:tc>
        <w:tc>
          <w:tcPr/>
          <w:p>
            <w:pPr>
              <w:pStyle w:val="Compact"/>
              <w:jc w:val="left"/>
            </w:pPr>
            <w:r>
              <w:t xml:space="preserve">Kovalenko 2020 Table 3 and Supplementary Table 3 (Model 4)</w:t>
            </w:r>
          </w:p>
        </w:tc>
      </w:tr>
      <w:tr>
        <w:tc>
          <w:tcPr/>
          <w:p>
            <w:pPr>
              <w:pStyle w:val="Compact"/>
              <w:jc w:val="left"/>
            </w:pPr>
            <w:r>
              <w:t xml:space="preserve">2016 model with phase 3 covariates (weight sensitivity)</w:t>
            </w:r>
          </w:p>
        </w:tc>
        <w:tc>
          <w:tcPr/>
          <w:p>
            <w:pPr>
              <w:pStyle w:val="Compact"/>
              <w:jc w:val="left"/>
            </w:pPr>
            <w:r>
              <w:t xml:space="preserve">Reference BMI</w:t>
            </w:r>
          </w:p>
        </w:tc>
        <w:tc>
          <w:tcPr/>
          <w:p>
            <w:pPr>
              <w:pStyle w:val="Compact"/>
              <w:jc w:val="right"/>
            </w:pPr>
            <w:r>
              <w:t xml:space="preserve">26</w:t>
            </w:r>
          </w:p>
        </w:tc>
        <w:tc>
          <w:tcPr/>
          <w:p>
            <w:pPr>
              <w:pStyle w:val="Compact"/>
              <w:jc w:val="left"/>
            </w:pPr>
            <w:r>
              <w:t xml:space="preserve">kg/m2</w:t>
            </w:r>
          </w:p>
        </w:tc>
        <w:tc>
          <w:tcPr/>
          <w:p>
            <w:pPr>
              <w:pStyle w:val="Compact"/>
              <w:jc w:val="left"/>
            </w:pPr>
            <w:r>
              <w:t xml:space="preserve">assumption</w:t>
            </w:r>
          </w:p>
        </w:tc>
        <w:tc>
          <w:tcPr/>
          <w:p>
            <w:pPr>
              <w:pStyle w:val="Compact"/>
              <w:jc w:val="left"/>
            </w:pPr>
            <w:r>
              <w:t xml:space="preserve">phase 3 mean BMI 25.4 to 27.3 (Kamal 2022)</w:t>
            </w:r>
          </w:p>
        </w:tc>
      </w:tr>
      <w:tr>
        <w:tc>
          <w:tcPr/>
          <w:p>
            <w:pPr>
              <w:pStyle w:val="Compact"/>
              <w:jc w:val="left"/>
            </w:pPr>
            <w:r>
              <w:t xml:space="preserve">2016 model with phase 3 covariates (weight sensitivity)</w:t>
            </w:r>
          </w:p>
        </w:tc>
        <w:tc>
          <w:tcPr/>
          <w:p>
            <w:pPr>
              <w:pStyle w:val="Compact"/>
              <w:jc w:val="left"/>
            </w:pPr>
            <w:r>
              <w:t xml:space="preserve">Weight exponent on Vc (replaces the 2016 value)</w:t>
            </w:r>
          </w:p>
        </w:tc>
        <w:tc>
          <w:tcPr/>
          <w:p>
            <w:pPr>
              <w:pStyle w:val="Compact"/>
              <w:jc w:val="right"/>
            </w:pPr>
            <w:r>
              <w:t xml:space="preserve">0.817</w:t>
            </w:r>
          </w:p>
        </w:tc>
        <w:tc>
          <w:tcPr/>
          <w:p>
            <w:pPr>
              <w:pStyle w:val="Compact"/>
            </w:pPr>
          </w:p>
        </w:tc>
        <w:tc>
          <w:tcPr/>
          <w:p>
            <w:pPr>
              <w:pStyle w:val="Compact"/>
              <w:jc w:val="left"/>
            </w:pPr>
            <w:r>
              <w:t xml:space="preserve">confirmed</w:t>
            </w:r>
          </w:p>
        </w:tc>
        <w:tc>
          <w:tcPr/>
          <w:p>
            <w:pPr>
              <w:pStyle w:val="Compact"/>
              <w:jc w:val="left"/>
            </w:pPr>
            <w:r>
              <w:t xml:space="preserve">Kovalenko 2020 Table 3 and Supplementary Table 3 (Model 4)</w:t>
            </w:r>
          </w:p>
        </w:tc>
      </w:tr>
    </w:tbl>
    <w:bookmarkEnd w:id="106"/>
    <w:bookmarkStart w:id="107" w:name="appendix-b.-assumptions-register"/>
    <w:p>
      <w:pPr>
        <w:pStyle w:val="Heading1"/>
      </w:pPr>
      <w:r>
        <w:t xml:space="preserve">Appendix B. Assumptions register</w:t>
      </w:r>
    </w:p>
    <w:p>
      <w:pPr>
        <w:pStyle w:val="TableCaption"/>
      </w:pPr>
      <w:r>
        <w:t xml:space="preserve">Table B-1. Assumptions, their basis, the evidence on their impact and the action required before submission.</w:t>
      </w:r>
    </w:p>
    <w:tbl>
      <w:tblPr>
        <w:tblStyle w:val="Table"/>
        <w:tblW w:type="pct" w:w="5000"/>
        <w:tblLook w:firstRow="1" w:lastRow="0" w:firstColumn="0" w:lastColumn="0" w:noHBand="0" w:noVBand="0" w:val="0020"/>
        <w:jc w:val="start"/>
        <w:tblCaption w:val="Table B-1. Assumptions, their basis, the evidence on their impact and the action required before submission."/>
      </w:tblPr>
      <w:tblGrid>
        <w:gridCol w:w="43"/>
        <w:gridCol w:w="811"/>
        <w:gridCol w:w="1146"/>
        <w:gridCol w:w="1179"/>
        <w:gridCol w:w="3473"/>
        <w:gridCol w:w="1265"/>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Value used</w:t>
            </w:r>
          </w:p>
        </w:tc>
        <w:tc>
          <w:tcPr/>
          <w:p>
            <w:pPr>
              <w:pStyle w:val="Compact"/>
              <w:jc w:val="left"/>
            </w:pPr>
            <w:r>
              <w:t xml:space="preserve">Basis</w:t>
            </w:r>
          </w:p>
        </w:tc>
        <w:tc>
          <w:tcPr/>
          <w:p>
            <w:pPr>
              <w:pStyle w:val="Compact"/>
              <w:jc w:val="left"/>
            </w:pPr>
            <w:r>
              <w:t xml:space="preserve">Impact evidence</w:t>
            </w:r>
          </w:p>
        </w:tc>
        <w:tc>
          <w:tcPr/>
          <w:p>
            <w:pPr>
              <w:pStyle w:val="Compact"/>
              <w:jc w:val="left"/>
            </w:pPr>
            <w:r>
              <w:t xml:space="preserve">Action before submission</w:t>
            </w:r>
          </w:p>
        </w:tc>
      </w:tr>
      <w:tr>
        <w:tc>
          <w:tcPr/>
          <w:p>
            <w:pPr>
              <w:pStyle w:val="Compact"/>
              <w:jc w:val="left"/>
            </w:pPr>
            <w:r>
              <w:t xml:space="preserve">B01</w:t>
            </w:r>
          </w:p>
        </w:tc>
        <w:tc>
          <w:tcPr/>
          <w:p>
            <w:pPr>
              <w:pStyle w:val="Compact"/>
              <w:jc w:val="left"/>
            </w:pPr>
            <w:r>
              <w:t xml:space="preserve">Bioanalytical LLOQ of the sponsor’s assay</w:t>
            </w:r>
          </w:p>
        </w:tc>
        <w:tc>
          <w:tcPr/>
          <w:p>
            <w:pPr>
              <w:pStyle w:val="Compact"/>
              <w:jc w:val="left"/>
            </w:pPr>
            <w:r>
              <w:t xml:space="preserve">0.078 mg/L</w:t>
            </w:r>
          </w:p>
        </w:tc>
        <w:tc>
          <w:tcPr/>
          <w:p>
            <w:pPr>
              <w:pStyle w:val="Compact"/>
              <w:jc w:val="left"/>
            </w:pPr>
            <w:r>
              <w:t xml:space="preserve">Clot 2021 (originator’s assay)</w:t>
            </w:r>
          </w:p>
        </w:tc>
        <w:tc>
          <w:tcPr/>
          <w:p>
            <w:pPr>
              <w:pStyle w:val="Compact"/>
              <w:jc w:val="left"/>
            </w:pPr>
            <w:r>
              <w:t xml:space="preserve">Simulated at 0.02 to 0.5 mg/L with the same subjects (Section 5.10): window coverage of AUC0-last below 80% in 0.00 to 0.00% of subjects; reliability under criteria (i) 84.2% (0.02 mg/L) to 88.0% (0.5 mg/L); boundary type I error of AUC0-last + Cmax 2.22 to 4.22% (M0) and 2.60 to 4.62% (M1) in three boundary scenarios.</w:t>
            </w:r>
          </w:p>
        </w:tc>
        <w:tc>
          <w:tcPr/>
          <w:p>
            <w:pPr>
              <w:pStyle w:val="Compact"/>
              <w:jc w:val="left"/>
            </w:pPr>
            <w:r>
              <w:t xml:space="preserve">Set the LLOQ of the validated assay in config/assay.yaml and regenerate all results (scripts/run_all.sh).</w:t>
            </w:r>
          </w:p>
        </w:tc>
      </w:tr>
      <w:tr>
        <w:tc>
          <w:tcPr/>
          <w:p>
            <w:pPr>
              <w:pStyle w:val="Compact"/>
              <w:jc w:val="left"/>
            </w:pPr>
            <w:r>
              <w:t xml:space="preserve">B02</w:t>
            </w:r>
          </w:p>
        </w:tc>
        <w:tc>
          <w:tcPr/>
          <w:p>
            <w:pPr>
              <w:pStyle w:val="Compact"/>
              <w:jc w:val="left"/>
            </w:pPr>
            <w:r>
              <w:t xml:space="preserve">Day 1 post-dose sampling time</w:t>
            </w:r>
          </w:p>
        </w:tc>
        <w:tc>
          <w:tcPr/>
          <w:p>
            <w:pPr>
              <w:pStyle w:val="Compact"/>
              <w:jc w:val="left"/>
            </w:pPr>
            <w:r>
              <w:t xml:space="preserve">0.25 day after dosing</w:t>
            </w:r>
          </w:p>
        </w:tc>
        <w:tc>
          <w:tcPr/>
          <w:p>
            <w:pPr>
              <w:pStyle w:val="Compact"/>
              <w:jc w:val="left"/>
            </w:pPr>
            <w:r>
              <w:t xml:space="preserve">placeholder; protocol not final</w:t>
            </w:r>
          </w:p>
        </w:tc>
        <w:tc>
          <w:tcPr/>
          <w:p>
            <w:pPr>
              <w:pStyle w:val="Compact"/>
              <w:jc w:val="left"/>
            </w:pPr>
            <w:r>
              <w:t xml:space="preserve">Affects Cmax sampling only; terminal-phase results unaffected.</w:t>
            </w:r>
          </w:p>
        </w:tc>
        <w:tc>
          <w:tcPr/>
          <w:p>
            <w:pPr>
              <w:pStyle w:val="Compact"/>
              <w:jc w:val="left"/>
            </w:pPr>
            <w:r>
              <w:t xml:space="preserve">Set to the protocol time.</w:t>
            </w:r>
          </w:p>
        </w:tc>
      </w:tr>
      <w:tr>
        <w:tc>
          <w:tcPr/>
          <w:p>
            <w:pPr>
              <w:pStyle w:val="Compact"/>
              <w:jc w:val="left"/>
            </w:pPr>
            <w:r>
              <w:t xml:space="preserve">B03</w:t>
            </w:r>
          </w:p>
        </w:tc>
        <w:tc>
          <w:tcPr/>
          <w:p>
            <w:pPr>
              <w:pStyle w:val="Compact"/>
              <w:jc w:val="left"/>
            </w:pPr>
            <w:r>
              <w:t xml:space="preserve">Visit windows</w:t>
            </w:r>
          </w:p>
        </w:tc>
        <w:tc>
          <w:tcPr/>
          <w:p>
            <w:pPr>
              <w:pStyle w:val="Compact"/>
              <w:jc w:val="left"/>
            </w:pPr>
            <w:r>
              <w:t xml:space="preserve">plus or minus 2 h to Day 1, 6 h to Day 14, 1 day thereafter</w:t>
            </w:r>
          </w:p>
        </w:tc>
        <w:tc>
          <w:tcPr/>
          <w:p>
            <w:pPr>
              <w:pStyle w:val="Compact"/>
              <w:jc w:val="left"/>
            </w:pPr>
            <w:r>
              <w:t xml:space="preserve">placeholder; typical protocol windows</w:t>
            </w:r>
          </w:p>
        </w:tc>
        <w:tc>
          <w:tcPr/>
          <w:p>
            <w:pPr>
              <w:pStyle w:val="Compact"/>
              <w:jc w:val="left"/>
            </w:pPr>
            <w:r>
              <w:t xml:space="preserve">Simulated in all trial-level analyses; cliff analysis with and without windows.</w:t>
            </w:r>
          </w:p>
        </w:tc>
        <w:tc>
          <w:tcPr/>
          <w:p>
            <w:pPr>
              <w:pStyle w:val="Compact"/>
              <w:jc w:val="left"/>
            </w:pPr>
            <w:r>
              <w:t xml:space="preserve">Align with the protocol.</w:t>
            </w:r>
          </w:p>
        </w:tc>
      </w:tr>
      <w:tr>
        <w:tc>
          <w:tcPr/>
          <w:p>
            <w:pPr>
              <w:pStyle w:val="Compact"/>
              <w:jc w:val="left"/>
            </w:pPr>
            <w:r>
              <w:t xml:space="preserve">B04</w:t>
            </w:r>
          </w:p>
        </w:tc>
        <w:tc>
          <w:tcPr/>
          <w:p>
            <w:pPr>
              <w:pStyle w:val="Compact"/>
              <w:jc w:val="left"/>
            </w:pPr>
            <w:r>
              <w:t xml:space="preserve">Body weight distribution and sex ratio of enrolled subjects</w:t>
            </w:r>
          </w:p>
        </w:tc>
        <w:tc>
          <w:tcPr/>
          <w:p>
            <w:pPr>
              <w:pStyle w:val="Compact"/>
              <w:jc w:val="left"/>
            </w:pPr>
            <w:r>
              <w:t xml:space="preserve">normal, mean 75 kg, SD 9 kg, truncated 60 to 90 kg; male fraction 0.5</w:t>
            </w:r>
          </w:p>
        </w:tc>
        <w:tc>
          <w:tcPr/>
          <w:p>
            <w:pPr>
              <w:pStyle w:val="Compact"/>
              <w:jc w:val="left"/>
            </w:pPr>
            <w:r>
              <w:t xml:space="preserve">placeholder based on the inclusion range 60 to 90 kg</w:t>
            </w:r>
          </w:p>
        </w:tc>
        <w:tc>
          <w:tcPr/>
          <w:p>
            <w:pPr>
              <w:pStyle w:val="Compact"/>
              <w:jc w:val="left"/>
            </w:pPr>
            <w:r>
              <w:t xml:space="preserve">Alternative distribution (mean 72, SD 10, 50 to 90 kg) and weight bands 40 to 150 kg: coverage preserved; schedule recommendation unchanged.</w:t>
            </w:r>
          </w:p>
        </w:tc>
        <w:tc>
          <w:tcPr/>
          <w:p>
            <w:pPr>
              <w:pStyle w:val="Compact"/>
              <w:jc w:val="left"/>
            </w:pPr>
            <w:r>
              <w:t xml:space="preserve">Confirm expected enrolment; rerun only if materially different.</w:t>
            </w:r>
          </w:p>
        </w:tc>
      </w:tr>
      <w:tr>
        <w:tc>
          <w:tcPr/>
          <w:p>
            <w:pPr>
              <w:pStyle w:val="Compact"/>
              <w:jc w:val="left"/>
            </w:pPr>
            <w:r>
              <w:t xml:space="preserve">B05</w:t>
            </w:r>
          </w:p>
        </w:tc>
        <w:tc>
          <w:tcPr/>
          <w:p>
            <w:pPr>
              <w:pStyle w:val="Compact"/>
              <w:jc w:val="left"/>
            </w:pPr>
            <w:r>
              <w:t xml:space="preserve">Randomization stratification</w:t>
            </w:r>
          </w:p>
        </w:tc>
        <w:tc>
          <w:tcPr/>
          <w:p>
            <w:pPr>
              <w:pStyle w:val="Compact"/>
              <w:jc w:val="left"/>
            </w:pPr>
            <w:r>
              <w:t xml:space="preserve">two strata split at 75 kg, 1:1 within strata</w:t>
            </w:r>
          </w:p>
        </w:tc>
        <w:tc>
          <w:tcPr/>
          <w:p>
            <w:pPr>
              <w:pStyle w:val="Compact"/>
              <w:jc w:val="left"/>
            </w:pPr>
            <w:r>
              <w:t xml:space="preserve">placeholder</w:t>
            </w:r>
          </w:p>
        </w:tc>
        <w:tc>
          <w:tcPr/>
          <w:p>
            <w:pPr>
              <w:pStyle w:val="Compact"/>
              <w:jc w:val="left"/>
            </w:pPr>
            <w:r>
              <w:t xml:space="preserve">The pooled t-test (M0) does not model the stratum: between-trial SD / within-trial SE of the unbiased reference 0.961 to 0.993 (M0) against 0.991 to 1.020 with the stratum in the model (M1). AUC0-last + Cmax: M0 15 conservative, 1 nominal, 0 exceeding; M1 15 conservative, 0 nominal, 1 exceeding (Section 5.9).</w:t>
            </w:r>
          </w:p>
        </w:tc>
        <w:tc>
          <w:tcPr/>
          <w:p>
            <w:pPr>
              <w:pStyle w:val="Compact"/>
              <w:jc w:val="left"/>
            </w:pPr>
            <w:r>
              <w:t xml:space="preserve">Confirm the randomization plan; select the primary analysis model (M0 or M1) in the SAP.</w:t>
            </w:r>
          </w:p>
        </w:tc>
      </w:tr>
      <w:tr>
        <w:tc>
          <w:tcPr/>
          <w:p>
            <w:pPr>
              <w:pStyle w:val="Compact"/>
              <w:jc w:val="left"/>
            </w:pPr>
            <w:r>
              <w:t xml:space="preserve">B06</w:t>
            </w:r>
          </w:p>
        </w:tc>
        <w:tc>
          <w:tcPr/>
          <w:p>
            <w:pPr>
              <w:pStyle w:val="Compact"/>
              <w:jc w:val="left"/>
            </w:pPr>
            <w:r>
              <w:t xml:space="preserve">Evaluable subjects per arm; dropout</w:t>
            </w:r>
          </w:p>
        </w:tc>
        <w:tc>
          <w:tcPr/>
          <w:p>
            <w:pPr>
              <w:pStyle w:val="Compact"/>
              <w:jc w:val="left"/>
            </w:pPr>
            <w:r>
              <w:t xml:space="preserve">117 evaluable per arm (130 randomized); dropout not simulated</w:t>
            </w:r>
          </w:p>
        </w:tc>
        <w:tc>
          <w:tcPr/>
          <w:p>
            <w:pPr>
              <w:pStyle w:val="Compact"/>
              <w:jc w:val="left"/>
            </w:pPr>
            <w:r>
              <w:t xml:space="preserve">sample-size assumption of the protocol</w:t>
            </w:r>
          </w:p>
        </w:tc>
        <w:tc>
          <w:tcPr/>
          <w:p>
            <w:pPr>
              <w:pStyle w:val="Compact"/>
              <w:jc w:val="left"/>
            </w:pPr>
            <w:r>
              <w:t xml:space="preserve">P2 power with 117 evaluable per arm at a true GMR of 0.95: 94.0% (M0) and 94.5% (M1) at CV 43%, 87.2% and 88.0% at CV 50% (Section 5.11).</w:t>
            </w:r>
          </w:p>
        </w:tc>
        <w:tc>
          <w:tcPr/>
          <w:p>
            <w:pPr>
              <w:pStyle w:val="Compact"/>
              <w:jc w:val="left"/>
            </w:pPr>
            <w:r>
              <w:t xml:space="preserve">Select the target power (90% or 85%) and the sample size (Section 5.11).</w:t>
            </w:r>
          </w:p>
        </w:tc>
      </w:tr>
      <w:tr>
        <w:tc>
          <w:tcPr/>
          <w:p>
            <w:pPr>
              <w:pStyle w:val="Compact"/>
              <w:jc w:val="left"/>
            </w:pPr>
            <w:r>
              <w:t xml:space="preserve">B07</w:t>
            </w:r>
          </w:p>
        </w:tc>
        <w:tc>
          <w:tcPr/>
          <w:p>
            <w:pPr>
              <w:pStyle w:val="Compact"/>
              <w:jc w:val="left"/>
            </w:pPr>
            <w:r>
              <w:t xml:space="preserve">Km fixed, without between-subject variability</w:t>
            </w:r>
          </w:p>
        </w:tc>
        <w:tc>
          <w:tcPr/>
          <w:p>
            <w:pPr>
              <w:pStyle w:val="Compact"/>
              <w:jc w:val="left"/>
            </w:pPr>
            <w:r>
              <w:t xml:space="preserve">0.01 mg/L in both models</w:t>
            </w:r>
          </w:p>
        </w:tc>
        <w:tc>
          <w:tcPr/>
          <w:p>
            <w:pPr>
              <w:pStyle w:val="Compact"/>
              <w:jc w:val="left"/>
            </w:pPr>
            <w:r>
              <w:t xml:space="preserve">as published (Km determined by likelihood profiling; the objective function was insensitive below 0.01 mg/L)</w:t>
            </w:r>
          </w:p>
        </w:tc>
        <w:tc>
          <w:tcPr/>
          <w:p>
            <w:pPr>
              <w:pStyle w:val="Compact"/>
              <w:jc w:val="left"/>
            </w:pPr>
            <w:r>
              <w:t xml:space="preserve">Km x0.5 to x10 in both arms and Km x0.01 to x100 in the test arm: coverage and conclusions unchanged.</w:t>
            </w:r>
          </w:p>
        </w:tc>
        <w:tc>
          <w:tcPr/>
          <w:p>
            <w:pPr>
              <w:pStyle w:val="Compact"/>
              <w:jc w:val="left"/>
            </w:pPr>
            <w:r>
              <w:t xml:space="preserve">None; state as limitation.</w:t>
            </w:r>
          </w:p>
        </w:tc>
      </w:tr>
      <w:tr>
        <w:tc>
          <w:tcPr/>
          <w:p>
            <w:pPr>
              <w:pStyle w:val="Compact"/>
              <w:jc w:val="left"/>
            </w:pPr>
            <w:r>
              <w:t xml:space="preserve">B08</w:t>
            </w:r>
          </w:p>
        </w:tc>
        <w:tc>
          <w:tcPr/>
          <w:p>
            <w:pPr>
              <w:pStyle w:val="Compact"/>
              <w:jc w:val="left"/>
            </w:pPr>
            <w:r>
              <w:t xml:space="preserve">No parameter uncertainty layer</w:t>
            </w:r>
          </w:p>
        </w:tc>
        <w:tc>
          <w:tcPr/>
          <w:p>
            <w:pPr>
              <w:pStyle w:val="Compact"/>
              <w:jc w:val="left"/>
            </w:pPr>
            <w:r>
              <w:t xml:space="preserve">single-layer Monte Carlo (parameters fixed at published estimates)</w:t>
            </w:r>
          </w:p>
        </w:tc>
        <w:tc>
          <w:tcPr/>
          <w:p>
            <w:pPr>
              <w:pStyle w:val="Compact"/>
              <w:jc w:val="left"/>
            </w:pPr>
            <w:r>
              <w:t xml:space="preserve">parameter estimation uncertainty was not propagated</w:t>
            </w:r>
          </w:p>
        </w:tc>
        <w:tc>
          <w:tcPr/>
          <w:p>
            <w:pPr>
              <w:pStyle w:val="Compact"/>
              <w:jc w:val="left"/>
            </w:pPr>
            <w:r>
              <w:t xml:space="preserve">Two structural models, variance x1.5 and curve-shape sensitivity; conclusions unchanged.</w:t>
            </w:r>
          </w:p>
        </w:tc>
        <w:tc>
          <w:tcPr/>
          <w:p>
            <w:pPr>
              <w:pStyle w:val="Compact"/>
              <w:jc w:val="left"/>
            </w:pPr>
            <w:r>
              <w:t xml:space="preserve">None; state as limitation.</w:t>
            </w:r>
          </w:p>
        </w:tc>
      </w:tr>
      <w:tr>
        <w:tc>
          <w:tcPr/>
          <w:p>
            <w:pPr>
              <w:pStyle w:val="Compact"/>
              <w:jc w:val="left"/>
            </w:pPr>
            <w:r>
              <w:t xml:space="preserve">B09</w:t>
            </w:r>
          </w:p>
        </w:tc>
        <w:tc>
          <w:tcPr/>
          <w:p>
            <w:pPr>
              <w:pStyle w:val="Compact"/>
              <w:jc w:val="left"/>
            </w:pPr>
            <w:r>
              <w:t xml:space="preserve">Residual error model</w:t>
            </w:r>
          </w:p>
        </w:tc>
        <w:tc>
          <w:tcPr/>
          <w:p>
            <w:pPr>
              <w:pStyle w:val="Compact"/>
              <w:jc w:val="left"/>
            </w:pPr>
            <w:r>
              <w:t xml:space="preserve">as published: proportional 24.2% (2016) and 15.0% (2020), additive 0.03 mg/L</w:t>
            </w:r>
          </w:p>
        </w:tc>
        <w:tc>
          <w:tcPr/>
          <w:p>
            <w:pPr>
              <w:pStyle w:val="Compact"/>
              <w:jc w:val="left"/>
            </w:pPr>
            <w:r>
              <w:t xml:space="preserve">as published</w:t>
            </w:r>
          </w:p>
        </w:tc>
        <w:tc>
          <w:tcPr/>
          <w:p>
            <w:pPr>
              <w:pStyle w:val="Compact"/>
              <w:jc w:val="left"/>
            </w:pPr>
            <w:r>
              <w:t xml:space="preserve">Reliability rates depend on the residual error (reported as two-model ranges; proportional 12% sensitivity); operating-characteristic conclusions identical in both models.</w:t>
            </w:r>
          </w:p>
        </w:tc>
        <w:tc>
          <w:tcPr/>
          <w:p>
            <w:pPr>
              <w:pStyle w:val="Compact"/>
              <w:jc w:val="left"/>
            </w:pPr>
            <w:r>
              <w:t xml:space="preserve">None; report residual-sensitive metrics as two-model ranges.</w:t>
            </w:r>
          </w:p>
        </w:tc>
      </w:tr>
      <w:tr>
        <w:tc>
          <w:tcPr/>
          <w:p>
            <w:pPr>
              <w:pStyle w:val="Compact"/>
              <w:jc w:val="left"/>
            </w:pPr>
            <w:r>
              <w:t xml:space="preserve">B10</w:t>
            </w:r>
          </w:p>
        </w:tc>
        <w:tc>
          <w:tcPr/>
          <w:p>
            <w:pPr>
              <w:pStyle w:val="Compact"/>
              <w:jc w:val="left"/>
            </w:pPr>
            <w:r>
              <w:t xml:space="preserve">Immunogenicity (ADA)</w:t>
            </w:r>
          </w:p>
        </w:tc>
        <w:tc>
          <w:tcPr/>
          <w:p>
            <w:pPr>
              <w:pStyle w:val="Compact"/>
              <w:jc w:val="left"/>
            </w:pPr>
            <w:r>
              <w:t xml:space="preserve">not in the operating characteristics; ADA-like subgroup sensitivity (10% of subjects, ke x2 after Day 14)</w:t>
            </w:r>
          </w:p>
        </w:tc>
        <w:tc>
          <w:tcPr/>
          <w:p>
            <w:pPr>
              <w:pStyle w:val="Compact"/>
              <w:jc w:val="left"/>
            </w:pPr>
            <w:r>
              <w:t xml:space="preserve">no ADA model in the published PK models</w:t>
            </w:r>
          </w:p>
        </w:tc>
        <w:tc>
          <w:tcPr/>
          <w:p>
            <w:pPr>
              <w:pStyle w:val="Compact"/>
              <w:jc w:val="left"/>
            </w:pPr>
            <w:r>
              <w:t xml:space="preserve">In the ADA-like subgroup coverage is preserved and the schedule recommendation unchanged.</w:t>
            </w:r>
          </w:p>
        </w:tc>
        <w:tc>
          <w:tcPr/>
          <w:p>
            <w:pPr>
              <w:pStyle w:val="Compact"/>
              <w:jc w:val="left"/>
            </w:pPr>
            <w:r>
              <w:t xml:space="preserve">Consider the ADA incidence reported for the reference product in healthy subjects; describe ADA handling in the SAP.</w:t>
            </w:r>
          </w:p>
        </w:tc>
      </w:tr>
      <w:tr>
        <w:tc>
          <w:tcPr/>
          <w:p>
            <w:pPr>
              <w:pStyle w:val="Compact"/>
              <w:jc w:val="left"/>
            </w:pPr>
            <w:r>
              <w:t xml:space="preserve">B11</w:t>
            </w:r>
          </w:p>
        </w:tc>
        <w:tc>
          <w:tcPr/>
          <w:p>
            <w:pPr>
              <w:pStyle w:val="Compact"/>
              <w:jc w:val="left"/>
            </w:pPr>
            <w:r>
              <w:t xml:space="preserve">Automated lambda-z selection without manual review</w:t>
            </w:r>
          </w:p>
        </w:tc>
        <w:tc>
          <w:tcPr/>
          <w:p>
            <w:pPr>
              <w:pStyle w:val="Compact"/>
              <w:jc w:val="left"/>
            </w:pPr>
            <w:r>
              <w:t xml:space="preserve">Phoenix Best Fit rules</w:t>
            </w:r>
          </w:p>
        </w:tc>
        <w:tc>
          <w:tcPr/>
          <w:p>
            <w:pPr>
              <w:pStyle w:val="Compact"/>
              <w:jc w:val="left"/>
            </w:pPr>
            <w:r>
              <w:t xml:space="preserve">standard NCA practice</w:t>
            </w:r>
          </w:p>
        </w:tc>
        <w:tc>
          <w:tcPr/>
          <w:p>
            <w:pPr>
              <w:pStyle w:val="Compact"/>
              <w:jc w:val="left"/>
            </w:pPr>
            <w:r>
              <w:t xml:space="preserve">Manual review could change lambda-z windows and AUC0-inf; AUC0-last and Cmax unaffected.</w:t>
            </w:r>
          </w:p>
        </w:tc>
        <w:tc>
          <w:tcPr/>
          <w:p>
            <w:pPr>
              <w:pStyle w:val="Compact"/>
              <w:jc w:val="left"/>
            </w:pPr>
            <w:r>
              <w:t xml:space="preserve">Pre-specify lambda-z rules in the SAP and document any manual changes.</w:t>
            </w:r>
          </w:p>
        </w:tc>
      </w:tr>
      <w:tr>
        <w:tc>
          <w:tcPr/>
          <w:p>
            <w:pPr>
              <w:pStyle w:val="Compact"/>
              <w:jc w:val="left"/>
            </w:pPr>
            <w:r>
              <w:t xml:space="preserve">B12</w:t>
            </w:r>
          </w:p>
        </w:tc>
        <w:tc>
          <w:tcPr/>
          <w:p>
            <w:pPr>
              <w:pStyle w:val="Compact"/>
              <w:jc w:val="left"/>
            </w:pPr>
            <w:r>
              <w:t xml:space="preserve">Presentation of test and reference products</w:t>
            </w:r>
          </w:p>
        </w:tc>
        <w:tc>
          <w:tcPr/>
          <w:p>
            <w:pPr>
              <w:pStyle w:val="Compact"/>
              <w:jc w:val="left"/>
            </w:pPr>
            <w:r>
              <w:t xml:space="preserve">300 mg as 2 mL of 150 mg/mL for both</w:t>
            </w:r>
          </w:p>
        </w:tc>
        <w:tc>
          <w:tcPr/>
          <w:p>
            <w:pPr>
              <w:pStyle w:val="Compact"/>
              <w:jc w:val="left"/>
            </w:pPr>
            <w:r>
              <w:t xml:space="preserve">study design</w:t>
            </w:r>
          </w:p>
        </w:tc>
        <w:tc>
          <w:tcPr/>
          <w:p>
            <w:pPr>
              <w:pStyle w:val="Compact"/>
              <w:jc w:val="left"/>
            </w:pPr>
            <w:r>
              <w:t xml:space="preserve">The 200 mg 175 mg/mL presentation (faster absorption) is not reproduced; not relevant if both products use the 300 mg 150 mg/mL presentation.</w:t>
            </w:r>
          </w:p>
        </w:tc>
        <w:tc>
          <w:tcPr/>
          <w:p>
            <w:pPr>
              <w:pStyle w:val="Compact"/>
              <w:jc w:val="left"/>
            </w:pPr>
            <w:r>
              <w:t xml:space="preserve">Confirm presentations of both products.</w:t>
            </w:r>
          </w:p>
        </w:tc>
      </w:tr>
      <w:tr>
        <w:tc>
          <w:tcPr/>
          <w:p>
            <w:pPr>
              <w:pStyle w:val="Compact"/>
              <w:jc w:val="left"/>
            </w:pPr>
            <w:r>
              <w:t xml:space="preserve">B13</w:t>
            </w:r>
          </w:p>
        </w:tc>
        <w:tc>
          <w:tcPr/>
          <w:p>
            <w:pPr>
              <w:pStyle w:val="Compact"/>
              <w:jc w:val="left"/>
            </w:pPr>
            <w:r>
              <w:t xml:space="preserve">Population: healthy subjects</w:t>
            </w:r>
          </w:p>
        </w:tc>
        <w:tc>
          <w:tcPr/>
          <w:p>
            <w:pPr>
              <w:pStyle w:val="Compact"/>
              <w:jc w:val="left"/>
            </w:pPr>
            <w:r>
              <w:t xml:space="preserve">healthy adults, BMI 18 to 32 (BMI not modelled)</w:t>
            </w:r>
          </w:p>
        </w:tc>
        <w:tc>
          <w:tcPr/>
          <w:p>
            <w:pPr>
              <w:pStyle w:val="Compact"/>
              <w:jc w:val="left"/>
            </w:pPr>
            <w:r>
              <w:t xml:space="preserve">study design</w:t>
            </w:r>
          </w:p>
        </w:tc>
        <w:tc>
          <w:tcPr/>
          <w:p>
            <w:pPr>
              <w:pStyle w:val="Compact"/>
              <w:jc w:val="left"/>
            </w:pPr>
            <w:r>
              <w:t xml:space="preserve">Results apply to healthy adults 60 to 90 kg.</w:t>
            </w:r>
          </w:p>
        </w:tc>
        <w:tc>
          <w:tcPr/>
          <w:p>
            <w:pPr>
              <w:pStyle w:val="Compact"/>
              <w:jc w:val="left"/>
            </w:pPr>
            <w:r>
              <w:t xml:space="preserve">None.</w:t>
            </w:r>
          </w:p>
        </w:tc>
      </w:tr>
      <w:tr>
        <w:tc>
          <w:tcPr/>
          <w:p>
            <w:pPr>
              <w:pStyle w:val="Compact"/>
              <w:jc w:val="left"/>
            </w:pPr>
            <w:r>
              <w:t xml:space="preserve">B14</w:t>
            </w:r>
          </w:p>
        </w:tc>
        <w:tc>
          <w:tcPr/>
          <w:p>
            <w:pPr>
              <w:pStyle w:val="Compact"/>
              <w:jc w:val="left"/>
            </w:pPr>
            <w:r>
              <w:t xml:space="preserve">Body weight of single-arm literature studies (validation only)</w:t>
            </w:r>
          </w:p>
        </w:tc>
        <w:tc>
          <w:tcPr/>
          <w:p>
            <w:pPr>
              <w:pStyle w:val="Compact"/>
              <w:jc w:val="left"/>
            </w:pPr>
            <w:r>
              <w:t xml:space="preserve">normal, mean 78 kg, SD 10 kg</w:t>
            </w:r>
          </w:p>
        </w:tc>
        <w:tc>
          <w:tcPr/>
          <w:p>
            <w:pPr>
              <w:pStyle w:val="Compact"/>
              <w:jc w:val="left"/>
            </w:pPr>
            <w:r>
              <w:t xml:space="preserve">weights not reported in Li 2020</w:t>
            </w:r>
          </w:p>
        </w:tc>
        <w:tc>
          <w:tcPr/>
          <w:p>
            <w:pPr>
              <w:pStyle w:val="Compact"/>
              <w:jc w:val="left"/>
            </w:pPr>
            <w:r>
              <w:t xml:space="preserve">External-only validation result depends on it (Section 4.2); not used in any analysis of the proposal.</w:t>
            </w:r>
          </w:p>
        </w:tc>
        <w:tc>
          <w:tcPr/>
          <w:p>
            <w:pPr>
              <w:pStyle w:val="Compact"/>
              <w:jc w:val="left"/>
            </w:pPr>
            <w:r>
              <w:t xml:space="preserve">None.</w:t>
            </w:r>
          </w:p>
        </w:tc>
      </w:tr>
      <w:tr>
        <w:tc>
          <w:tcPr/>
          <w:p>
            <w:pPr>
              <w:pStyle w:val="Compact"/>
              <w:jc w:val="left"/>
            </w:pPr>
            <w:r>
              <w:t xml:space="preserve">B15</w:t>
            </w:r>
          </w:p>
        </w:tc>
        <w:tc>
          <w:tcPr/>
          <w:p>
            <w:pPr>
              <w:pStyle w:val="Compact"/>
              <w:jc w:val="left"/>
            </w:pPr>
            <w:r>
              <w:t xml:space="preserve">BMI reference for the ke-BMI covariate (weight generalization only)</w:t>
            </w:r>
          </w:p>
        </w:tc>
        <w:tc>
          <w:tcPr/>
          <w:p>
            <w:pPr>
              <w:pStyle w:val="Compact"/>
              <w:jc w:val="left"/>
            </w:pPr>
            <w:r>
              <w:t xml:space="preserve">26 kg/m2</w:t>
            </w:r>
          </w:p>
        </w:tc>
        <w:tc>
          <w:tcPr/>
          <w:p>
            <w:pPr>
              <w:pStyle w:val="Compact"/>
              <w:jc w:val="left"/>
            </w:pPr>
            <w:r>
              <w:t xml:space="preserve">phase 3 mean BMI 25.4 to 27.3 (Kamal 2022)</w:t>
            </w:r>
          </w:p>
        </w:tc>
        <w:tc>
          <w:tcPr/>
          <w:p>
            <w:pPr>
              <w:pStyle w:val="Compact"/>
              <w:jc w:val="left"/>
            </w:pPr>
            <w:r>
              <w:t xml:space="preserve">Used only for the weight generalization sensitivity.</w:t>
            </w:r>
          </w:p>
        </w:tc>
        <w:tc>
          <w:tcPr/>
          <w:p>
            <w:pPr>
              <w:pStyle w:val="Compact"/>
              <w:jc w:val="left"/>
            </w:pPr>
            <w:r>
              <w:t xml:space="preserve">None.</w:t>
            </w:r>
          </w:p>
        </w:tc>
      </w:tr>
      <w:tr>
        <w:tc>
          <w:tcPr/>
          <w:p>
            <w:pPr>
              <w:pStyle w:val="Compact"/>
              <w:jc w:val="left"/>
            </w:pPr>
            <w:r>
              <w:t xml:space="preserve">B16</w:t>
            </w:r>
          </w:p>
        </w:tc>
        <w:tc>
          <w:tcPr/>
          <w:p>
            <w:pPr>
              <w:pStyle w:val="Compact"/>
              <w:jc w:val="left"/>
            </w:pPr>
            <w:r>
              <w:t xml:space="preserve">Body weight of adults with atopic dermatitis (Appendix I robustness check)</w:t>
            </w:r>
          </w:p>
        </w:tc>
        <w:tc>
          <w:tcPr/>
          <w:p>
            <w:pPr>
              <w:pStyle w:val="Compact"/>
              <w:jc w:val="left"/>
            </w:pPr>
            <w:r>
              <w:t xml:space="preserve">lognormal mean 78 kg, SD 19 kg, 40 to 180 kg</w:t>
            </w:r>
          </w:p>
        </w:tc>
        <w:tc>
          <w:tcPr/>
          <w:p>
            <w:pPr>
              <w:pStyle w:val="Compact"/>
              <w:jc w:val="left"/>
            </w:pPr>
            <w:r>
              <w:t xml:space="preserve">published summaries (Kamal 2022, Kovalenko 2021, NCT03389893)</w:t>
            </w:r>
          </w:p>
        </w:tc>
        <w:tc>
          <w:tcPr/>
          <w:p>
            <w:pPr>
              <w:pStyle w:val="Compact"/>
              <w:jc w:val="left"/>
            </w:pPr>
            <w:r>
              <w:t xml:space="preserve">40.4% of simulated patients outside 60 to 90 kg; without a reliable AUC0-inf: 8.9 to 15.3% (criteria set (i)) and 33.6 to 39.8% (set (iii)) across three model variants; sensitivity distributions (80/19 and 75/18 kg): 8.5 to 15.6% and 33.1 to 40.0% (Appendix I; robustness check, not evidence).</w:t>
            </w:r>
          </w:p>
        </w:tc>
        <w:tc>
          <w:tcPr/>
          <w:p>
            <w:pPr>
              <w:pStyle w:val="Compact"/>
              <w:jc w:val="left"/>
            </w:pPr>
            <w:r>
              <w:t xml:space="preserve">None; robustness check only, not evidence for the proposal (principle of section 6).</w:t>
            </w:r>
          </w:p>
        </w:tc>
      </w:tr>
      <w:tr>
        <w:tc>
          <w:tcPr/>
          <w:p>
            <w:pPr>
              <w:pStyle w:val="Compact"/>
              <w:jc w:val="left"/>
            </w:pPr>
            <w:r>
              <w:t xml:space="preserve">B17</w:t>
            </w:r>
          </w:p>
        </w:tc>
        <w:tc>
          <w:tcPr/>
          <w:p>
            <w:pPr>
              <w:pStyle w:val="Compact"/>
              <w:jc w:val="left"/>
            </w:pPr>
            <w:r>
              <w:t xml:space="preserve">Height independent of body weight (Appendix I robustness check)</w:t>
            </w:r>
          </w:p>
        </w:tc>
        <w:tc>
          <w:tcPr/>
          <w:p>
            <w:pPr>
              <w:pStyle w:val="Compact"/>
              <w:jc w:val="left"/>
            </w:pPr>
            <w:r>
              <w:t xml:space="preserve">height normal, mean 172 cm, SD 10 cm, independent of weight</w:t>
            </w:r>
          </w:p>
        </w:tc>
        <w:tc>
          <w:tcPr/>
          <w:p>
            <w:pPr>
              <w:pStyle w:val="Compact"/>
              <w:jc w:val="left"/>
            </w:pPr>
            <w:r>
              <w:t xml:space="preserve">specified in the request</w:t>
            </w:r>
          </w:p>
        </w:tc>
        <w:tc>
          <w:tcPr/>
          <w:p>
            <w:pPr>
              <w:pStyle w:val="Compact"/>
              <w:jc w:val="left"/>
            </w:pPr>
            <w:r>
              <w:t xml:space="preserve">Overstates the BMI SD (7.17 against 5.45 kg/m2). With the correlation implied by NCT03389893 (0.51), failure of the BMI-covariate variant changes from 15.34% to 15.22% (set (i)); exploratory, not pre-registered (Appendix I).</w:t>
            </w:r>
          </w:p>
        </w:tc>
        <w:tc>
          <w:tcPr/>
          <w:p>
            <w:pPr>
              <w:pStyle w:val="Compact"/>
              <w:jc w:val="left"/>
            </w:pPr>
            <w:r>
              <w:t xml:space="preserve">None; robustness check only.</w:t>
            </w:r>
          </w:p>
        </w:tc>
      </w:tr>
    </w:tbl>
    <w:bookmarkEnd w:id="107"/>
    <w:bookmarkStart w:id="108" w:name="Xfff0a73713d1cc1bc585ad39659e3ae9b4980ed"/>
    <w:p>
      <w:pPr>
        <w:pStyle w:val="Heading1"/>
      </w:pPr>
      <w:r>
        <w:t xml:space="preserve">Appendix C. Verification and quality control record</w:t>
      </w:r>
    </w:p>
    <w:p>
      <w:pPr>
        <w:pStyle w:val="TableCaption"/>
      </w:pPr>
      <w:r>
        <w:t xml:space="preserve">Table C-1. Verification and quality-control activities, acceptance criteria, results and evidence files.</w:t>
      </w:r>
    </w:p>
    <w:tbl>
      <w:tblPr>
        <w:tblStyle w:val="Table"/>
        <w:tblW w:type="pct" w:w="5000"/>
        <w:tblLook w:firstRow="1" w:lastRow="0" w:firstColumn="0" w:lastColumn="0" w:noHBand="0" w:noVBand="0" w:val="0020"/>
        <w:jc w:val="start"/>
        <w:tblCaption w:val="Table C-1. Verification and quality-control activities, acceptance criteria, results and evidence files."/>
      </w:tblPr>
      <w:tblGrid>
        <w:gridCol w:w="1068"/>
        <w:gridCol w:w="2578"/>
        <w:gridCol w:w="911"/>
        <w:gridCol w:w="1623"/>
        <w:gridCol w:w="1737"/>
      </w:tblGrid>
      <w:tr>
        <w:trPr>
          <w:tblHeader w:val="true"/>
        </w:trPr>
        <w:tc>
          <w:tcPr/>
          <w:p>
            <w:pPr>
              <w:pStyle w:val="Compact"/>
              <w:jc w:val="left"/>
            </w:pPr>
            <w:r>
              <w:t xml:space="preserve">Activity</w:t>
            </w:r>
          </w:p>
        </w:tc>
        <w:tc>
          <w:tcPr/>
          <w:p>
            <w:pPr>
              <w:pStyle w:val="Compact"/>
              <w:jc w:val="left"/>
            </w:pPr>
            <w:r>
              <w:t xml:space="preserve">Method</w:t>
            </w:r>
          </w:p>
        </w:tc>
        <w:tc>
          <w:tcPr/>
          <w:p>
            <w:pPr>
              <w:pStyle w:val="Compact"/>
              <w:jc w:val="left"/>
            </w:pPr>
            <w:r>
              <w:t xml:space="preserve">Acceptance criterion</w:t>
            </w:r>
          </w:p>
        </w:tc>
        <w:tc>
          <w:tcPr/>
          <w:p>
            <w:pPr>
              <w:pStyle w:val="Compact"/>
              <w:jc w:val="left"/>
            </w:pPr>
            <w:r>
              <w:t xml:space="preserve">Result</w:t>
            </w:r>
          </w:p>
        </w:tc>
        <w:tc>
          <w:tcPr/>
          <w:p>
            <w:pPr>
              <w:pStyle w:val="Compact"/>
              <w:jc w:val="left"/>
            </w:pPr>
            <w:r>
              <w:t xml:space="preserve">Evidence</w:t>
            </w:r>
          </w:p>
        </w:tc>
      </w:tr>
      <w:tr>
        <w:tc>
          <w:tcPr/>
          <w:p>
            <w:pPr>
              <w:pStyle w:val="Compact"/>
              <w:jc w:val="left"/>
            </w:pPr>
            <w:r>
              <w:t xml:space="preserve">Model code against the analytical solution</w:t>
            </w:r>
          </w:p>
        </w:tc>
        <w:tc>
          <w:tcPr/>
          <w:p>
            <w:pPr>
              <w:pStyle w:val="Compact"/>
              <w:jc w:val="left"/>
            </w:pPr>
            <w:r>
              <w:t xml:space="preserve">Automated test: linear limit (Vmax = 0) against the closed-form two-compartment solution</w:t>
            </w:r>
          </w:p>
        </w:tc>
        <w:tc>
          <w:tcPr/>
          <w:p>
            <w:pPr>
              <w:pStyle w:val="Compact"/>
              <w:jc w:val="left"/>
            </w:pPr>
            <w:r>
              <w:t xml:space="preserve">Relative difference below tolerance</w:t>
            </w:r>
          </w:p>
        </w:tc>
        <w:tc>
          <w:tcPr/>
          <w:p>
            <w:pPr>
              <w:pStyle w:val="Compact"/>
              <w:jc w:val="left"/>
            </w:pPr>
            <w:r>
              <w:t xml:space="preserve">Pass</w:t>
            </w:r>
          </w:p>
        </w:tc>
        <w:tc>
          <w:tcPr/>
          <w:p>
            <w:pPr>
              <w:pStyle w:val="Compact"/>
              <w:jc w:val="left"/>
            </w:pPr>
            <w:r>
              <w:t xml:space="preserve">tests/testthat/test-model-structure.R</w:t>
            </w:r>
          </w:p>
        </w:tc>
      </w:tr>
      <w:tr>
        <w:tc>
          <w:tcPr/>
          <w:p>
            <w:pPr>
              <w:pStyle w:val="Compact"/>
              <w:jc w:val="left"/>
            </w:pPr>
            <w:r>
              <w:t xml:space="preserve">Mass balance, Michaelis-Menten zero-order limit, transit mean transit time</w:t>
            </w:r>
          </w:p>
        </w:tc>
        <w:tc>
          <w:tcPr/>
          <w:p>
            <w:pPr>
              <w:pStyle w:val="Compact"/>
              <w:jc w:val="left"/>
            </w:pPr>
            <w:r>
              <w:t xml:space="preserve">Automated tests</w:t>
            </w:r>
          </w:p>
        </w:tc>
        <w:tc>
          <w:tcPr/>
          <w:p>
            <w:pPr>
              <w:pStyle w:val="Compact"/>
              <w:jc w:val="left"/>
            </w:pPr>
            <w:r>
              <w:t xml:space="preserve">As specified in the tests</w:t>
            </w:r>
          </w:p>
        </w:tc>
        <w:tc>
          <w:tcPr/>
          <w:p>
            <w:pPr>
              <w:pStyle w:val="Compact"/>
              <w:jc w:val="left"/>
            </w:pPr>
            <w:r>
              <w:t xml:space="preserve">Pass</w:t>
            </w:r>
          </w:p>
        </w:tc>
        <w:tc>
          <w:tcPr/>
          <w:p>
            <w:pPr>
              <w:pStyle w:val="Compact"/>
              <w:jc w:val="left"/>
            </w:pPr>
            <w:r>
              <w:t xml:space="preserve">tests/testthat/test-model-structure.R</w:t>
            </w:r>
          </w:p>
        </w:tc>
      </w:tr>
      <w:tr>
        <w:tc>
          <w:tcPr/>
          <w:p>
            <w:pPr>
              <w:pStyle w:val="Compact"/>
              <w:jc w:val="left"/>
            </w:pPr>
            <w:r>
              <w:t xml:space="preserve">NCA rules on hand-calculated examples</w:t>
            </w:r>
          </w:p>
        </w:tc>
        <w:tc>
          <w:tcPr/>
          <w:p>
            <w:pPr>
              <w:pStyle w:val="Compact"/>
              <w:jc w:val="left"/>
            </w:pPr>
            <w:r>
              <w:t xml:space="preserve">Automated tests (linear-up log-down AUC, lambda-z windows, BLQ rules, ties)</w:t>
            </w:r>
          </w:p>
        </w:tc>
        <w:tc>
          <w:tcPr/>
          <w:p>
            <w:pPr>
              <w:pStyle w:val="Compact"/>
              <w:jc w:val="left"/>
            </w:pPr>
            <w:r>
              <w:t xml:space="preserve">As specified in the tests</w:t>
            </w:r>
          </w:p>
        </w:tc>
        <w:tc>
          <w:tcPr/>
          <w:p>
            <w:pPr>
              <w:pStyle w:val="Compact"/>
              <w:jc w:val="left"/>
            </w:pPr>
            <w:r>
              <w:t xml:space="preserve">Pass</w:t>
            </w:r>
          </w:p>
        </w:tc>
        <w:tc>
          <w:tcPr/>
          <w:p>
            <w:pPr>
              <w:pStyle w:val="Compact"/>
              <w:jc w:val="left"/>
            </w:pPr>
            <w:r>
              <w:t xml:space="preserve">tests/testthat/test-nca.R, test-nca-wnl.R</w:t>
            </w:r>
          </w:p>
        </w:tc>
      </w:tr>
      <w:tr>
        <w:tc>
          <w:tcPr/>
          <w:p>
            <w:pPr>
              <w:pStyle w:val="Compact"/>
              <w:jc w:val="left"/>
            </w:pPr>
            <w:r>
              <w:t xml:space="preserve">NCA engine against reference implementations</w:t>
            </w:r>
          </w:p>
        </w:tc>
        <w:tc>
          <w:tcPr/>
          <w:p>
            <w:pPr>
              <w:pStyle w:val="Compact"/>
              <w:jc w:val="left"/>
            </w:pPr>
            <w:r>
              <w:t xml:space="preserve">Theoph, Indometh and 1,000 simulated profiles: this engine, NonCompart 0.8.4, PKNCA 0.12.1</w:t>
            </w:r>
          </w:p>
        </w:tc>
        <w:tc>
          <w:tcPr/>
          <w:p>
            <w:pPr>
              <w:pStyle w:val="Compact"/>
              <w:jc w:val="left"/>
            </w:pPr>
            <w:r>
              <w:t xml:space="preserve">Identical lambda-z windows; relative difference at most 1e-6</w:t>
            </w:r>
          </w:p>
        </w:tc>
        <w:tc>
          <w:tcPr/>
          <w:p>
            <w:pPr>
              <w:pStyle w:val="Compact"/>
              <w:jc w:val="left"/>
            </w:pPr>
            <w:r>
              <w:t xml:space="preserve">Pass: 3,054 of 3,054 window comparisons identical; largest relative difference 4.9e-13</w:t>
            </w:r>
          </w:p>
        </w:tc>
        <w:tc>
          <w:tcPr/>
          <w:p>
            <w:pPr>
              <w:pStyle w:val="Compact"/>
              <w:jc w:val="left"/>
            </w:pPr>
            <w:r>
              <w:t xml:space="preserve">results/nca_engine/engine_validation_summary.csv</w:t>
            </w:r>
          </w:p>
        </w:tc>
      </w:tr>
      <w:tr>
        <w:tc>
          <w:tcPr/>
          <w:p>
            <w:pPr>
              <w:pStyle w:val="Compact"/>
              <w:jc w:val="left"/>
            </w:pPr>
            <w:r>
              <w:t xml:space="preserve">Equivalence statistics</w:t>
            </w:r>
          </w:p>
        </w:tc>
        <w:tc>
          <w:tcPr/>
          <w:p>
            <w:pPr>
              <w:pStyle w:val="Compact"/>
              <w:jc w:val="left"/>
            </w:pPr>
            <w:r>
              <w:t xml:space="preserve">Automated tests against t.test (var.equal) and lm/confint</w:t>
            </w:r>
          </w:p>
        </w:tc>
        <w:tc>
          <w:tcPr/>
          <w:p>
            <w:pPr>
              <w:pStyle w:val="Compact"/>
              <w:jc w:val="left"/>
            </w:pPr>
            <w:r>
              <w:t xml:space="preserve">Identical to base R</w:t>
            </w:r>
          </w:p>
        </w:tc>
        <w:tc>
          <w:tcPr/>
          <w:p>
            <w:pPr>
              <w:pStyle w:val="Compact"/>
              <w:jc w:val="left"/>
            </w:pPr>
            <w:r>
              <w:t xml:space="preserve">Pass</w:t>
            </w:r>
          </w:p>
        </w:tc>
        <w:tc>
          <w:tcPr/>
          <w:p>
            <w:pPr>
              <w:pStyle w:val="Compact"/>
              <w:jc w:val="left"/>
            </w:pPr>
            <w:r>
              <w:t xml:space="preserve">tests/testthat/test-be-stats.R</w:t>
            </w:r>
          </w:p>
        </w:tc>
      </w:tr>
      <w:tr>
        <w:tc>
          <w:tcPr/>
          <w:p>
            <w:pPr>
              <w:pStyle w:val="Compact"/>
              <w:jc w:val="left"/>
            </w:pPr>
            <w:r>
              <w:t xml:space="preserve">Scenario multipliers act on the test arm only</w:t>
            </w:r>
          </w:p>
        </w:tc>
        <w:tc>
          <w:tcPr/>
          <w:p>
            <w:pPr>
              <w:pStyle w:val="Compact"/>
              <w:jc w:val="left"/>
            </w:pPr>
            <w:r>
              <w:t xml:space="preserve">Automated tests over all product scenarios</w:t>
            </w:r>
          </w:p>
        </w:tc>
        <w:tc>
          <w:tcPr/>
          <w:p>
            <w:pPr>
              <w:pStyle w:val="Compact"/>
              <w:jc w:val="left"/>
            </w:pPr>
            <w:r>
              <w:t xml:space="preserve">Reference arm unchanged; test arm shifted by the multiplier</w:t>
            </w:r>
          </w:p>
        </w:tc>
        <w:tc>
          <w:tcPr/>
          <w:p>
            <w:pPr>
              <w:pStyle w:val="Compact"/>
              <w:jc w:val="left"/>
            </w:pPr>
            <w:r>
              <w:t xml:space="preserve">Pass</w:t>
            </w:r>
          </w:p>
        </w:tc>
        <w:tc>
          <w:tcPr/>
          <w:p>
            <w:pPr>
              <w:pStyle w:val="Compact"/>
              <w:jc w:val="left"/>
            </w:pPr>
            <w:r>
              <w:t xml:space="preserve">tests/testthat/test-scenario-propagation.R</w:t>
            </w:r>
          </w:p>
        </w:tc>
      </w:tr>
      <w:tr>
        <w:tc>
          <w:tcPr/>
          <w:p>
            <w:pPr>
              <w:pStyle w:val="Compact"/>
              <w:jc w:val="left"/>
            </w:pPr>
            <w:r>
              <w:t xml:space="preserve">Configuration schema and coding rules</w:t>
            </w:r>
          </w:p>
        </w:tc>
        <w:tc>
          <w:tcPr/>
          <w:p>
            <w:pPr>
              <w:pStyle w:val="Compact"/>
              <w:jc w:val="left"/>
            </w:pPr>
            <w:r>
              <w:t xml:space="preserve">Automated tests (YAML boolean keys, types, data.table scoping lint)</w:t>
            </w:r>
          </w:p>
        </w:tc>
        <w:tc>
          <w:tcPr/>
          <w:p>
            <w:pPr>
              <w:pStyle w:val="Compact"/>
              <w:jc w:val="left"/>
            </w:pPr>
            <w:r>
              <w:t xml:space="preserve">No violation</w:t>
            </w:r>
          </w:p>
        </w:tc>
        <w:tc>
          <w:tcPr/>
          <w:p>
            <w:pPr>
              <w:pStyle w:val="Compact"/>
              <w:jc w:val="left"/>
            </w:pPr>
            <w:r>
              <w:t xml:space="preserve">Pass</w:t>
            </w:r>
          </w:p>
        </w:tc>
        <w:tc>
          <w:tcPr/>
          <w:p>
            <w:pPr>
              <w:pStyle w:val="Compact"/>
              <w:jc w:val="left"/>
            </w:pPr>
            <w:r>
              <w:t xml:space="preserve">tests/testthat/test-config-schema.R, test-lint-datatable-scope.R</w:t>
            </w:r>
          </w:p>
        </w:tc>
      </w:tr>
      <w:tr>
        <w:tc>
          <w:tcPr/>
          <w:p>
            <w:pPr>
              <w:pStyle w:val="Compact"/>
              <w:jc w:val="left"/>
            </w:pPr>
            <w:r>
              <w:t xml:space="preserve">Deterministic seeds</w:t>
            </w:r>
          </w:p>
        </w:tc>
        <w:tc>
          <w:tcPr/>
          <w:p>
            <w:pPr>
              <w:pStyle w:val="Compact"/>
              <w:jc w:val="left"/>
            </w:pPr>
            <w:r>
              <w:t xml:space="preserve">Automated tests</w:t>
            </w:r>
          </w:p>
        </w:tc>
        <w:tc>
          <w:tcPr/>
          <w:p>
            <w:pPr>
              <w:pStyle w:val="Compact"/>
              <w:jc w:val="left"/>
            </w:pPr>
            <w:r>
              <w:t xml:space="preserve">Same inputs give same seeds</w:t>
            </w:r>
          </w:p>
        </w:tc>
        <w:tc>
          <w:tcPr/>
          <w:p>
            <w:pPr>
              <w:pStyle w:val="Compact"/>
              <w:jc w:val="left"/>
            </w:pPr>
            <w:r>
              <w:t xml:space="preserve">Pass</w:t>
            </w:r>
          </w:p>
        </w:tc>
        <w:tc>
          <w:tcPr/>
          <w:p>
            <w:pPr>
              <w:pStyle w:val="Compact"/>
              <w:jc w:val="left"/>
            </w:pPr>
            <w:r>
              <w:t xml:space="preserve">tests/testthat/test-seeds.R</w:t>
            </w:r>
          </w:p>
        </w:tc>
      </w:tr>
      <w:tr>
        <w:tc>
          <w:tcPr/>
          <w:p>
            <w:pPr>
              <w:pStyle w:val="Compact"/>
              <w:jc w:val="left"/>
            </w:pPr>
            <w:r>
              <w:t xml:space="preserve">Independent re-implementation (Model 1)</w:t>
            </w:r>
          </w:p>
        </w:tc>
        <w:tc>
          <w:tcPr/>
          <w:p>
            <w:pPr>
              <w:pStyle w:val="Compact"/>
              <w:jc w:val="left"/>
            </w:pPr>
            <w:r>
              <w:t xml:space="preserve">Reviewer’s Python implementation, 20,000 subjects</w:t>
            </w:r>
          </w:p>
        </w:tc>
        <w:tc>
          <w:tcPr/>
          <w:p>
            <w:pPr>
              <w:pStyle w:val="Compact"/>
              <w:jc w:val="left"/>
            </w:pPr>
            <w:r>
              <w:t xml:space="preserve">Within 3% (small percentages: absolute difference)</w:t>
            </w:r>
          </w:p>
        </w:tc>
        <w:tc>
          <w:tcPr/>
          <w:p>
            <w:pPr>
              <w:pStyle w:val="Compact"/>
              <w:jc w:val="left"/>
            </w:pPr>
            <w:r>
              <w:t xml:space="preserve">16 of 19 metrics within 3%; the others are small percentages that differ by fractions of a percentage point</w:t>
            </w:r>
          </w:p>
        </w:tc>
        <w:tc>
          <w:tcPr/>
          <w:p>
            <w:pPr>
              <w:pStyle w:val="Compact"/>
              <w:jc w:val="left"/>
            </w:pPr>
            <w:r>
              <w:t xml:space="preserve">results/crossval/crossval_model1.csv</w:t>
            </w:r>
          </w:p>
        </w:tc>
      </w:tr>
      <w:tr>
        <w:tc>
          <w:tcPr/>
          <w:p>
            <w:pPr>
              <w:pStyle w:val="Compact"/>
              <w:jc w:val="left"/>
            </w:pPr>
            <w:r>
              <w:t xml:space="preserve">Independent re-implementation (curve shape and weight bands)</w:t>
            </w:r>
          </w:p>
        </w:tc>
        <w:tc>
          <w:tcPr/>
          <w:p>
            <w:pPr>
              <w:pStyle w:val="Compact"/>
              <w:jc w:val="left"/>
            </w:pPr>
            <w:r>
              <w:t xml:space="preserve">Reviewer’s Python implementation, 8,000 subjects per condition</w:t>
            </w:r>
          </w:p>
        </w:tc>
        <w:tc>
          <w:tcPr/>
          <w:p>
            <w:pPr>
              <w:pStyle w:val="Compact"/>
              <w:jc w:val="left"/>
            </w:pPr>
            <w:r>
              <w:t xml:space="preserve">Within 10% (non-rare metrics)</w:t>
            </w:r>
          </w:p>
        </w:tc>
        <w:tc>
          <w:tcPr/>
          <w:p>
            <w:pPr>
              <w:pStyle w:val="Compact"/>
              <w:jc w:val="left"/>
            </w:pPr>
            <w:r>
              <w:t xml:space="preserve">46 of 51 within 10%</w:t>
            </w:r>
          </w:p>
        </w:tc>
        <w:tc>
          <w:tcPr/>
          <w:p>
            <w:pPr>
              <w:pStyle w:val="Compact"/>
              <w:jc w:val="left"/>
            </w:pPr>
            <w:r>
              <w:t xml:space="preserve">results/crossval/reviewer_reference_round5.csv</w:t>
            </w:r>
          </w:p>
        </w:tc>
      </w:tr>
      <w:tr>
        <w:tc>
          <w:tcPr/>
          <w:p>
            <w:pPr>
              <w:pStyle w:val="Compact"/>
              <w:jc w:val="left"/>
            </w:pPr>
            <w:r>
              <w:t xml:space="preserve">Trial regeneration identity</w:t>
            </w:r>
          </w:p>
        </w:tc>
        <w:tc>
          <w:tcPr/>
          <w:p>
            <w:pPr>
              <w:pStyle w:val="Compact"/>
              <w:jc w:val="left"/>
            </w:pPr>
            <w:r>
              <w:t xml:space="preserve">5,000-trial set versus the earlier 500-trial run (trials 1 to 500)</w:t>
            </w:r>
          </w:p>
        </w:tc>
        <w:tc>
          <w:tcPr/>
          <w:p>
            <w:pPr>
              <w:pStyle w:val="Compact"/>
              <w:jc w:val="left"/>
            </w:pPr>
            <w:r>
              <w:t xml:space="preserve">Maximum difference 0</w:t>
            </w:r>
          </w:p>
        </w:tc>
        <w:tc>
          <w:tcPr/>
          <w:p>
            <w:pPr>
              <w:pStyle w:val="Compact"/>
              <w:jc w:val="left"/>
            </w:pPr>
            <w:r>
              <w:t xml:space="preserve">22,500 rows, maximum difference 0</w:t>
            </w:r>
          </w:p>
        </w:tc>
        <w:tc>
          <w:tcPr/>
          <w:p>
            <w:pPr>
              <w:pStyle w:val="Compact"/>
              <w:jc w:val="left"/>
            </w:pPr>
            <w:r>
              <w:t xml:space="preserve">results/trials5000/mc_consistency_identity.csv</w:t>
            </w:r>
          </w:p>
        </w:tc>
      </w:tr>
      <w:tr>
        <w:tc>
          <w:tcPr/>
          <w:p>
            <w:pPr>
              <w:pStyle w:val="Compact"/>
              <w:jc w:val="left"/>
            </w:pPr>
            <w:r>
              <w:t xml:space="preserve">Monte Carlo consistency</w:t>
            </w:r>
          </w:p>
        </w:tc>
        <w:tc>
          <w:tcPr/>
          <w:p>
            <w:pPr>
              <w:pStyle w:val="Compact"/>
              <w:jc w:val="left"/>
            </w:pPr>
            <w:r>
              <w:t xml:space="preserve">500-trial estimates versus the independent later trials</w:t>
            </w:r>
          </w:p>
        </w:tc>
        <w:tc>
          <w:tcPr/>
          <w:p>
            <w:pPr>
              <w:pStyle w:val="Compact"/>
              <w:jc w:val="left"/>
            </w:pPr>
            <w:r>
              <w:t xml:space="preserve">Differences within Monte Carlo error</w:t>
            </w:r>
          </w:p>
        </w:tc>
        <w:tc>
          <w:tcPr/>
          <w:p>
            <w:pPr>
              <w:pStyle w:val="Compact"/>
              <w:jc w:val="left"/>
            </w:pPr>
            <w:r>
              <w:t xml:space="preserve">0 of 45 comparisons outside Monte Carlo error</w:t>
            </w:r>
          </w:p>
        </w:tc>
        <w:tc>
          <w:tcPr/>
          <w:p>
            <w:pPr>
              <w:pStyle w:val="Compact"/>
              <w:jc w:val="left"/>
            </w:pPr>
            <w:r>
              <w:t xml:space="preserve">results/trials5000/mc_consistency_500_vs_5000.csv</w:t>
            </w:r>
          </w:p>
        </w:tc>
      </w:tr>
      <w:tr>
        <w:tc>
          <w:tcPr/>
          <w:p>
            <w:pPr>
              <w:pStyle w:val="Compact"/>
              <w:jc w:val="left"/>
            </w:pPr>
            <w:r>
              <w:t xml:space="preserve">Regeneration for post hoc rules (same seeds)</w:t>
            </w:r>
          </w:p>
        </w:tc>
        <w:tc>
          <w:tcPr/>
          <w:p>
            <w:pPr>
              <w:pStyle w:val="Compact"/>
              <w:jc w:val="left"/>
            </w:pPr>
            <w:r>
              <w:t xml:space="preserve">Regenerated boundary trials versus stored rows (6 original endpoints)</w:t>
            </w:r>
          </w:p>
        </w:tc>
        <w:tc>
          <w:tcPr/>
          <w:p>
            <w:pPr>
              <w:pStyle w:val="Compact"/>
              <w:jc w:val="left"/>
            </w:pPr>
            <w:r>
              <w:t xml:space="preserve">Relative 1e-6 and identical pass flags</w:t>
            </w:r>
          </w:p>
        </w:tc>
        <w:tc>
          <w:tcPr/>
          <w:p>
            <w:pPr>
              <w:pStyle w:val="Compact"/>
              <w:jc w:val="left"/>
            </w:pPr>
            <w:r>
              <w:t xml:space="preserve">1,080,000 stored rows matched (540,000 per model)</w:t>
            </w:r>
          </w:p>
        </w:tc>
        <w:tc>
          <w:tcPr/>
          <w:p>
            <w:pPr>
              <w:pStyle w:val="Compact"/>
              <w:jc w:val="left"/>
            </w:pPr>
            <w:r>
              <w:t xml:space="preserve">logs/oc_rejudge_k2016.out, logs/oc_rejudge_k2020.out</w:t>
            </w:r>
          </w:p>
        </w:tc>
      </w:tr>
      <w:tr>
        <w:tc>
          <w:tcPr/>
          <w:p>
            <w:pPr>
              <w:pStyle w:val="Compact"/>
              <w:jc w:val="left"/>
            </w:pPr>
            <w:r>
              <w:t xml:space="preserve">Reproducibility in a clean environment</w:t>
            </w:r>
          </w:p>
        </w:tc>
        <w:tc>
          <w:tcPr/>
          <w:p>
            <w:pPr>
              <w:pStyle w:val="Compact"/>
              <w:jc w:val="left"/>
            </w:pPr>
            <w:r>
              <w:t xml:space="preserve">Pre-specified tolerances (config/repro_check.yaml); GitHub-hosted runner with a fresh renv restore</w:t>
            </w:r>
          </w:p>
        </w:tc>
        <w:tc>
          <w:tcPr/>
          <w:p>
            <w:pPr>
              <w:pStyle w:val="Compact"/>
              <w:jc w:val="left"/>
            </w:pPr>
            <w:r>
              <w:t xml:space="preserve">All items within tolerance</w:t>
            </w:r>
          </w:p>
        </w:tc>
        <w:tc>
          <w:tcPr/>
          <w:p>
            <w:pPr>
              <w:pStyle w:val="Compact"/>
              <w:jc w:val="left"/>
            </w:pPr>
            <w:r>
              <w:t xml:space="preserve">Local 7 of 7; clean runner 7 of 7, identical to the local values to 8 significant digits</w:t>
            </w:r>
          </w:p>
        </w:tc>
        <w:tc>
          <w:tcPr/>
          <w:p>
            <w:pPr>
              <w:pStyle w:val="Compact"/>
              <w:jc w:val="left"/>
            </w:pPr>
            <w:r>
              <w:t xml:space="preserve">results/repro/repro_check.csv, results/repro/repro_github_items.csv, results/repro/repro_github_run.csv</w:t>
            </w:r>
          </w:p>
        </w:tc>
      </w:tr>
      <w:tr>
        <w:tc>
          <w:tcPr/>
          <w:p>
            <w:pPr>
              <w:pStyle w:val="Compact"/>
              <w:jc w:val="left"/>
            </w:pPr>
            <w:r>
              <w:t xml:space="preserve">Continuous integration</w:t>
            </w:r>
          </w:p>
        </w:tc>
        <w:tc>
          <w:tcPr/>
          <w:p>
            <w:pPr>
              <w:pStyle w:val="Compact"/>
              <w:jc w:val="left"/>
            </w:pPr>
            <w:r>
              <w:t xml:space="preserve">Fast-scope tests on every commit that changes code, configuration or dependencies</w:t>
            </w:r>
          </w:p>
        </w:tc>
        <w:tc>
          <w:tcPr/>
          <w:p>
            <w:pPr>
              <w:pStyle w:val="Compact"/>
              <w:jc w:val="left"/>
            </w:pPr>
            <w:r>
              <w:t xml:space="preserve">No failure</w:t>
            </w:r>
          </w:p>
        </w:tc>
        <w:tc>
          <w:tcPr/>
          <w:p>
            <w:pPr>
              <w:pStyle w:val="Compact"/>
              <w:jc w:val="left"/>
            </w:pPr>
            <w:r>
              <w:t xml:space="preserve">5 successful runs after the fix; latest code commit c777170: success</w:t>
            </w:r>
          </w:p>
        </w:tc>
        <w:tc>
          <w:tcPr/>
          <w:p>
            <w:pPr>
              <w:pStyle w:val="Compact"/>
              <w:jc w:val="left"/>
            </w:pPr>
            <w:r>
              <w:t xml:space="preserve">results/ci/ci_runs_after_fix.csv</w:t>
            </w:r>
          </w:p>
        </w:tc>
      </w:tr>
      <w:tr>
        <w:tc>
          <w:tcPr/>
          <w:p>
            <w:pPr>
              <w:pStyle w:val="Compact"/>
              <w:jc w:val="left"/>
            </w:pPr>
            <w:r>
              <w:t xml:space="preserve">Premise checks of generated conclusions</w:t>
            </w:r>
          </w:p>
        </w:tc>
        <w:tc>
          <w:tcPr/>
          <w:p>
            <w:pPr>
              <w:pStyle w:val="Compact"/>
              <w:jc w:val="left"/>
            </w:pPr>
            <w:r>
              <w:t xml:space="preserve">Generated conclusion texts stop with an error if a stated premise is contradicted by the results</w:t>
            </w:r>
          </w:p>
        </w:tc>
        <w:tc>
          <w:tcPr/>
          <w:p>
            <w:pPr>
              <w:pStyle w:val="Compact"/>
              <w:jc w:val="left"/>
            </w:pPr>
            <w:r>
              <w:t xml:space="preserve">No premise violated</w:t>
            </w:r>
          </w:p>
        </w:tc>
        <w:tc>
          <w:tcPr/>
          <w:p>
            <w:pPr>
              <w:pStyle w:val="Compact"/>
              <w:jc w:val="left"/>
            </w:pPr>
            <w:r>
              <w:t xml:space="preserve">Pass (all generated texts produced)</w:t>
            </w:r>
          </w:p>
        </w:tc>
        <w:tc>
          <w:tcPr/>
          <w:p>
            <w:pPr>
              <w:pStyle w:val="Compact"/>
              <w:jc w:val="left"/>
            </w:pPr>
            <w:r>
              <w:t xml:space="preserve">scripts/33_oc_summary.R, 36_cliff_conclusion.R, 39_reliability_flags.R, 43_p2_interpretation.R</w:t>
            </w:r>
          </w:p>
        </w:tc>
      </w:tr>
      <w:tr>
        <w:tc>
          <w:tcPr/>
          <w:p>
            <w:pPr>
              <w:pStyle w:val="Compact"/>
              <w:jc w:val="left"/>
            </w:pPr>
            <w:r>
              <w:t xml:space="preserve">Analysis models M1 and M2 (closed form)</w:t>
            </w:r>
          </w:p>
        </w:tc>
        <w:tc>
          <w:tcPr/>
          <w:p>
            <w:pPr>
              <w:pStyle w:val="Compact"/>
              <w:jc w:val="left"/>
            </w:pPr>
            <w:r>
              <w:t xml:space="preserve">Automated tests against lm/confint, including unequal arms and a singular design</w:t>
            </w:r>
          </w:p>
        </w:tc>
        <w:tc>
          <w:tcPr/>
          <w:p>
            <w:pPr>
              <w:pStyle w:val="Compact"/>
              <w:jc w:val="left"/>
            </w:pPr>
            <w:r>
              <w:t xml:space="preserve">Relative difference at most 1e-10</w:t>
            </w:r>
          </w:p>
        </w:tc>
        <w:tc>
          <w:tcPr/>
          <w:p>
            <w:pPr>
              <w:pStyle w:val="Compact"/>
              <w:jc w:val="left"/>
            </w:pPr>
            <w:r>
              <w:t xml:space="preserve">Pass</w:t>
            </w:r>
          </w:p>
        </w:tc>
        <w:tc>
          <w:tcPr/>
          <w:p>
            <w:pPr>
              <w:pStyle w:val="Compact"/>
              <w:jc w:val="left"/>
            </w:pPr>
            <w:r>
              <w:t xml:space="preserve">tests/testthat/test-oc-models.R</w:t>
            </w:r>
          </w:p>
        </w:tc>
      </w:tr>
      <w:tr>
        <w:tc>
          <w:tcPr/>
          <w:p>
            <w:pPr>
              <w:pStyle w:val="Compact"/>
              <w:jc w:val="left"/>
            </w:pPr>
            <w:r>
              <w:t xml:space="preserve">Regeneration for the analysis-model re-judgement (same seeds)</w:t>
            </w:r>
          </w:p>
        </w:tc>
        <w:tc>
          <w:tcPr/>
          <w:p>
            <w:pPr>
              <w:pStyle w:val="Compact"/>
              <w:jc w:val="left"/>
            </w:pPr>
            <w:r>
              <w:t xml:space="preserve">Regenerated M0 versus stored rows of the operating-characteristic and product runs</w:t>
            </w:r>
          </w:p>
        </w:tc>
        <w:tc>
          <w:tcPr/>
          <w:p>
            <w:pPr>
              <w:pStyle w:val="Compact"/>
              <w:jc w:val="left"/>
            </w:pPr>
            <w:r>
              <w:t xml:space="preserve">Relative 1e-6 (1e-12 for product runs) and identical pass flags</w:t>
            </w:r>
          </w:p>
        </w:tc>
        <w:tc>
          <w:tcPr/>
          <w:p>
            <w:pPr>
              <w:pStyle w:val="Compact"/>
              <w:jc w:val="left"/>
            </w:pPr>
            <w:r>
              <w:t xml:space="preserve">Pass: 1,553,000 rows</w:t>
            </w:r>
          </w:p>
        </w:tc>
        <w:tc>
          <w:tcPr/>
          <w:p>
            <w:pPr>
              <w:pStyle w:val="Compact"/>
              <w:jc w:val="left"/>
            </w:pPr>
            <w:r>
              <w:t xml:space="preserve">results/oc_models/m0_reverification.csv, logs/oc_models_k2016.out, logs/oc_models_k2020.out</w:t>
            </w:r>
          </w:p>
        </w:tc>
      </w:tr>
      <w:tr>
        <w:tc>
          <w:tcPr/>
          <w:p>
            <w:pPr>
              <w:pStyle w:val="Compact"/>
              <w:jc w:val="left"/>
            </w:pPr>
            <w:r>
              <w:t xml:space="preserve">LLOQ re-censoring at the current LLOQ</w:t>
            </w:r>
          </w:p>
        </w:tc>
        <w:tc>
          <w:tcPr/>
          <w:p>
            <w:pPr>
              <w:pStyle w:val="Compact"/>
              <w:jc w:val="left"/>
            </w:pPr>
            <w:r>
              <w:t xml:space="preserve">Individual, cliff and trial results at 0.078 mg/L versus the stored results; rescaled residual at scale 1 versus the stored residual</w:t>
            </w:r>
          </w:p>
        </w:tc>
        <w:tc>
          <w:tcPr/>
          <w:p>
            <w:pPr>
              <w:pStyle w:val="Compact"/>
              <w:jc w:val="left"/>
            </w:pPr>
            <w:r>
              <w:t xml:space="preserve">Identical (tolerance 0) or relative 1e-9</w:t>
            </w:r>
          </w:p>
        </w:tc>
        <w:tc>
          <w:tcPr/>
          <w:p>
            <w:pPr>
              <w:pStyle w:val="Compact"/>
              <w:jc w:val="left"/>
            </w:pPr>
            <w:r>
              <w:t xml:space="preserve">Pass: 10 checks</w:t>
            </w:r>
          </w:p>
        </w:tc>
        <w:tc>
          <w:tcPr/>
          <w:p>
            <w:pPr>
              <w:pStyle w:val="Compact"/>
              <w:jc w:val="left"/>
            </w:pPr>
            <w:r>
              <w:t xml:space="preserve">results/lloq/lloq_individual_check_k2016.csv, lloq_individual_check_k2020.csv, lloq_cliff_check.csv, logs/lloq_trials.out</w:t>
            </w:r>
          </w:p>
        </w:tc>
      </w:tr>
      <w:tr>
        <w:tc>
          <w:tcPr/>
          <w:p>
            <w:pPr>
              <w:pStyle w:val="Compact"/>
              <w:jc w:val="left"/>
            </w:pPr>
            <w:r>
              <w:t xml:space="preserve">Sample-size analytic approximation</w:t>
            </w:r>
          </w:p>
        </w:tc>
        <w:tc>
          <w:tcPr/>
          <w:p>
            <w:pPr>
              <w:pStyle w:val="Compact"/>
              <w:jc w:val="left"/>
            </w:pPr>
            <w:r>
              <w:t xml:space="preserve">Simulation of every grid cell (5,000 trials) and PK-model trials at n = 117</w:t>
            </w:r>
          </w:p>
        </w:tc>
        <w:tc>
          <w:tcPr/>
          <w:p>
            <w:pPr>
              <w:pStyle w:val="Compact"/>
              <w:jc w:val="left"/>
            </w:pPr>
            <w:r>
              <w:t xml:space="preserve">Analytic value inside the Wilson 95% interval</w:t>
            </w:r>
          </w:p>
        </w:tc>
        <w:tc>
          <w:tcPr/>
          <w:p>
            <w:pPr>
              <w:pStyle w:val="Compact"/>
              <w:jc w:val="left"/>
            </w:pPr>
            <w:r>
              <w:t xml:space="preserve">Analytic inside the interval in 277 of 288 grid cells (largest difference 1.50 points); PK-model trials: 13 of 16</w:t>
            </w:r>
          </w:p>
        </w:tc>
        <w:tc>
          <w:tcPr/>
          <w:p>
            <w:pPr>
              <w:pStyle w:val="Compact"/>
              <w:jc w:val="left"/>
            </w:pPr>
            <w:r>
              <w:t xml:space="preserve">results/sample_size/ss_power_mc.csv, results/sample_size/ss_pk_check.csv</w:t>
            </w:r>
          </w:p>
        </w:tc>
      </w:tr>
      <w:tr>
        <w:tc>
          <w:tcPr/>
          <w:p>
            <w:pPr>
              <w:pStyle w:val="Compact"/>
              <w:jc w:val="left"/>
            </w:pPr>
            <w:r>
              <w:t xml:space="preserve">Restart of the regenerated trials (criteria sets (iii) and (iv) added)</w:t>
            </w:r>
          </w:p>
        </w:tc>
        <w:tc>
          <w:tcPr/>
          <w:p>
            <w:pPr>
              <w:pStyle w:val="Compact"/>
              <w:jc w:val="left"/>
            </w:pPr>
            <w:r>
              <w:t xml:space="preserve">Rows of the trials completed before the restart versus the same rows after it</w:t>
            </w:r>
          </w:p>
        </w:tc>
        <w:tc>
          <w:tcPr/>
          <w:p>
            <w:pPr>
              <w:pStyle w:val="Compact"/>
              <w:jc w:val="left"/>
            </w:pPr>
            <w:r>
              <w:t xml:space="preserve">Identical</w:t>
            </w:r>
          </w:p>
        </w:tc>
        <w:tc>
          <w:tcPr/>
          <w:p>
            <w:pPr>
              <w:pStyle w:val="Compact"/>
              <w:jc w:val="left"/>
            </w:pPr>
            <w:r>
              <w:t xml:space="preserve">Pass: 2,040,000 rows (5,000 and 3,500 trials)</w:t>
            </w:r>
          </w:p>
        </w:tc>
        <w:tc>
          <w:tcPr/>
          <w:p>
            <w:pPr>
              <w:pStyle w:val="Compact"/>
              <w:jc w:val="left"/>
            </w:pPr>
            <w:r>
              <w:t xml:space="preserve">results/criteria/restart_identity_check.csv</w:t>
            </w:r>
          </w:p>
        </w:tc>
      </w:tr>
      <w:tr>
        <w:tc>
          <w:tcPr/>
          <w:p>
            <w:pPr>
              <w:pStyle w:val="Compact"/>
              <w:jc w:val="left"/>
            </w:pPr>
            <w:r>
              <w:t xml:space="preserve">AUC0-inf + Cmax under the new criteria file versus version 1.0</w:t>
            </w:r>
          </w:p>
        </w:tc>
        <w:tc>
          <w:tcPr/>
          <w:p>
            <w:pPr>
              <w:pStyle w:val="Compact"/>
              <w:jc w:val="left"/>
            </w:pPr>
            <w:r>
              <w:t xml:space="preserve">M0 pass rates of rules A and C (criteria (i), (ii)) and rule B versus results/oc/g2_rules_flags.csv where the trial counts are equal</w:t>
            </w:r>
          </w:p>
        </w:tc>
        <w:tc>
          <w:tcPr/>
          <w:p>
            <w:pPr>
              <w:pStyle w:val="Compact"/>
              <w:jc w:val="left"/>
            </w:pPr>
            <w:r>
              <w:t xml:space="preserve">Identical (tolerance 1e-9)</w:t>
            </w:r>
          </w:p>
        </w:tc>
        <w:tc>
          <w:tcPr/>
          <w:p>
            <w:pPr>
              <w:pStyle w:val="Compact"/>
              <w:jc w:val="left"/>
            </w:pPr>
            <w:r>
              <w:t xml:space="preserve">Pass: 80 of 80 cells compared (equal trial counts), all identical</w:t>
            </w:r>
          </w:p>
        </w:tc>
        <w:tc>
          <w:tcPr/>
          <w:p>
            <w:pPr>
              <w:pStyle w:val="Compact"/>
              <w:jc w:val="left"/>
            </w:pPr>
            <w:r>
              <w:t xml:space="preserve">results/criteria/criteria_check_vs_v10.csv</w:t>
            </w:r>
          </w:p>
        </w:tc>
      </w:tr>
      <w:tr>
        <w:tc>
          <w:tcPr/>
          <w:p>
            <w:pPr>
              <w:pStyle w:val="Compact"/>
              <w:jc w:val="left"/>
            </w:pPr>
            <w:r>
              <w:t xml:space="preserve">Adult atopic dermatitis population summaries</w:t>
            </w:r>
          </w:p>
        </w:tc>
        <w:tc>
          <w:tcPr/>
          <w:p>
            <w:pPr>
              <w:pStyle w:val="Compact"/>
              <w:jc w:val="left"/>
            </w:pPr>
            <w:r>
              <w:t xml:space="preserve">Analytic weight shares versus the independent reference; simulated versus analytic shares; stored flags recomputed; stored run reproduced before the exploratory check</w:t>
            </w:r>
          </w:p>
        </w:tc>
        <w:tc>
          <w:tcPr/>
          <w:p>
            <w:pPr>
              <w:pStyle w:val="Compact"/>
              <w:jc w:val="left"/>
            </w:pPr>
            <w:r>
              <w:t xml:space="preserve">Within 0.06 points; binomial z at most 4; identical</w:t>
            </w:r>
          </w:p>
        </w:tc>
        <w:tc>
          <w:tcPr/>
          <w:p>
            <w:pPr>
              <w:pStyle w:val="Compact"/>
              <w:jc w:val="left"/>
            </w:pPr>
            <w:r>
              <w:t xml:space="preserve">Pass (the summary stops on any failed check)</w:t>
            </w:r>
          </w:p>
        </w:tc>
        <w:tc>
          <w:tcPr/>
          <w:p>
            <w:pPr>
              <w:pStyle w:val="Compact"/>
              <w:jc w:val="left"/>
            </w:pPr>
            <w:r>
              <w:t xml:space="preserve">scripts/53_atopic_summary.R; results/atopic/atopic_weight_table.csv, atopic_exploratory_height_corr.csv</w:t>
            </w:r>
          </w:p>
        </w:tc>
      </w:tr>
      <w:tr>
        <w:tc>
          <w:tcPr/>
          <w:p>
            <w:pPr>
              <w:pStyle w:val="Compact"/>
              <w:jc w:val="left"/>
            </w:pPr>
            <w:r>
              <w:t xml:space="preserve">Trial-population regeneration (same seeds, added scenarios)</w:t>
            </w:r>
          </w:p>
        </w:tc>
        <w:tc>
          <w:tcPr/>
          <w:p>
            <w:pPr>
              <w:pStyle w:val="Compact"/>
              <w:jc w:val="left"/>
            </w:pPr>
            <w:r>
              <w:t xml:space="preserve">Per-arm counts (AUC0-last, lambda-z estimable, criteria sets (i) to (iv)) of the regenerated trials versus the section1 n_R and n_T, checked per batch and again over the whole file</w:t>
            </w:r>
          </w:p>
        </w:tc>
        <w:tc>
          <w:tcPr/>
          <w:p>
            <w:pPr>
              <w:pStyle w:val="Compact"/>
              <w:jc w:val="left"/>
            </w:pPr>
            <w:r>
              <w:t xml:space="preserve">Identical</w:t>
            </w:r>
          </w:p>
        </w:tc>
        <w:tc>
          <w:tcPr/>
          <w:p>
            <w:pPr>
              <w:pStyle w:val="Compact"/>
              <w:jc w:val="left"/>
            </w:pPr>
            <w:r>
              <w:t xml:space="preserve">Pass: 264,000 rows identical (k2016: 2,000 trials; k2020: 2,000 trials)</w:t>
            </w:r>
          </w:p>
        </w:tc>
        <w:tc>
          <w:tcPr/>
          <w:p>
            <w:pPr>
              <w:pStyle w:val="Compact"/>
              <w:jc w:val="left"/>
            </w:pPr>
            <w:r>
              <w:t xml:space="preserve">results/trialpop/tp_identity_check.csv, logs/trialpop_trials_k2016.out, logs/trialpop_trials_k2020.out</w:t>
            </w:r>
          </w:p>
        </w:tc>
      </w:tr>
      <w:tr>
        <w:tc>
          <w:tcPr/>
          <w:p>
            <w:pPr>
              <w:pStyle w:val="Compact"/>
              <w:jc w:val="left"/>
            </w:pPr>
            <w:r>
              <w:t xml:space="preserve">Independent human QC of this report</w:t>
            </w:r>
          </w:p>
        </w:tc>
        <w:tc>
          <w:tcPr/>
          <w:p>
            <w:pPr>
              <w:pStyle w:val="Compact"/>
              <w:jc w:val="left"/>
            </w:pPr>
            <w:r>
              <w:t xml:space="preserve">Line-by-line check of every number against regulatory/traceability.csv and of the text against the results</w:t>
            </w:r>
          </w:p>
        </w:tc>
        <w:tc>
          <w:tcPr/>
          <w:p>
            <w:pPr>
              <w:pStyle w:val="Compact"/>
              <w:jc w:val="left"/>
            </w:pPr>
            <w:r>
              <w:t xml:space="preserve">No discrepancy</w:t>
            </w:r>
          </w:p>
        </w:tc>
        <w:tc>
          <w:tcPr/>
          <w:p>
            <w:pPr>
              <w:pStyle w:val="Compact"/>
              <w:jc w:val="left"/>
            </w:pPr>
            <w:r>
              <w:t xml:space="preserve">PENDING (sponsor)</w:t>
            </w:r>
          </w:p>
        </w:tc>
        <w:tc>
          <w:tcPr/>
          <w:p>
            <w:pPr>
              <w:pStyle w:val="Compact"/>
              <w:jc w:val="left"/>
            </w:pPr>
            <w:r>
              <w:t xml:space="preserve">signature page of the report</w:t>
            </w:r>
          </w:p>
        </w:tc>
      </w:tr>
    </w:tbl>
    <w:bookmarkEnd w:id="108"/>
    <w:bookmarkStart w:id="109" w:name="X469d6cce6270ebf3bfd818d6f445fd2a6d02634"/>
    <w:p>
      <w:pPr>
        <w:pStyle w:val="Heading1"/>
      </w:pPr>
      <w:r>
        <w:t xml:space="preserve">Appendix D. Pre-specification and post hoc analyses</w:t>
      </w:r>
    </w:p>
    <w:p>
      <w:pPr>
        <w:pStyle w:val="TableCaption"/>
      </w:pPr>
      <w:r>
        <w:t xml:space="preserve">Table D-1. What was fixed before results were generated, what was added afterwards, and how each is reported (dates and commits from the version-control history).</w:t>
      </w:r>
    </w:p>
    <w:tbl>
      <w:tblPr>
        <w:tblStyle w:val="Table"/>
        <w:tblW w:type="pct" w:w="5000"/>
        <w:tblLook w:firstRow="1" w:lastRow="0" w:firstColumn="0" w:lastColumn="0" w:noHBand="0" w:noVBand="0" w:val="0020"/>
        <w:jc w:val="start"/>
        <w:tblCaption w:val="Table D-1. What was fixed before results were generated, what was added afterwards, and how each is reported (dates and commits from the version-control history)."/>
      </w:tblPr>
      <w:tblGrid>
        <w:gridCol w:w="2419"/>
        <w:gridCol w:w="1743"/>
        <w:gridCol w:w="571"/>
        <w:gridCol w:w="1547"/>
        <w:gridCol w:w="1638"/>
      </w:tblGrid>
      <w:tr>
        <w:trPr>
          <w:tblHeader w:val="true"/>
        </w:trPr>
        <w:tc>
          <w:tcPr/>
          <w:p>
            <w:pPr>
              <w:pStyle w:val="Compact"/>
              <w:jc w:val="left"/>
            </w:pPr>
            <w:r>
              <w:t xml:space="preserve">Item</w:t>
            </w:r>
          </w:p>
        </w:tc>
        <w:tc>
          <w:tcPr/>
          <w:p>
            <w:pPr>
              <w:pStyle w:val="Compact"/>
              <w:jc w:val="left"/>
            </w:pPr>
            <w:r>
              <w:t xml:space="preserve">Status</w:t>
            </w:r>
          </w:p>
        </w:tc>
        <w:tc>
          <w:tcPr/>
          <w:p>
            <w:pPr>
              <w:pStyle w:val="Compact"/>
              <w:jc w:val="left"/>
            </w:pPr>
            <w:r>
              <w:t xml:space="preserve">Date (evidence)</w:t>
            </w:r>
          </w:p>
        </w:tc>
        <w:tc>
          <w:tcPr/>
          <w:p>
            <w:pPr>
              <w:pStyle w:val="Compact"/>
              <w:jc w:val="left"/>
            </w:pPr>
            <w:r>
              <w:t xml:space="preserve">First results</w:t>
            </w:r>
          </w:p>
        </w:tc>
        <w:tc>
          <w:tcPr/>
          <w:p>
            <w:pPr>
              <w:pStyle w:val="Compact"/>
              <w:jc w:val="left"/>
            </w:pPr>
            <w:r>
              <w:t xml:space="preserve">How reported</w:t>
            </w:r>
          </w:p>
        </w:tc>
      </w:tr>
      <w:tr>
        <w:tc>
          <w:tcPr/>
          <w:p>
            <w:pPr>
              <w:pStyle w:val="Compact"/>
              <w:jc w:val="left"/>
            </w:pPr>
            <w:r>
              <w:t xml:space="preserve">Models and parameter values</w:t>
            </w:r>
          </w:p>
        </w:tc>
        <w:tc>
          <w:tcPr/>
          <w:p>
            <w:pPr>
              <w:pStyle w:val="Compact"/>
              <w:jc w:val="left"/>
            </w:pPr>
            <w:r>
              <w:t xml:space="preserve">pre-specified</w:t>
            </w:r>
          </w:p>
        </w:tc>
        <w:tc>
          <w:tcPr/>
          <w:p>
            <w:pPr>
              <w:pStyle w:val="Compact"/>
              <w:jc w:val="left"/>
            </w:pPr>
            <w:r>
              <w:t xml:space="preserve">2026-09-23 05:18 UTC (commit 8d69d82)</w:t>
            </w:r>
          </w:p>
        </w:tc>
        <w:tc>
          <w:tcPr/>
          <w:p>
            <w:pPr>
              <w:pStyle w:val="Compact"/>
              <w:jc w:val="left"/>
            </w:pPr>
            <w:r>
              <w:t xml:space="preserve">2026-09-23 06:09 UTC (commit d2592d7)</w:t>
            </w:r>
          </w:p>
        </w:tc>
        <w:tc>
          <w:tcPr/>
          <w:p>
            <w:pPr>
              <w:pStyle w:val="Compact"/>
              <w:jc w:val="left"/>
            </w:pPr>
            <w:r>
              <w:t xml:space="preserve">Appendix A</w:t>
            </w:r>
          </w:p>
        </w:tc>
      </w:tr>
      <w:tr>
        <w:tc>
          <w:tcPr/>
          <w:p>
            <w:pPr>
              <w:pStyle w:val="Compact"/>
              <w:jc w:val="left"/>
            </w:pPr>
            <w:r>
              <w:t xml:space="preserve">Model validation criteria</w:t>
            </w:r>
          </w:p>
        </w:tc>
        <w:tc>
          <w:tcPr/>
          <w:p>
            <w:pPr>
              <w:pStyle w:val="Compact"/>
              <w:jc w:val="left"/>
            </w:pPr>
            <w:r>
              <w:t xml:space="preserve">pre-specified</w:t>
            </w:r>
          </w:p>
        </w:tc>
        <w:tc>
          <w:tcPr/>
          <w:p>
            <w:pPr>
              <w:pStyle w:val="Compact"/>
              <w:jc w:val="left"/>
            </w:pPr>
            <w:r>
              <w:t xml:space="preserve">2026-09-23 05:18 UTC (commit 8d69d82)</w:t>
            </w:r>
          </w:p>
        </w:tc>
        <w:tc>
          <w:tcPr/>
          <w:p>
            <w:pPr>
              <w:pStyle w:val="Compact"/>
              <w:jc w:val="left"/>
            </w:pPr>
            <w:r>
              <w:t xml:space="preserve">2026-09-23 06:09 UTC (commit d2592d7)</w:t>
            </w:r>
          </w:p>
        </w:tc>
        <w:tc>
          <w:tcPr/>
          <w:p>
            <w:pPr>
              <w:pStyle w:val="Compact"/>
              <w:jc w:val="left"/>
            </w:pPr>
            <w:r>
              <w:t xml:space="preserve">Section 4.2</w:t>
            </w:r>
          </w:p>
        </w:tc>
      </w:tr>
      <w:tr>
        <w:tc>
          <w:tcPr/>
          <w:p>
            <w:pPr>
              <w:pStyle w:val="Compact"/>
              <w:jc w:val="left"/>
            </w:pPr>
            <w:r>
              <w:t xml:space="preserve">Scope of model validation restricted to the study presentation</w:t>
            </w:r>
          </w:p>
        </w:tc>
        <w:tc>
          <w:tcPr/>
          <w:p>
            <w:pPr>
              <w:pStyle w:val="Compact"/>
              <w:jc w:val="left"/>
            </w:pPr>
            <w:r>
              <w:t xml:space="preserve">post hoc (after the first validation results)</w:t>
            </w:r>
          </w:p>
        </w:tc>
        <w:tc>
          <w:tcPr/>
          <w:p>
            <w:pPr>
              <w:pStyle w:val="Compact"/>
              <w:jc w:val="left"/>
            </w:pPr>
            <w:r>
              <w:t xml:space="preserve">2026-09-24 02:52 UTC (commit c018729)</w:t>
            </w:r>
          </w:p>
        </w:tc>
        <w:tc>
          <w:tcPr/>
          <w:p>
            <w:pPr>
              <w:pStyle w:val="Compact"/>
              <w:jc w:val="left"/>
            </w:pPr>
            <w:r>
              <w:t xml:space="preserve">same commit as the decision</w:t>
            </w:r>
          </w:p>
        </w:tc>
        <w:tc>
          <w:tcPr/>
          <w:p>
            <w:pPr>
              <w:pStyle w:val="Compact"/>
              <w:jc w:val="left"/>
            </w:pPr>
            <w:r>
              <w:t xml:space="preserve">200 mg data sets reported as external checks with their ratios; re-judgement on fully external data reported</w:t>
            </w:r>
          </w:p>
        </w:tc>
      </w:tr>
      <w:tr>
        <w:tc>
          <w:tcPr/>
          <w:p>
            <w:pPr>
              <w:pStyle w:val="Compact"/>
              <w:jc w:val="left"/>
            </w:pPr>
            <w:r>
              <w:t xml:space="preserve">Sampling-schedule decision rule (criteria a to d)</w:t>
            </w:r>
          </w:p>
        </w:tc>
        <w:tc>
          <w:tcPr/>
          <w:p>
            <w:pPr>
              <w:pStyle w:val="Compact"/>
              <w:jc w:val="left"/>
            </w:pPr>
            <w:r>
              <w:t xml:space="preserve">specified after the first schedule simulations were run, before any result was reported</w:t>
            </w:r>
          </w:p>
        </w:tc>
        <w:tc>
          <w:tcPr/>
          <w:p>
            <w:pPr>
              <w:pStyle w:val="Compact"/>
              <w:jc w:val="left"/>
            </w:pPr>
            <w:r>
              <w:t xml:space="preserve">2026-09-24 02:52 UTC (commit c018729)</w:t>
            </w:r>
          </w:p>
        </w:tc>
        <w:tc>
          <w:tcPr/>
          <w:p>
            <w:pPr>
              <w:pStyle w:val="Compact"/>
              <w:jc w:val="left"/>
            </w:pPr>
            <w:r>
              <w:t xml:space="preserve">first schedule simulations: see Date of the models row; results withheld until validation was accepted</w:t>
            </w:r>
          </w:p>
        </w:tc>
        <w:tc>
          <w:tcPr/>
          <w:p>
            <w:pPr>
              <w:pStyle w:val="Compact"/>
              <w:jc w:val="left"/>
            </w:pPr>
            <w:r>
              <w:t xml:space="preserve">Section 5.7; recommendation unchanged in every variant</w:t>
            </w:r>
          </w:p>
        </w:tc>
      </w:tr>
      <w:tr>
        <w:tc>
          <w:tcPr/>
          <w:p>
            <w:pPr>
              <w:pStyle w:val="Compact"/>
              <w:jc w:val="left"/>
            </w:pPr>
            <w:r>
              <w:t xml:space="preserve">NCA engine replaced by a Phoenix-compatible engine</w:t>
            </w:r>
          </w:p>
        </w:tc>
        <w:tc>
          <w:tcPr/>
          <w:p>
            <w:pPr>
              <w:pStyle w:val="Compact"/>
              <w:jc w:val="left"/>
            </w:pPr>
            <w:r>
              <w:t xml:space="preserve">change after initial results; all dependent outputs regenerated</w:t>
            </w:r>
          </w:p>
        </w:tc>
        <w:tc>
          <w:tcPr/>
          <w:p>
            <w:pPr>
              <w:pStyle w:val="Compact"/>
              <w:jc w:val="left"/>
            </w:pPr>
            <w:r>
              <w:t xml:space="preserve">2026-09-24 13:23 UTC (commit d26f169)</w:t>
            </w:r>
          </w:p>
        </w:tc>
        <w:tc>
          <w:tcPr/>
          <w:p>
            <w:pPr>
              <w:pStyle w:val="Compact"/>
              <w:jc w:val="left"/>
            </w:pPr>
            <w:r>
              <w:t xml:space="preserve">outputs regenerated before the operating characteristics were run</w:t>
            </w:r>
          </w:p>
        </w:tc>
        <w:tc>
          <w:tcPr/>
          <w:p>
            <w:pPr>
              <w:pStyle w:val="Compact"/>
              <w:jc w:val="left"/>
            </w:pPr>
            <w:r>
              <w:t xml:space="preserve">Previous versus new engine differences tabulated (results/nca_engine/); conclusions unchanged</w:t>
            </w:r>
          </w:p>
        </w:tc>
      </w:tr>
      <w:tr>
        <w:tc>
          <w:tcPr/>
          <w:p>
            <w:pPr>
              <w:pStyle w:val="Compact"/>
              <w:jc w:val="left"/>
            </w:pPr>
            <w:r>
              <w:t xml:space="preserve">Operating-characteristic design (mechanisms, targets, trials, configurations, seeds, truth definition)</w:t>
            </w:r>
          </w:p>
        </w:tc>
        <w:tc>
          <w:tcPr/>
          <w:p>
            <w:pPr>
              <w:pStyle w:val="Compact"/>
              <w:jc w:val="left"/>
            </w:pPr>
            <w:r>
              <w:t xml:space="preserve">pre-specified</w:t>
            </w:r>
          </w:p>
        </w:tc>
        <w:tc>
          <w:tcPr/>
          <w:p>
            <w:pPr>
              <w:pStyle w:val="Compact"/>
              <w:jc w:val="left"/>
            </w:pPr>
            <w:r>
              <w:t xml:space="preserve">2026-09-24 13:28 UTC (commit 779e068)</w:t>
            </w:r>
          </w:p>
        </w:tc>
        <w:tc>
          <w:tcPr/>
          <w:p>
            <w:pPr>
              <w:pStyle w:val="Compact"/>
              <w:jc w:val="left"/>
            </w:pPr>
            <w:r>
              <w:t xml:space="preserve">2026-09-25 00:55 UTC (commit b8a5351)</w:t>
            </w:r>
          </w:p>
        </w:tc>
        <w:tc>
          <w:tcPr/>
          <w:p>
            <w:pPr>
              <w:pStyle w:val="Compact"/>
              <w:jc w:val="left"/>
            </w:pPr>
            <w:r>
              <w:t xml:space="preserve">Primary metric; every mechanism and configuration reported (Appendix F)</w:t>
            </w:r>
          </w:p>
        </w:tc>
      </w:tr>
      <w:tr>
        <w:tc>
          <w:tcPr/>
          <w:p>
            <w:pPr>
              <w:pStyle w:val="Compact"/>
              <w:jc w:val="left"/>
            </w:pPr>
            <w:r>
              <w:t xml:space="preserve">Cliff analysis design</w:t>
            </w:r>
          </w:p>
        </w:tc>
        <w:tc>
          <w:tcPr/>
          <w:p>
            <w:pPr>
              <w:pStyle w:val="Compact"/>
              <w:jc w:val="left"/>
            </w:pPr>
            <w:r>
              <w:t xml:space="preserve">pre-specified</w:t>
            </w:r>
          </w:p>
        </w:tc>
        <w:tc>
          <w:tcPr/>
          <w:p>
            <w:pPr>
              <w:pStyle w:val="Compact"/>
              <w:jc w:val="left"/>
            </w:pPr>
            <w:r>
              <w:t xml:space="preserve">2026-09-24 13:28 UTC (commit 779e068)</w:t>
            </w:r>
          </w:p>
        </w:tc>
        <w:tc>
          <w:tcPr/>
          <w:p>
            <w:pPr>
              <w:pStyle w:val="Compact"/>
              <w:jc w:val="left"/>
            </w:pPr>
            <w:r>
              <w:t xml:space="preserve">2026-09-24 13:58 UTC (commit 5f972bd)</w:t>
            </w:r>
          </w:p>
        </w:tc>
        <w:tc>
          <w:tcPr/>
          <w:p>
            <w:pPr>
              <w:pStyle w:val="Compact"/>
              <w:jc w:val="left"/>
            </w:pPr>
            <w:r>
              <w:t xml:space="preserve">Section 5.1</w:t>
            </w:r>
          </w:p>
        </w:tc>
      </w:tr>
      <w:tr>
        <w:tc>
          <w:tcPr/>
          <w:p>
            <w:pPr>
              <w:pStyle w:val="Compact"/>
              <w:jc w:val="left"/>
            </w:pPr>
            <w:r>
              <w:t xml:space="preserve">Reliability criteria set (i) (without the span ratio)</w:t>
            </w:r>
          </w:p>
        </w:tc>
        <w:tc>
          <w:tcPr/>
          <w:p>
            <w:pPr>
              <w:pStyle w:val="Compact"/>
              <w:jc w:val="left"/>
            </w:pPr>
            <w:r>
              <w:t xml:space="preserve">post hoc</w:t>
            </w:r>
          </w:p>
        </w:tc>
        <w:tc>
          <w:tcPr/>
          <w:p>
            <w:pPr>
              <w:pStyle w:val="Compact"/>
              <w:jc w:val="left"/>
            </w:pPr>
            <w:r>
              <w:t xml:space="preserve">2026-09-25 00:49 UTC (commit 0f6bf72)</w:t>
            </w:r>
          </w:p>
        </w:tc>
        <w:tc>
          <w:tcPr/>
          <w:p>
            <w:pPr>
              <w:pStyle w:val="Compact"/>
              <w:jc w:val="left"/>
            </w:pPr>
            <w:r>
              <w:t xml:space="preserve">2026-09-25 00:49 UTC (commit 0f6bf72)</w:t>
            </w:r>
          </w:p>
        </w:tc>
        <w:tc>
          <w:tcPr/>
          <w:p>
            <w:pPr>
              <w:pStyle w:val="Compact"/>
              <w:jc w:val="left"/>
            </w:pPr>
            <w:r>
              <w:t xml:space="preserve">Reported first, with set (ii) alongside (set (ii) is the pre-specified definition)</w:t>
            </w:r>
          </w:p>
        </w:tc>
      </w:tr>
      <w:tr>
        <w:tc>
          <w:tcPr/>
          <w:p>
            <w:pPr>
              <w:pStyle w:val="Compact"/>
              <w:jc w:val="left"/>
            </w:pPr>
            <w:r>
              <w:t xml:space="preserve">AUC0-inf + Cmax under rules B and C, and rules A and C under criteria set (i)</w:t>
            </w:r>
          </w:p>
        </w:tc>
        <w:tc>
          <w:tcPr/>
          <w:p>
            <w:pPr>
              <w:pStyle w:val="Compact"/>
              <w:jc w:val="left"/>
            </w:pPr>
            <w:r>
              <w:t xml:space="preserve">post hoc</w:t>
            </w:r>
          </w:p>
        </w:tc>
        <w:tc>
          <w:tcPr/>
          <w:p>
            <w:pPr>
              <w:pStyle w:val="Compact"/>
              <w:jc w:val="left"/>
            </w:pPr>
            <w:r>
              <w:t xml:space="preserve">2026-09-25 00:49 UTC (commit 0f6bf72)</w:t>
            </w:r>
          </w:p>
        </w:tc>
        <w:tc>
          <w:tcPr/>
          <w:p>
            <w:pPr>
              <w:pStyle w:val="Compact"/>
              <w:jc w:val="left"/>
            </w:pPr>
            <w:r>
              <w:t xml:space="preserve">2026-09-25 03:06 UTC (commit bf9a5b1)</w:t>
            </w:r>
          </w:p>
        </w:tc>
        <w:tc>
          <w:tcPr/>
          <w:p>
            <w:pPr>
              <w:pStyle w:val="Compact"/>
              <w:jc w:val="left"/>
            </w:pPr>
            <w:r>
              <w:t xml:space="preserve">Labelled post hoc in Table 5-9; same trials regenerated with the same seeds</w:t>
            </w:r>
          </w:p>
        </w:tc>
      </w:tr>
      <w:tr>
        <w:tc>
          <w:tcPr/>
          <w:p>
            <w:pPr>
              <w:pStyle w:val="Compact"/>
              <w:jc w:val="left"/>
            </w:pPr>
            <w:r>
              <w:t xml:space="preserve">Extension to 20,000 trials of a boundary scenario whose Wilson interval included 5%</w:t>
            </w:r>
          </w:p>
        </w:tc>
        <w:tc>
          <w:tcPr/>
          <w:p>
            <w:pPr>
              <w:pStyle w:val="Compact"/>
              <w:jc w:val="left"/>
            </w:pPr>
            <w:r>
              <w:t xml:space="preserve">post hoc (data-dependent)</w:t>
            </w:r>
          </w:p>
        </w:tc>
        <w:tc>
          <w:tcPr/>
          <w:p>
            <w:pPr>
              <w:pStyle w:val="Compact"/>
              <w:jc w:val="left"/>
            </w:pPr>
            <w:r>
              <w:t xml:space="preserve">2026-09-25 02:21 UTC (commit 68be707)</w:t>
            </w:r>
          </w:p>
        </w:tc>
        <w:tc>
          <w:tcPr/>
          <w:p>
            <w:pPr>
              <w:pStyle w:val="Compact"/>
              <w:jc w:val="left"/>
            </w:pPr>
            <w:r>
              <w:t xml:space="preserve">2026-09-25 03:06 UTC (commit bf9a5b1)</w:t>
            </w:r>
          </w:p>
        </w:tc>
        <w:tc>
          <w:tcPr/>
          <w:p>
            <w:pPr>
              <w:pStyle w:val="Compact"/>
              <w:jc w:val="left"/>
            </w:pPr>
            <w:r>
              <w:t xml:space="preserve">Both the pre-specified 10,000-trial value and the 20,000-trial value are reported</w:t>
            </w:r>
          </w:p>
        </w:tc>
      </w:tr>
      <w:tr>
        <w:tc>
          <w:tcPr/>
          <w:p>
            <w:pPr>
              <w:pStyle w:val="Compact"/>
              <w:jc w:val="left"/>
            </w:pPr>
            <w:r>
              <w:t xml:space="preserve">Interpretation of AUC0-last + Cmax at the boundaries (unbiased baseline, classification, decomposition)</w:t>
            </w:r>
          </w:p>
        </w:tc>
        <w:tc>
          <w:tcPr/>
          <w:p>
            <w:pPr>
              <w:pStyle w:val="Compact"/>
              <w:jc w:val="left"/>
            </w:pPr>
            <w:r>
              <w:t xml:space="preserve">post hoc</w:t>
            </w:r>
          </w:p>
        </w:tc>
        <w:tc>
          <w:tcPr/>
          <w:p>
            <w:pPr>
              <w:pStyle w:val="Compact"/>
              <w:jc w:val="left"/>
            </w:pPr>
            <w:r>
              <w:t xml:space="preserve">2026-09-25 02:21 UTC (commit 68be707)</w:t>
            </w:r>
          </w:p>
        </w:tc>
        <w:tc>
          <w:tcPr/>
          <w:p>
            <w:pPr>
              <w:pStyle w:val="Compact"/>
              <w:jc w:val="left"/>
            </w:pPr>
            <w:r>
              <w:t xml:space="preserve">2026-09-25 03:06 UTC (commit bf9a5b1)</w:t>
            </w:r>
          </w:p>
        </w:tc>
        <w:tc>
          <w:tcPr/>
          <w:p>
            <w:pPr>
              <w:pStyle w:val="Compact"/>
              <w:jc w:val="left"/>
            </w:pPr>
            <w:r>
              <w:t xml:space="preserve">Section 5.4</w:t>
            </w:r>
          </w:p>
        </w:tc>
      </w:tr>
      <w:tr>
        <w:tc>
          <w:tcPr/>
          <w:p>
            <w:pPr>
              <w:pStyle w:val="Compact"/>
              <w:jc w:val="left"/>
            </w:pPr>
            <w:r>
              <w:t xml:space="preserve">Random product space reported as a secondary metric</w:t>
            </w:r>
          </w:p>
        </w:tc>
        <w:tc>
          <w:tcPr/>
          <w:p>
            <w:pPr>
              <w:pStyle w:val="Compact"/>
              <w:jc w:val="left"/>
            </w:pPr>
            <w:r>
              <w:t xml:space="preserve">post hoc reporting priority; the analysis itself was pre-specified</w:t>
            </w:r>
          </w:p>
        </w:tc>
        <w:tc>
          <w:tcPr/>
          <w:p>
            <w:pPr>
              <w:pStyle w:val="Compact"/>
              <w:jc w:val="left"/>
            </w:pPr>
            <w:r>
              <w:t xml:space="preserve">2026-09-25 02:21 UTC (commit 68be707)</w:t>
            </w:r>
          </w:p>
        </w:tc>
        <w:tc>
          <w:tcPr/>
          <w:p>
            <w:pPr>
              <w:pStyle w:val="Compact"/>
              <w:jc w:val="left"/>
            </w:pPr>
            <w:r>
              <w:t xml:space="preserve">2026-09-25 00:55 UTC (commit b8a5351)</w:t>
            </w:r>
          </w:p>
        </w:tc>
        <w:tc>
          <w:tcPr/>
          <w:p>
            <w:pPr>
              <w:pStyle w:val="Compact"/>
              <w:jc w:val="left"/>
            </w:pPr>
            <w:r>
              <w:t xml:space="preserve">Section 5.5</w:t>
            </w:r>
          </w:p>
        </w:tc>
      </w:tr>
      <w:tr>
        <w:tc>
          <w:tcPr/>
          <w:p>
            <w:pPr>
              <w:pStyle w:val="Compact"/>
              <w:jc w:val="left"/>
            </w:pPr>
            <w:r>
              <w:t xml:space="preserve">Analysis-model re-judgement: M0, M1, M2 on regenerated trials; extension rule per model; expectations and reporting rule (version 1.0.1)</w:t>
            </w:r>
          </w:p>
        </w:tc>
        <w:tc>
          <w:tcPr/>
          <w:p>
            <w:pPr>
              <w:pStyle w:val="Compact"/>
              <w:jc w:val="left"/>
            </w:pPr>
            <w:r>
              <w:t xml:space="preserve">pre-registered (config/prereg_20260926.yaml section1)</w:t>
            </w:r>
          </w:p>
        </w:tc>
        <w:tc>
          <w:tcPr/>
          <w:p>
            <w:pPr>
              <w:pStyle w:val="Compact"/>
              <w:jc w:val="left"/>
            </w:pPr>
            <w:r>
              <w:t xml:space="preserve">2026-09-25 10:00 UTC (commit 521645a)</w:t>
            </w:r>
          </w:p>
        </w:tc>
        <w:tc>
          <w:tcPr/>
          <w:p>
            <w:pPr>
              <w:pStyle w:val="Compact"/>
              <w:jc w:val="left"/>
            </w:pPr>
            <w:r>
              <w:t xml:space="preserve">2026-09-25 15:40 UTC (commit 5b94d3e)</w:t>
            </w:r>
          </w:p>
        </w:tc>
        <w:tc>
          <w:tcPr/>
          <w:p>
            <w:pPr>
              <w:pStyle w:val="Compact"/>
              <w:jc w:val="left"/>
            </w:pPr>
            <w:r>
              <w:t xml:space="preserve">Section 5.9; M0 and M1 side by side; primary model left to the sponsor</w:t>
            </w:r>
          </w:p>
        </w:tc>
      </w:tr>
      <w:tr>
        <w:tc>
          <w:tcPr/>
          <w:p>
            <w:pPr>
              <w:pStyle w:val="Compact"/>
              <w:jc w:val="left"/>
            </w:pPr>
            <w:r>
              <w:t xml:space="preserve">Numeric criteria for the expectation checks</w:t>
            </w:r>
          </w:p>
        </w:tc>
        <w:tc>
          <w:tcPr/>
          <w:p>
            <w:pPr>
              <w:pStyle w:val="Compact"/>
              <w:jc w:val="left"/>
            </w:pPr>
            <w:r>
              <w:t xml:space="preserve">registered amendment: after the runs started, before any result was read</w:t>
            </w:r>
          </w:p>
        </w:tc>
        <w:tc>
          <w:tcPr/>
          <w:p>
            <w:pPr>
              <w:pStyle w:val="Compact"/>
              <w:jc w:val="left"/>
            </w:pPr>
            <w:r>
              <w:t xml:space="preserve">2026-09-25 10:06 UTC (commit c5b304b)</w:t>
            </w:r>
          </w:p>
        </w:tc>
        <w:tc>
          <w:tcPr/>
          <w:p>
            <w:pPr>
              <w:pStyle w:val="Compact"/>
              <w:jc w:val="left"/>
            </w:pPr>
            <w:r>
              <w:t xml:space="preserve">2026-09-25 15:40 UTC (commit 5b94d3e)</w:t>
            </w:r>
          </w:p>
        </w:tc>
        <w:tc>
          <w:tcPr/>
          <w:p>
            <w:pPr>
              <w:pStyle w:val="Compact"/>
              <w:jc w:val="left"/>
            </w:pPr>
            <w:r>
              <w:t xml:space="preserve">Table 5-16</w:t>
            </w:r>
          </w:p>
        </w:tc>
      </w:tr>
      <w:tr>
        <w:tc>
          <w:tcPr/>
          <w:p>
            <w:pPr>
              <w:pStyle w:val="Compact"/>
              <w:jc w:val="left"/>
            </w:pPr>
            <w:r>
              <w:t xml:space="preserve">Single study-LLOQ source and LLOQ sensitivity, including the scaled additive residual variant</w:t>
            </w:r>
          </w:p>
        </w:tc>
        <w:tc>
          <w:tcPr/>
          <w:p>
            <w:pPr>
              <w:pStyle w:val="Compact"/>
              <w:jc w:val="left"/>
            </w:pPr>
            <w:r>
              <w:t xml:space="preserve">pre-registered (section2); the scaled residual variant was added by the analyst, not requested</w:t>
            </w:r>
          </w:p>
        </w:tc>
        <w:tc>
          <w:tcPr/>
          <w:p>
            <w:pPr>
              <w:pStyle w:val="Compact"/>
              <w:jc w:val="left"/>
            </w:pPr>
            <w:r>
              <w:t xml:space="preserve">2026-09-25 10:26 UTC (commit 211e8ed)</w:t>
            </w:r>
          </w:p>
        </w:tc>
        <w:tc>
          <w:tcPr/>
          <w:p>
            <w:pPr>
              <w:pStyle w:val="Compact"/>
              <w:jc w:val="left"/>
            </w:pPr>
            <w:r>
              <w:t xml:space="preserve">2026-09-25 15:18 UTC (commit b207bf2)</w:t>
            </w:r>
          </w:p>
        </w:tc>
        <w:tc>
          <w:tcPr/>
          <w:p>
            <w:pPr>
              <w:pStyle w:val="Compact"/>
              <w:jc w:val="left"/>
            </w:pPr>
            <w:r>
              <w:t xml:space="preserve">Section 5.10 (residual as estimated first, scaled variant alongside)</w:t>
            </w:r>
          </w:p>
        </w:tc>
      </w:tr>
      <w:tr>
        <w:tc>
          <w:tcPr/>
          <w:p>
            <w:pPr>
              <w:pStyle w:val="Compact"/>
              <w:jc w:val="left"/>
            </w:pPr>
            <w:r>
              <w:t xml:space="preserve">Sample-size table (analytic, simulation, PK-model check)</w:t>
            </w:r>
          </w:p>
        </w:tc>
        <w:tc>
          <w:tcPr/>
          <w:p>
            <w:pPr>
              <w:pStyle w:val="Compact"/>
              <w:jc w:val="left"/>
            </w:pPr>
            <w:r>
              <w:t xml:space="preserve">pre-registered (section3)</w:t>
            </w:r>
          </w:p>
        </w:tc>
        <w:tc>
          <w:tcPr/>
          <w:p>
            <w:pPr>
              <w:pStyle w:val="Compact"/>
              <w:jc w:val="left"/>
            </w:pPr>
            <w:r>
              <w:t xml:space="preserve">2026-09-25 10:26 UTC (commit 211e8ed)</w:t>
            </w:r>
          </w:p>
        </w:tc>
        <w:tc>
          <w:tcPr/>
          <w:p>
            <w:pPr>
              <w:pStyle w:val="Compact"/>
              <w:jc w:val="left"/>
            </w:pPr>
            <w:r>
              <w:t xml:space="preserve">2026-09-25 15:45 UTC (commit c0957a6)</w:t>
            </w:r>
          </w:p>
        </w:tc>
        <w:tc>
          <w:tcPr/>
          <w:p>
            <w:pPr>
              <w:pStyle w:val="Compact"/>
              <w:jc w:val="left"/>
            </w:pPr>
            <w:r>
              <w:t xml:space="preserve">Section 5.11</w:t>
            </w:r>
          </w:p>
        </w:tc>
      </w:tr>
      <w:tr>
        <w:tc>
          <w:tcPr/>
          <w:p>
            <w:pPr>
              <w:pStyle w:val="Compact"/>
              <w:jc w:val="left"/>
            </w:pPr>
            <w:r>
              <w:t xml:space="preserve">Criteria sets (iii) and (iv): individual level from stored NCA, AUC0-inf + Cmax by rule and set, bias, decision instability</w:t>
            </w:r>
          </w:p>
        </w:tc>
        <w:tc>
          <w:tcPr/>
          <w:p>
            <w:pPr>
              <w:pStyle w:val="Compact"/>
              <w:jc w:val="left"/>
            </w:pPr>
            <w:r>
              <w:t xml:space="preserve">pre-registered (section4)</w:t>
            </w:r>
          </w:p>
        </w:tc>
        <w:tc>
          <w:tcPr/>
          <w:p>
            <w:pPr>
              <w:pStyle w:val="Compact"/>
              <w:jc w:val="left"/>
            </w:pPr>
            <w:r>
              <w:t xml:space="preserve">2026-09-25 11:04 UTC (commit 325e63b)</w:t>
            </w:r>
          </w:p>
        </w:tc>
        <w:tc>
          <w:tcPr/>
          <w:p>
            <w:pPr>
              <w:pStyle w:val="Compact"/>
              <w:jc w:val="left"/>
            </w:pPr>
            <w:r>
              <w:t xml:space="preserve">2026-09-25 15:40 UTC (commit 5b94d3e)</w:t>
            </w:r>
          </w:p>
        </w:tc>
        <w:tc>
          <w:tcPr/>
          <w:p>
            <w:pPr>
              <w:pStyle w:val="Compact"/>
              <w:jc w:val="left"/>
            </w:pPr>
            <w:r>
              <w:t xml:space="preserve">Sections 5.3 and 5.4</w:t>
            </w:r>
          </w:p>
        </w:tc>
      </w:tr>
      <w:tr>
        <w:tc>
          <w:tcPr/>
          <w:p>
            <w:pPr>
              <w:pStyle w:val="Compact"/>
              <w:jc w:val="left"/>
            </w:pPr>
            <w:r>
              <w:t xml:space="preserve">Regenerated trials restarted from trial 1 to add the criteria-set endpoints</w:t>
            </w:r>
          </w:p>
        </w:tc>
        <w:tc>
          <w:tcPr/>
          <w:p>
            <w:pPr>
              <w:pStyle w:val="Compact"/>
              <w:jc w:val="left"/>
            </w:pPr>
            <w:r>
              <w:t xml:space="preserve">registered change before any result of the restarted runs; identity of the earlier rows checked</w:t>
            </w:r>
          </w:p>
        </w:tc>
        <w:tc>
          <w:tcPr/>
          <w:p>
            <w:pPr>
              <w:pStyle w:val="Compact"/>
              <w:jc w:val="left"/>
            </w:pPr>
            <w:r>
              <w:t xml:space="preserve">2026-09-25 11:04 UTC (commit 325e63b)</w:t>
            </w:r>
          </w:p>
        </w:tc>
        <w:tc>
          <w:tcPr/>
          <w:p>
            <w:pPr>
              <w:pStyle w:val="Compact"/>
              <w:jc w:val="left"/>
            </w:pPr>
            <w:r>
              <w:t xml:space="preserve">2026-09-25 15:40 UTC (commit 5b94d3e)</w:t>
            </w:r>
          </w:p>
        </w:tc>
        <w:tc>
          <w:tcPr/>
          <w:p>
            <w:pPr>
              <w:pStyle w:val="Compact"/>
              <w:jc w:val="left"/>
            </w:pPr>
            <w:r>
              <w:t xml:space="preserve">Section 3.13; results/criteria/restart_identity_check.csv</w:t>
            </w:r>
          </w:p>
        </w:tc>
      </w:tr>
      <w:tr>
        <w:tc>
          <w:tcPr/>
          <w:p>
            <w:pPr>
              <w:pStyle w:val="Compact"/>
              <w:jc w:val="left"/>
            </w:pPr>
            <w:r>
              <w:t xml:space="preserve">Adult atopic dermatitis body-weight analyses (three model variants, three distributions; trials)</w:t>
            </w:r>
          </w:p>
        </w:tc>
        <w:tc>
          <w:tcPr/>
          <w:p>
            <w:pPr>
              <w:pStyle w:val="Compact"/>
              <w:jc w:val="left"/>
            </w:pPr>
            <w:r>
              <w:t xml:space="preserve">pre-registered (section5)</w:t>
            </w:r>
          </w:p>
        </w:tc>
        <w:tc>
          <w:tcPr/>
          <w:p>
            <w:pPr>
              <w:pStyle w:val="Compact"/>
              <w:jc w:val="left"/>
            </w:pPr>
            <w:r>
              <w:t xml:space="preserve">2026-09-25 11:04 UTC (commit 325e63b)</w:t>
            </w:r>
          </w:p>
        </w:tc>
        <w:tc>
          <w:tcPr/>
          <w:p>
            <w:pPr>
              <w:pStyle w:val="Compact"/>
              <w:jc w:val="left"/>
            </w:pPr>
            <w:r>
              <w:t xml:space="preserve">2026-09-25 12:12 UTC (commit fa60914)</w:t>
            </w:r>
          </w:p>
        </w:tc>
        <w:tc>
          <w:tcPr/>
          <w:p>
            <w:pPr>
              <w:pStyle w:val="Compact"/>
              <w:jc w:val="left"/>
            </w:pPr>
            <w:r>
              <w:t xml:space="preserve">Appendix I (robustness check)</w:t>
            </w:r>
          </w:p>
        </w:tc>
      </w:tr>
      <w:tr>
        <w:tc>
          <w:tcPr/>
          <w:p>
            <w:pPr>
              <w:pStyle w:val="Compact"/>
              <w:jc w:val="left"/>
            </w:pPr>
            <w:r>
              <w:t xml:space="preserve">Coverage measure in the summary sentence of the atopic analysis (sampling-window coverage of the true AUC0-inf)</w:t>
            </w:r>
          </w:p>
        </w:tc>
        <w:tc>
          <w:tcPr/>
          <w:p>
            <w:pPr>
              <w:pStyle w:val="Compact"/>
              <w:jc w:val="left"/>
            </w:pPr>
            <w:r>
              <w:t xml:space="preserve">decided after the first individual-level summary; the pre-registered observed-AUC0-last ratio is reported alongside</w:t>
            </w:r>
          </w:p>
        </w:tc>
        <w:tc>
          <w:tcPr/>
          <w:p>
            <w:pPr>
              <w:pStyle w:val="Compact"/>
              <w:jc w:val="left"/>
            </w:pPr>
            <w:r>
              <w:t xml:space="preserve">2026-09-25 11:25 UTC (commit 167e2f5)</w:t>
            </w:r>
          </w:p>
        </w:tc>
        <w:tc>
          <w:tcPr/>
          <w:p>
            <w:pPr>
              <w:pStyle w:val="Compact"/>
              <w:jc w:val="left"/>
            </w:pPr>
            <w:r>
              <w:t xml:space="preserve">2026-09-25 12:12 UTC (commit fa60914)</w:t>
            </w:r>
          </w:p>
        </w:tc>
        <w:tc>
          <w:tcPr/>
          <w:p>
            <w:pPr>
              <w:pStyle w:val="Compact"/>
              <w:jc w:val="left"/>
            </w:pPr>
            <w:r>
              <w:t xml:space="preserve">Appendix I</w:t>
            </w:r>
          </w:p>
        </w:tc>
      </w:tr>
      <w:tr>
        <w:tc>
          <w:tcPr/>
          <w:p>
            <w:pPr>
              <w:pStyle w:val="Compact"/>
              <w:jc w:val="left"/>
            </w:pPr>
            <w:r>
              <w:t xml:space="preserve">Weight-height correlation check (BMI covariate variant)</w:t>
            </w:r>
          </w:p>
        </w:tc>
        <w:tc>
          <w:tcPr/>
          <w:p>
            <w:pPr>
              <w:pStyle w:val="Compact"/>
              <w:jc w:val="left"/>
            </w:pPr>
            <w:r>
              <w:t xml:space="preserve">post hoc, exploratory (after the simulated BMI SD was seen)</w:t>
            </w:r>
          </w:p>
        </w:tc>
        <w:tc>
          <w:tcPr/>
          <w:p>
            <w:pPr>
              <w:pStyle w:val="Compact"/>
              <w:jc w:val="left"/>
            </w:pPr>
            <w:r>
              <w:t xml:space="preserve">2026-09-25 11:25 UTC (commit 167e2f5)</w:t>
            </w:r>
          </w:p>
        </w:tc>
        <w:tc>
          <w:tcPr/>
          <w:p>
            <w:pPr>
              <w:pStyle w:val="Compact"/>
              <w:jc w:val="left"/>
            </w:pPr>
            <w:r>
              <w:t xml:space="preserve">2026-09-25 12:12 UTC (commit fa60914)</w:t>
            </w:r>
          </w:p>
        </w:tc>
        <w:tc>
          <w:tcPr/>
          <w:p>
            <w:pPr>
              <w:pStyle w:val="Compact"/>
              <w:jc w:val="left"/>
            </w:pPr>
            <w:r>
              <w:t xml:space="preserve">Appendix I, labelled exploratory</w:t>
            </w:r>
          </w:p>
        </w:tc>
      </w:tr>
      <w:tr>
        <w:tc>
          <w:tcPr/>
          <w:p>
            <w:pPr>
              <w:pStyle w:val="Compact"/>
              <w:jc w:val="left"/>
            </w:pPr>
            <w:r>
              <w:t xml:space="preserve">Principle: the case against AUC0-inf rests on the trial population; atopic and out-of-range results reclassified as robustness checks</w:t>
            </w:r>
          </w:p>
        </w:tc>
        <w:tc>
          <w:tcPr/>
          <w:p>
            <w:pPr>
              <w:pStyle w:val="Compact"/>
              <w:jc w:val="left"/>
            </w:pPr>
            <w:r>
              <w:t xml:space="preserve">sponsor decision after the atopic results were seen; no analysis changed, only where the results are reported</w:t>
            </w:r>
          </w:p>
        </w:tc>
        <w:tc>
          <w:tcPr/>
          <w:p>
            <w:pPr>
              <w:pStyle w:val="Compact"/>
              <w:jc w:val="left"/>
            </w:pPr>
            <w:r>
              <w:t xml:space="preserve">2026-09-25 12:45 UTC (commit bae3574)</w:t>
            </w:r>
          </w:p>
        </w:tc>
        <w:tc>
          <w:tcPr/>
          <w:p>
            <w:pPr>
              <w:pStyle w:val="Compact"/>
              <w:jc w:val="left"/>
            </w:pPr>
            <w:r>
              <w:t xml:space="preserve">not applicable (reporting decision)</w:t>
            </w:r>
          </w:p>
        </w:tc>
        <w:tc>
          <w:tcPr/>
          <w:p>
            <w:pPr>
              <w:pStyle w:val="Compact"/>
              <w:jc w:val="left"/>
            </w:pPr>
            <w:r>
              <w:t xml:space="preserve">Sections 5.3, 5.8 and Appendix I</w:t>
            </w:r>
          </w:p>
        </w:tc>
      </w:tr>
      <w:tr>
        <w:tc>
          <w:tcPr/>
          <w:p>
            <w:pPr>
              <w:pStyle w:val="Compact"/>
              <w:jc w:val="left"/>
            </w:pPr>
            <w:r>
              <w:t xml:space="preserve">Trial-population analyses: failure by criteria set, strata, treatment-dependent failure, failing-subject characteristics, coverage versus observed-to-true ratio</w:t>
            </w:r>
          </w:p>
        </w:tc>
        <w:tc>
          <w:tcPr/>
          <w:p>
            <w:pPr>
              <w:pStyle w:val="Compact"/>
              <w:jc w:val="left"/>
            </w:pPr>
            <w:r>
              <w:t xml:space="preserve">pre-registered (section6); analyses seen before registration are listed in the registration</w:t>
            </w:r>
          </w:p>
        </w:tc>
        <w:tc>
          <w:tcPr/>
          <w:p>
            <w:pPr>
              <w:pStyle w:val="Compact"/>
              <w:jc w:val="left"/>
            </w:pPr>
            <w:r>
              <w:t xml:space="preserve">2026-09-25 12:45 UTC (commit bae3574)</w:t>
            </w:r>
          </w:p>
        </w:tc>
        <w:tc>
          <w:tcPr/>
          <w:p>
            <w:pPr>
              <w:pStyle w:val="Compact"/>
              <w:jc w:val="left"/>
            </w:pPr>
            <w:r>
              <w:t xml:space="preserve">2026-09-25 15:18 UTC (commit b207bf2)</w:t>
            </w:r>
          </w:p>
        </w:tc>
        <w:tc>
          <w:tcPr/>
          <w:p>
            <w:pPr>
              <w:pStyle w:val="Compact"/>
              <w:jc w:val="left"/>
            </w:pPr>
            <w:r>
              <w:t xml:space="preserve">Sections 5.2 and 5.3</w:t>
            </w:r>
          </w:p>
        </w:tc>
      </w:tr>
    </w:tbl>
    <w:bookmarkEnd w:id="109"/>
    <w:bookmarkStart w:id="110" w:name="X08903597e9acc64e0d33da3b21beca7570f2833"/>
    <w:p>
      <w:pPr>
        <w:pStyle w:val="Heading1"/>
      </w:pPr>
      <w:r>
        <w:t xml:space="preserve">Appendix E. Software environment and reproducibility</w:t>
      </w:r>
    </w:p>
    <w:p>
      <w:pPr>
        <w:pStyle w:val="TableCaption"/>
      </w:pPr>
      <w:r>
        <w:t xml:space="preserve">Table E-1. Software versions (renv.lock) and roles.</w:t>
      </w:r>
    </w:p>
    <w:tbl>
      <w:tblPr>
        <w:tblStyle w:val="Table"/>
        <w:tblW w:type="pct" w:w="5000"/>
        <w:tblLook w:firstRow="1" w:lastRow="0" w:firstColumn="0" w:lastColumn="0" w:noHBand="0" w:noVBand="0" w:val="0020"/>
        <w:jc w:val="start"/>
        <w:tblCaption w:val="Table E-1. Software versions (renv.lock) and roles."/>
      </w:tblPr>
      <w:tblGrid>
        <w:gridCol w:w="531"/>
        <w:gridCol w:w="772"/>
        <w:gridCol w:w="6616"/>
      </w:tblGrid>
      <w:tr>
        <w:trPr>
          <w:tblHeader w:val="true"/>
        </w:trPr>
        <w:tc>
          <w:tcPr/>
          <w:p>
            <w:pPr>
              <w:pStyle w:val="Compact"/>
              <w:jc w:val="left"/>
            </w:pPr>
            <w:r>
              <w:t xml:space="preserve">Software</w:t>
            </w:r>
          </w:p>
        </w:tc>
        <w:tc>
          <w:tcPr/>
          <w:p>
            <w:pPr>
              <w:pStyle w:val="Compact"/>
              <w:jc w:val="left"/>
            </w:pPr>
            <w:r>
              <w:t xml:space="preserve">Version</w:t>
            </w:r>
          </w:p>
        </w:tc>
        <w:tc>
          <w:tcPr/>
          <w:p>
            <w:pPr>
              <w:pStyle w:val="Compact"/>
              <w:jc w:val="left"/>
            </w:pPr>
            <w:r>
              <w:t xml:space="preserve">Role</w:t>
            </w:r>
          </w:p>
        </w:tc>
      </w:tr>
      <w:tr>
        <w:tc>
          <w:tcPr/>
          <w:p>
            <w:pPr>
              <w:pStyle w:val="Compact"/>
              <w:jc w:val="left"/>
            </w:pPr>
            <w:r>
              <w:t xml:space="preserve">R</w:t>
            </w:r>
          </w:p>
        </w:tc>
        <w:tc>
          <w:tcPr/>
          <w:p>
            <w:pPr>
              <w:pStyle w:val="Compact"/>
              <w:jc w:val="left"/>
            </w:pPr>
            <w:r>
              <w:t xml:space="preserve">4.3.3</w:t>
            </w:r>
          </w:p>
        </w:tc>
        <w:tc>
          <w:tcPr/>
          <w:p>
            <w:pPr>
              <w:pStyle w:val="Compact"/>
              <w:jc w:val="left"/>
            </w:pPr>
            <w:r>
              <w:t xml:space="preserve">Computing environment</w:t>
            </w:r>
          </w:p>
        </w:tc>
      </w:tr>
      <w:tr>
        <w:tc>
          <w:tcPr/>
          <w:p>
            <w:pPr>
              <w:pStyle w:val="Compact"/>
              <w:jc w:val="left"/>
            </w:pPr>
            <w:r>
              <w:t xml:space="preserve">rxode2</w:t>
            </w:r>
          </w:p>
        </w:tc>
        <w:tc>
          <w:tcPr/>
          <w:p>
            <w:pPr>
              <w:pStyle w:val="Compact"/>
              <w:jc w:val="left"/>
            </w:pPr>
            <w:r>
              <w:t xml:space="preserve">5.1.7</w:t>
            </w:r>
          </w:p>
        </w:tc>
        <w:tc>
          <w:tcPr/>
          <w:p>
            <w:pPr>
              <w:pStyle w:val="Compact"/>
              <w:jc w:val="left"/>
            </w:pPr>
            <w:r>
              <w:t xml:space="preserve">ODE solution of the PK models</w:t>
            </w:r>
          </w:p>
        </w:tc>
      </w:tr>
      <w:tr>
        <w:tc>
          <w:tcPr/>
          <w:p>
            <w:pPr>
              <w:pStyle w:val="Compact"/>
              <w:jc w:val="left"/>
            </w:pPr>
            <w:r>
              <w:t xml:space="preserve">data.table</w:t>
            </w:r>
          </w:p>
        </w:tc>
        <w:tc>
          <w:tcPr/>
          <w:p>
            <w:pPr>
              <w:pStyle w:val="Compact"/>
              <w:jc w:val="left"/>
            </w:pPr>
            <w:r>
              <w:t xml:space="preserve">1.14.10</w:t>
            </w:r>
          </w:p>
        </w:tc>
        <w:tc>
          <w:tcPr/>
          <w:p>
            <w:pPr>
              <w:pStyle w:val="Compact"/>
              <w:jc w:val="left"/>
            </w:pPr>
            <w:r>
              <w:t xml:space="preserve">Data handling</w:t>
            </w:r>
          </w:p>
        </w:tc>
      </w:tr>
      <w:tr>
        <w:tc>
          <w:tcPr/>
          <w:p>
            <w:pPr>
              <w:pStyle w:val="Compact"/>
              <w:jc w:val="left"/>
            </w:pPr>
            <w:r>
              <w:t xml:space="preserve">NonCompart</w:t>
            </w:r>
          </w:p>
        </w:tc>
        <w:tc>
          <w:tcPr/>
          <w:p>
            <w:pPr>
              <w:pStyle w:val="Compact"/>
              <w:jc w:val="left"/>
            </w:pPr>
            <w:r>
              <w:t xml:space="preserve">0.8.4</w:t>
            </w:r>
          </w:p>
        </w:tc>
        <w:tc>
          <w:tcPr/>
          <w:p>
            <w:pPr>
              <w:pStyle w:val="Compact"/>
              <w:jc w:val="left"/>
            </w:pPr>
            <w:r>
              <w:t xml:space="preserve">Reference NCA implementation (verification)</w:t>
            </w:r>
          </w:p>
        </w:tc>
      </w:tr>
      <w:tr>
        <w:tc>
          <w:tcPr/>
          <w:p>
            <w:pPr>
              <w:pStyle w:val="Compact"/>
              <w:jc w:val="left"/>
            </w:pPr>
            <w:r>
              <w:t xml:space="preserve">PKNCA</w:t>
            </w:r>
          </w:p>
        </w:tc>
        <w:tc>
          <w:tcPr/>
          <w:p>
            <w:pPr>
              <w:pStyle w:val="Compact"/>
              <w:jc w:val="left"/>
            </w:pPr>
            <w:r>
              <w:t xml:space="preserve">0.12.1</w:t>
            </w:r>
          </w:p>
        </w:tc>
        <w:tc>
          <w:tcPr/>
          <w:p>
            <w:pPr>
              <w:pStyle w:val="Compact"/>
              <w:jc w:val="left"/>
            </w:pPr>
            <w:r>
              <w:t xml:space="preserve">Second reference NCA implementation (verification)</w:t>
            </w:r>
          </w:p>
        </w:tc>
      </w:tr>
      <w:tr>
        <w:tc>
          <w:tcPr/>
          <w:p>
            <w:pPr>
              <w:pStyle w:val="Compact"/>
              <w:jc w:val="left"/>
            </w:pPr>
            <w:r>
              <w:t xml:space="preserve">digest</w:t>
            </w:r>
          </w:p>
        </w:tc>
        <w:tc>
          <w:tcPr/>
          <w:p>
            <w:pPr>
              <w:pStyle w:val="Compact"/>
              <w:jc w:val="left"/>
            </w:pPr>
            <w:r>
              <w:t xml:space="preserve">0.6.34</w:t>
            </w:r>
          </w:p>
        </w:tc>
        <w:tc>
          <w:tcPr/>
          <w:p>
            <w:pPr>
              <w:pStyle w:val="Compact"/>
              <w:jc w:val="left"/>
            </w:pPr>
            <w:r>
              <w:t xml:space="preserve">Seed derivation and SHA-256</w:t>
            </w:r>
          </w:p>
        </w:tc>
      </w:tr>
      <w:tr>
        <w:tc>
          <w:tcPr/>
          <w:p>
            <w:pPr>
              <w:pStyle w:val="Compact"/>
              <w:jc w:val="left"/>
            </w:pPr>
            <w:r>
              <w:t xml:space="preserve">yaml</w:t>
            </w:r>
          </w:p>
        </w:tc>
        <w:tc>
          <w:tcPr/>
          <w:p>
            <w:pPr>
              <w:pStyle w:val="Compact"/>
              <w:jc w:val="left"/>
            </w:pPr>
            <w:r>
              <w:t xml:space="preserve">2.3.8</w:t>
            </w:r>
          </w:p>
        </w:tc>
        <w:tc>
          <w:tcPr/>
          <w:p>
            <w:pPr>
              <w:pStyle w:val="Compact"/>
              <w:jc w:val="left"/>
            </w:pPr>
            <w:r>
              <w:t xml:space="preserve">Configuration files</w:t>
            </w:r>
          </w:p>
        </w:tc>
      </w:tr>
      <w:tr>
        <w:tc>
          <w:tcPr/>
          <w:p>
            <w:pPr>
              <w:pStyle w:val="Compact"/>
              <w:jc w:val="left"/>
            </w:pPr>
            <w:r>
              <w:t xml:space="preserve">ggplot2</w:t>
            </w:r>
          </w:p>
        </w:tc>
        <w:tc>
          <w:tcPr/>
          <w:p>
            <w:pPr>
              <w:pStyle w:val="Compact"/>
              <w:jc w:val="left"/>
            </w:pPr>
            <w:r>
              <w:t xml:space="preserve">3.4.4</w:t>
            </w:r>
          </w:p>
        </w:tc>
        <w:tc>
          <w:tcPr/>
          <w:p>
            <w:pPr>
              <w:pStyle w:val="Compact"/>
              <w:jc w:val="left"/>
            </w:pPr>
            <w:r>
              <w:t xml:space="preserve">Figures</w:t>
            </w:r>
          </w:p>
        </w:tc>
      </w:tr>
      <w:tr>
        <w:tc>
          <w:tcPr/>
          <w:p>
            <w:pPr>
              <w:pStyle w:val="Compact"/>
              <w:jc w:val="left"/>
            </w:pPr>
            <w:r>
              <w:t xml:space="preserve">patchwork</w:t>
            </w:r>
          </w:p>
        </w:tc>
        <w:tc>
          <w:tcPr/>
          <w:p>
            <w:pPr>
              <w:pStyle w:val="Compact"/>
              <w:jc w:val="left"/>
            </w:pPr>
            <w:r>
              <w:t xml:space="preserve">1.2.0</w:t>
            </w:r>
          </w:p>
        </w:tc>
        <w:tc>
          <w:tcPr/>
          <w:p>
            <w:pPr>
              <w:pStyle w:val="Compact"/>
              <w:jc w:val="left"/>
            </w:pPr>
            <w:r>
              <w:t xml:space="preserve">Figure layout</w:t>
            </w:r>
          </w:p>
        </w:tc>
      </w:tr>
      <w:tr>
        <w:tc>
          <w:tcPr/>
          <w:p>
            <w:pPr>
              <w:pStyle w:val="Compact"/>
              <w:jc w:val="left"/>
            </w:pPr>
            <w:r>
              <w:t xml:space="preserve">knitr</w:t>
            </w:r>
          </w:p>
        </w:tc>
        <w:tc>
          <w:tcPr/>
          <w:p>
            <w:pPr>
              <w:pStyle w:val="Compact"/>
              <w:jc w:val="left"/>
            </w:pPr>
            <w:r>
              <w:t xml:space="preserve">1.45</w:t>
            </w:r>
          </w:p>
        </w:tc>
        <w:tc>
          <w:tcPr/>
          <w:p>
            <w:pPr>
              <w:pStyle w:val="Compact"/>
              <w:jc w:val="left"/>
            </w:pPr>
            <w:r>
              <w:t xml:space="preserve">Report generation</w:t>
            </w:r>
          </w:p>
        </w:tc>
      </w:tr>
      <w:tr>
        <w:tc>
          <w:tcPr/>
          <w:p>
            <w:pPr>
              <w:pStyle w:val="Compact"/>
              <w:jc w:val="left"/>
            </w:pPr>
            <w:r>
              <w:t xml:space="preserve">rmarkdown</w:t>
            </w:r>
          </w:p>
        </w:tc>
        <w:tc>
          <w:tcPr/>
          <w:p>
            <w:pPr>
              <w:pStyle w:val="Compact"/>
              <w:jc w:val="left"/>
            </w:pPr>
            <w:r>
              <w:t xml:space="preserve">2.25</w:t>
            </w:r>
          </w:p>
        </w:tc>
        <w:tc>
          <w:tcPr/>
          <w:p>
            <w:pPr>
              <w:pStyle w:val="Compact"/>
              <w:jc w:val="left"/>
            </w:pPr>
            <w:r>
              <w:t xml:space="preserve">Report generation</w:t>
            </w:r>
          </w:p>
        </w:tc>
      </w:tr>
      <w:tr>
        <w:tc>
          <w:tcPr/>
          <w:p>
            <w:pPr>
              <w:pStyle w:val="Compact"/>
              <w:jc w:val="left"/>
            </w:pPr>
            <w:r>
              <w:t xml:space="preserve">testthat</w:t>
            </w:r>
          </w:p>
        </w:tc>
        <w:tc>
          <w:tcPr/>
          <w:p>
            <w:pPr>
              <w:pStyle w:val="Compact"/>
              <w:jc w:val="left"/>
            </w:pPr>
            <w:r>
              <w:t xml:space="preserve">3.2.1</w:t>
            </w:r>
          </w:p>
        </w:tc>
        <w:tc>
          <w:tcPr/>
          <w:p>
            <w:pPr>
              <w:pStyle w:val="Compact"/>
              <w:jc w:val="left"/>
            </w:pPr>
            <w:r>
              <w:t xml:space="preserve">Automated tests</w:t>
            </w:r>
          </w:p>
        </w:tc>
      </w:tr>
      <w:tr>
        <w:tc>
          <w:tcPr/>
          <w:p>
            <w:pPr>
              <w:pStyle w:val="Compact"/>
              <w:jc w:val="left"/>
            </w:pPr>
            <w:r>
              <w:t xml:space="preserve">renv</w:t>
            </w:r>
          </w:p>
        </w:tc>
        <w:tc>
          <w:tcPr/>
          <w:p>
            <w:pPr>
              <w:pStyle w:val="Compact"/>
              <w:jc w:val="left"/>
            </w:pPr>
            <w:r>
              <w:t xml:space="preserve">1.2.4</w:t>
            </w:r>
          </w:p>
        </w:tc>
        <w:tc>
          <w:tcPr/>
          <w:p>
            <w:pPr>
              <w:pStyle w:val="Compact"/>
              <w:jc w:val="left"/>
            </w:pPr>
            <w:r>
              <w:t xml:space="preserve">Package version locking</w:t>
            </w:r>
          </w:p>
        </w:tc>
      </w:tr>
      <w:tr>
        <w:tc>
          <w:tcPr/>
          <w:p>
            <w:pPr>
              <w:pStyle w:val="Compact"/>
              <w:jc w:val="left"/>
            </w:pPr>
            <w:r>
              <w:t xml:space="preserve">Own code</w:t>
            </w:r>
          </w:p>
        </w:tc>
        <w:tc>
          <w:tcPr/>
          <w:p>
            <w:pPr>
              <w:pStyle w:val="Compact"/>
              <w:jc w:val="left"/>
            </w:pPr>
            <w:r>
              <w:t xml:space="preserve">this repository</w:t>
            </w:r>
          </w:p>
        </w:tc>
        <w:tc>
          <w:tcPr/>
          <w:p>
            <w:pPr>
              <w:pStyle w:val="Compact"/>
              <w:jc w:val="left"/>
            </w:pPr>
            <w:r>
              <w:t xml:space="preserve">Virtual population, sampling, NCA (Phoenix WinNonlin-compatible rules), equivalence statistics, operating characteristics (R/, scripts/)</w:t>
            </w:r>
          </w:p>
        </w:tc>
      </w:tr>
    </w:tbl>
    <w:p/>
    <w:p>
      <w:pPr>
        <w:pStyle w:val="TableCaption"/>
      </w:pPr>
      <w:r>
        <w:t xml:space="preserve">Table E-2. Reproducibility check with pre-specified tolerances (config/repro_check.yaml): local run and clean GitHub-hosted run 1 (commit 52f525b, ubuntu-24.04 (Ubuntu 24.04.5 LTS), GitHub-hosted, R 4.3.3 (2024-02-29), rxode2 5.1.7).</w:t>
      </w:r>
    </w:p>
    <w:tbl>
      <w:tblPr>
        <w:tblStyle w:val="Table"/>
        <w:tblW w:type="pct" w:w="5000"/>
        <w:tblLook w:firstRow="1" w:lastRow="0" w:firstColumn="0" w:lastColumn="0" w:noHBand="0" w:noVBand="0" w:val="0020"/>
        <w:jc w:val="start"/>
        <w:tblCaption w:val="Table E-2. Reproducibility check with pre-specified tolerances (config/repro_check.yaml): local run and clean GitHub-hosted run 1 (commit 52f525b, ubuntu-24.04 (Ubuntu 24.04.5 LTS), GitHub-hosted, R 4.3.3 (2024-02-29), rxode2 5.1.7)."/>
      </w:tblPr>
      <w:tblGrid>
        <w:gridCol w:w="4620"/>
        <w:gridCol w:w="290"/>
        <w:gridCol w:w="844"/>
        <w:gridCol w:w="475"/>
        <w:gridCol w:w="660"/>
        <w:gridCol w:w="132"/>
        <w:gridCol w:w="897"/>
      </w:tblGrid>
      <w:tr>
        <w:trPr>
          <w:tblHeader w:val="true"/>
        </w:trPr>
        <w:tc>
          <w:tcPr/>
          <w:p>
            <w:pPr>
              <w:pStyle w:val="Compact"/>
              <w:jc w:val="left"/>
            </w:pPr>
            <w:r>
              <w:t xml:space="preserve">Item</w:t>
            </w:r>
          </w:p>
        </w:tc>
        <w:tc>
          <w:tcPr/>
          <w:p>
            <w:pPr>
              <w:pStyle w:val="Compact"/>
              <w:jc w:val="right"/>
            </w:pPr>
            <w:r>
              <w:t xml:space="preserve">Committed</w:t>
            </w:r>
          </w:p>
        </w:tc>
        <w:tc>
          <w:tcPr/>
          <w:p>
            <w:pPr>
              <w:pStyle w:val="Compact"/>
              <w:jc w:val="right"/>
            </w:pPr>
            <w:r>
              <w:t xml:space="preserve">Tolerance</w:t>
            </w:r>
          </w:p>
        </w:tc>
        <w:tc>
          <w:tcPr/>
          <w:p>
            <w:pPr>
              <w:pStyle w:val="Compact"/>
              <w:jc w:val="right"/>
            </w:pPr>
            <w:r>
              <w:t xml:space="preserve">Reproduced, local</w:t>
            </w:r>
          </w:p>
        </w:tc>
        <w:tc>
          <w:tcPr/>
          <w:p>
            <w:pPr>
              <w:pStyle w:val="Compact"/>
              <w:jc w:val="right"/>
            </w:pPr>
            <w:r>
              <w:t xml:space="preserve">Reproduced, clean runner</w:t>
            </w:r>
          </w:p>
        </w:tc>
        <w:tc>
          <w:tcPr/>
          <w:p>
            <w:pPr>
              <w:pStyle w:val="Compact"/>
              <w:jc w:val="right"/>
            </w:pPr>
            <w:r>
              <w:t xml:space="preserve">Pass</w:t>
            </w:r>
          </w:p>
        </w:tc>
        <w:tc>
          <w:tcPr/>
          <w:p>
            <w:pPr>
              <w:pStyle w:val="Compact"/>
              <w:jc w:val="right"/>
            </w:pPr>
            <w:r>
              <w:t xml:space="preserve">Identical to 8 significant digits</w:t>
            </w:r>
          </w:p>
        </w:tc>
      </w:tr>
      <w:tr>
        <w:tc>
          <w:tcPr/>
          <w:p>
            <w:pPr>
              <w:pStyle w:val="Compact"/>
              <w:jc w:val="left"/>
            </w:pPr>
            <w:r>
              <w:t xml:space="preserve">Regenerated operating-characteristic trials (primary model, trials 1 to 100, identical products and Vmax decreased 1.25): largest relative difference in GMR and 90% CI limits</w:t>
            </w:r>
          </w:p>
        </w:tc>
        <w:tc>
          <w:tcPr/>
          <w:p>
            <w:pPr>
              <w:pStyle w:val="Compact"/>
              <w:jc w:val="right"/>
            </w:pPr>
            <w:r>
              <w:t xml:space="preserve">0</w:t>
            </w:r>
          </w:p>
        </w:tc>
        <w:tc>
          <w:tcPr/>
          <w:p>
            <w:pPr>
              <w:pStyle w:val="Compact"/>
              <w:jc w:val="right"/>
            </w:pPr>
            <w:r>
              <w:t xml:space="preserve">1e-06 relative</w:t>
            </w:r>
          </w:p>
        </w:tc>
        <w:tc>
          <w:tcPr/>
          <w:p>
            <w:pPr>
              <w:pStyle w:val="Compact"/>
              <w:jc w:val="right"/>
            </w:pPr>
            <w:r>
              <w:t xml:space="preserve">4.9389296e-07</w:t>
            </w:r>
          </w:p>
        </w:tc>
        <w:tc>
          <w:tcPr/>
          <w:p>
            <w:pPr>
              <w:pStyle w:val="Compact"/>
              <w:jc w:val="right"/>
            </w:pPr>
            <w:r>
              <w:t xml:space="preserve">4.9389296e-07</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Same trials: rows whose pass flag, missing status or arm size differ (of 1,200)</w:t>
            </w:r>
          </w:p>
        </w:tc>
        <w:tc>
          <w:tcPr/>
          <w:p>
            <w:pPr>
              <w:pStyle w:val="Compact"/>
              <w:jc w:val="right"/>
            </w:pPr>
            <w:r>
              <w:t xml:space="preserve">0</w:t>
            </w:r>
          </w:p>
        </w:tc>
        <w:tc>
          <w:tcPr/>
          <w:p>
            <w:pPr>
              <w:pStyle w:val="Compact"/>
              <w:jc w:val="right"/>
            </w:pPr>
            <w:r>
              <w:t xml:space="preserve">0 count</w:t>
            </w:r>
          </w:p>
        </w:tc>
        <w:tc>
          <w:tcPr/>
          <w:p>
            <w:pPr>
              <w:pStyle w:val="Compact"/>
              <w:jc w:val="right"/>
            </w:pPr>
            <w:r>
              <w:t xml:space="preserve">0</w:t>
            </w:r>
          </w:p>
        </w:tc>
        <w:tc>
          <w:tcPr/>
          <w:p>
            <w:pPr>
              <w:pStyle w:val="Compact"/>
              <w:jc w:val="right"/>
            </w:pPr>
            <w:r>
              <w:t xml:space="preserve">0</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Same trials: AUC0-last + Cmax pass rate, identical products (%)</w:t>
            </w:r>
          </w:p>
        </w:tc>
        <w:tc>
          <w:tcPr/>
          <w:p>
            <w:pPr>
              <w:pStyle w:val="Compact"/>
              <w:jc w:val="right"/>
            </w:pPr>
            <w:r>
              <w:t xml:space="preserve">100</w:t>
            </w:r>
          </w:p>
        </w:tc>
        <w:tc>
          <w:tcPr/>
          <w:p>
            <w:pPr>
              <w:pStyle w:val="Compact"/>
              <w:jc w:val="right"/>
            </w:pPr>
            <w:r>
              <w:t xml:space="preserve">0 absolute (pct points)</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Same trials: AUC0-last + Cmax pass rate, Vmax decreased (%)</w:t>
            </w:r>
          </w:p>
        </w:tc>
        <w:tc>
          <w:tcPr/>
          <w:p>
            <w:pPr>
              <w:pStyle w:val="Compact"/>
              <w:jc w:val="right"/>
            </w:pPr>
            <w:r>
              <w:t xml:space="preserve">5</w:t>
            </w:r>
          </w:p>
        </w:tc>
        <w:tc>
          <w:tcPr/>
          <w:p>
            <w:pPr>
              <w:pStyle w:val="Compact"/>
              <w:jc w:val="right"/>
            </w:pPr>
            <w:r>
              <w:t xml:space="preserve">0 absolute (pct points)</w:t>
            </w:r>
          </w:p>
        </w:tc>
        <w:tc>
          <w:tcPr/>
          <w:p>
            <w:pPr>
              <w:pStyle w:val="Compact"/>
              <w:jc w:val="right"/>
            </w:pPr>
            <w:r>
              <w:t xml:space="preserve">5</w:t>
            </w:r>
          </w:p>
        </w:tc>
        <w:tc>
          <w:tcPr/>
          <w:p>
            <w:pPr>
              <w:pStyle w:val="Compact"/>
              <w:jc w:val="right"/>
            </w:pPr>
            <w:r>
              <w:t xml:space="preserve">5</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True AUC0-inf ratio at the Vmax inversion multiplier, first 20,000 of 200,000 common subjects</w:t>
            </w:r>
          </w:p>
        </w:tc>
        <w:tc>
          <w:tcPr/>
          <w:p>
            <w:pPr>
              <w:pStyle w:val="Compact"/>
              <w:jc w:val="right"/>
            </w:pPr>
            <w:r>
              <w:t xml:space="preserve">1.2508839</w:t>
            </w:r>
          </w:p>
        </w:tc>
        <w:tc>
          <w:tcPr/>
          <w:p>
            <w:pPr>
              <w:pStyle w:val="Compact"/>
              <w:jc w:val="right"/>
            </w:pPr>
            <w:r>
              <w:t xml:space="preserve">0.0016162633 absolute log ratio</w:t>
            </w:r>
          </w:p>
        </w:tc>
        <w:tc>
          <w:tcPr/>
          <w:p>
            <w:pPr>
              <w:pStyle w:val="Compact"/>
              <w:jc w:val="right"/>
            </w:pPr>
            <w:r>
              <w:t xml:space="preserve">1.2501589</w:t>
            </w:r>
          </w:p>
        </w:tc>
        <w:tc>
          <w:tcPr/>
          <w:p>
            <w:pPr>
              <w:pStyle w:val="Compact"/>
              <w:jc w:val="right"/>
            </w:pPr>
            <w:r>
              <w:t xml:space="preserve">1.2501589</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Inversion screening consistency on the same 20,000 subjects</w:t>
            </w:r>
          </w:p>
        </w:tc>
        <w:tc>
          <w:tcPr/>
          <w:p>
            <w:pPr>
              <w:pStyle w:val="Compact"/>
              <w:jc w:val="right"/>
            </w:pPr>
            <w:r>
              <w:t xml:space="preserve">1.25</w:t>
            </w:r>
          </w:p>
        </w:tc>
        <w:tc>
          <w:tcPr/>
          <w:p>
            <w:pPr>
              <w:pStyle w:val="Compact"/>
              <w:jc w:val="right"/>
            </w:pPr>
            <w:r>
              <w:t xml:space="preserve">2e-04 relative</w:t>
            </w:r>
          </w:p>
        </w:tc>
        <w:tc>
          <w:tcPr/>
          <w:p>
            <w:pPr>
              <w:pStyle w:val="Compact"/>
              <w:jc w:val="right"/>
            </w:pPr>
            <w:r>
              <w:t xml:space="preserve">1.2501589</w:t>
            </w:r>
          </w:p>
        </w:tc>
        <w:tc>
          <w:tcPr/>
          <w:p>
            <w:pPr>
              <w:pStyle w:val="Compact"/>
              <w:jc w:val="right"/>
            </w:pPr>
            <w:r>
              <w:t xml:space="preserve">1.2501589</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Median true extrapolated fraction (%), 2,000 new subjects versus the committed 20,000</w:t>
            </w:r>
          </w:p>
        </w:tc>
        <w:tc>
          <w:tcPr/>
          <w:p>
            <w:pPr>
              <w:pStyle w:val="Compact"/>
              <w:jc w:val="right"/>
            </w:pPr>
            <w:r>
              <w:t xml:space="preserve">0.65205005</w:t>
            </w:r>
          </w:p>
        </w:tc>
        <w:tc>
          <w:tcPr/>
          <w:p>
            <w:pPr>
              <w:pStyle w:val="Compact"/>
              <w:jc w:val="right"/>
            </w:pPr>
            <w:r>
              <w:t xml:space="preserve">0.13 absolute (pct)</w:t>
            </w:r>
          </w:p>
        </w:tc>
        <w:tc>
          <w:tcPr/>
          <w:p>
            <w:pPr>
              <w:pStyle w:val="Compact"/>
              <w:jc w:val="right"/>
            </w:pPr>
            <w:r>
              <w:t xml:space="preserve">0.68475085</w:t>
            </w:r>
          </w:p>
        </w:tc>
        <w:tc>
          <w:tcPr/>
          <w:p>
            <w:pPr>
              <w:pStyle w:val="Compact"/>
              <w:jc w:val="right"/>
            </w:pPr>
            <w:r>
              <w:t xml:space="preserve">0.68475085</w:t>
            </w:r>
          </w:p>
        </w:tc>
        <w:tc>
          <w:tcPr/>
          <w:p>
            <w:pPr>
              <w:pStyle w:val="Compact"/>
              <w:jc w:val="right"/>
            </w:pPr>
            <w:r>
              <w:t xml:space="preserve">yes</w:t>
            </w:r>
          </w:p>
        </w:tc>
        <w:tc>
          <w:tcPr/>
          <w:p>
            <w:pPr>
              <w:pStyle w:val="Compact"/>
              <w:jc w:val="right"/>
            </w:pPr>
            <w:r>
              <w:t xml:space="preserve">yes</w:t>
            </w:r>
          </w:p>
        </w:tc>
      </w:tr>
    </w:tbl>
    <w:p>
      <w:pPr>
        <w:pStyle w:val="BodyText"/>
      </w:pPr>
      <w:r>
        <w:t xml:space="preserve">To reproduce every result, restore the locked environment with</w:t>
      </w:r>
      <w:r>
        <w:t xml:space="preserve"> </w:t>
      </w:r>
      <w:r>
        <w:rPr>
          <w:rStyle w:val="VerbatimChar"/>
        </w:rPr>
        <w:t xml:space="preserve">renv::restore()</w:t>
      </w:r>
      <w:r>
        <w:t xml:space="preserve"> </w:t>
      </w:r>
      <w:r>
        <w:t xml:space="preserve">and run</w:t>
      </w:r>
      <w:r>
        <w:t xml:space="preserve"> </w:t>
      </w:r>
      <w:r>
        <w:rPr>
          <w:rStyle w:val="VerbatimChar"/>
        </w:rPr>
        <w:t xml:space="preserve">scripts/run_all.sh</w:t>
      </w:r>
      <w:r>
        <w:t xml:space="preserve">. Each run writes a log in</w:t>
      </w:r>
      <w:r>
        <w:t xml:space="preserve"> </w:t>
      </w:r>
      <w:r>
        <w:rPr>
          <w:rStyle w:val="VerbatimChar"/>
        </w:rPr>
        <w:t xml:space="preserve">logs/</w:t>
      </w:r>
      <w:r>
        <w:t xml:space="preserve"> </w:t>
      </w:r>
      <w:r>
        <w:t xml:space="preserve">recording the derived seeds, the number of replicates, the SHA-256 of the configuration files and the session information. This document is regenerated by</w:t>
      </w:r>
      <w:r>
        <w:t xml:space="preserve"> </w:t>
      </w:r>
      <w:r>
        <w:rPr>
          <w:rStyle w:val="VerbatimChar"/>
        </w:rPr>
        <w:t xml:space="preserve">scripts/60_regulatory_package.R</w:t>
      </w:r>
      <w:r>
        <w:t xml:space="preserve">.</w:t>
      </w:r>
    </w:p>
    <w:bookmarkEnd w:id="110"/>
    <w:bookmarkStart w:id="111" w:name="Xd0e9ee1668a8ef4772c8e65f0272d9125df237c"/>
    <w:p>
      <w:pPr>
        <w:pStyle w:val="Heading1"/>
      </w:pPr>
      <w:r>
        <w:t xml:space="preserve">Appendix F. Boundary type I error, all configurations and scenarios</w:t>
      </w:r>
    </w:p>
    <w:p>
      <w:pPr>
        <w:pStyle w:val="TableCaption"/>
      </w:pPr>
      <w:r>
        <w:t xml:space="preserve">Table F-1. Boundary type I error for every configuration and boundary scenario.</w:t>
      </w:r>
    </w:p>
    <w:tbl>
      <w:tblPr>
        <w:tblStyle w:val="Table"/>
        <w:tblW w:type="pct" w:w="5000"/>
        <w:tblLook w:firstRow="1" w:lastRow="0" w:firstColumn="0" w:lastColumn="0" w:noHBand="0" w:noVBand="0" w:val="0020"/>
        <w:jc w:val="start"/>
        <w:tblCaption w:val="Table F-1. Boundary type I error for every configuration and boundary scenario."/>
      </w:tblPr>
      <w:tblGrid>
        <w:gridCol w:w="612"/>
        <w:gridCol w:w="2310"/>
        <w:gridCol w:w="3535"/>
        <w:gridCol w:w="330"/>
        <w:gridCol w:w="1131"/>
      </w:tblGrid>
      <w:tr>
        <w:trPr>
          <w:tblHeader w:val="true"/>
        </w:trPr>
        <w:tc>
          <w:tcPr/>
          <w:p>
            <w:pPr>
              <w:pStyle w:val="Compact"/>
              <w:jc w:val="left"/>
            </w:pPr>
            <w:r>
              <w:t xml:space="preserve">Model</w:t>
            </w:r>
          </w:p>
        </w:tc>
        <w:tc>
          <w:tcPr/>
          <w:p>
            <w:pPr>
              <w:pStyle w:val="Compact"/>
              <w:jc w:val="left"/>
            </w:pPr>
            <w:r>
              <w:t xml:space="preserve">Scenario</w:t>
            </w:r>
          </w:p>
        </w:tc>
        <w:tc>
          <w:tcPr/>
          <w:p>
            <w:pPr>
              <w:pStyle w:val="Compact"/>
              <w:jc w:val="left"/>
            </w:pPr>
            <w:r>
              <w:t xml:space="preserve">Configuration</w:t>
            </w:r>
          </w:p>
        </w:tc>
        <w:tc>
          <w:tcPr/>
          <w:p>
            <w:pPr>
              <w:pStyle w:val="Compact"/>
              <w:jc w:val="right"/>
            </w:pPr>
            <w:r>
              <w:t xml:space="preserve">Trials</w:t>
            </w:r>
          </w:p>
        </w:tc>
        <w:tc>
          <w:tcPr/>
          <w:p>
            <w:pPr>
              <w:pStyle w:val="Compact"/>
              <w:jc w:val="right"/>
            </w:pPr>
            <w:r>
              <w:t xml:space="preserve">Pass, % [Wilson 95% CI]</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3.71 [3.36, 4.10]</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3.80 [3.44, 4.19]</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2.69 [2.39, 3.03]</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3.48 [3.14, 3.86]</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3.51 [3.17, 3.89]</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7.35 [6.85, 7.88]</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7.04 [6.55, 7.56]</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6.45 [5.99, 6.95]</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3.82 [3.46, 4.21]</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4.13 [3.76, 4.54]</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9.49 [8.93, 10.08]</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8.57 [8.04, 9.13]</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7.05 [6.56, 7.57]</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3.94 [3.58, 4.34]</w:t>
            </w:r>
          </w:p>
        </w:tc>
      </w:tr>
      <w:tr>
        <w:tc>
          <w:tcPr/>
          <w:p>
            <w:pPr>
              <w:pStyle w:val="Compact"/>
              <w:jc w:val="left"/>
            </w:pPr>
            <w:r>
              <w:t xml:space="preserve">2016 model</w:t>
            </w:r>
          </w:p>
        </w:tc>
        <w:tc>
          <w:tcPr/>
          <w:p>
            <w:pPr>
              <w:pStyle w:val="Compact"/>
              <w:jc w:val="left"/>
            </w:pPr>
            <w:r>
              <w:t xml:space="preserve">F decreased, true AUC0-inf ratio 0.80 (x0.87)</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4.29 [3.91, 4.71]</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3.97 [3.60, 4.37]</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3.97 [3.60, 4.37]</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1.96 [1.71, 2.25]</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2.74 [2.44, 3.08]</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3.35 [3.01, 3.72]</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4.03 [3.66, 4.43]</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3.63 [3.28, 4.01]</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3.47 [3.13, 3.85]</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3.39 [3.05, 3.76]</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3.10 [2.78, 3.46]</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4.03 [3.66, 4.43]</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3.63 [3.28, 4.01]</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3.47 [3.13, 3.85]</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3.39 [3.05, 3.76]</w:t>
            </w:r>
          </w:p>
        </w:tc>
      </w:tr>
      <w:tr>
        <w:tc>
          <w:tcPr/>
          <w:p>
            <w:pPr>
              <w:pStyle w:val="Compact"/>
              <w:jc w:val="left"/>
            </w:pPr>
            <w:r>
              <w:t xml:space="preserve">2016 model</w:t>
            </w:r>
          </w:p>
        </w:tc>
        <w:tc>
          <w:tcPr/>
          <w:p>
            <w:pPr>
              <w:pStyle w:val="Compact"/>
              <w:jc w:val="left"/>
            </w:pPr>
            <w:r>
              <w:t xml:space="preserve">V2 increased, true AUC0-inf ratio 0.80 (x3.21)</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3.10 [2.78, 3.46]</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2.25 [1.98, 2.56]</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2.25 [1.98, 2.56]</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2.07 [1.81, 2.37]</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2.25 [1.98, 2.56]</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2.06 [1.80, 2.36]</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22.46 [21.65, 23.29]</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19.91 [19.14, 20.70]</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15.06 [14.37, 15.77]</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2.27 [2.00, 2.58]</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3.05 [2.73, 3.41]</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22.52 [21.71, 23.35]</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19.95 [19.18, 20.74]</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15.06 [14.37, 15.77]</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2.27 [2.00, 2.58]</w:t>
            </w:r>
          </w:p>
        </w:tc>
      </w:tr>
      <w:tr>
        <w:tc>
          <w:tcPr/>
          <w:p>
            <w:pPr>
              <w:pStyle w:val="Compact"/>
              <w:jc w:val="left"/>
            </w:pPr>
            <w:r>
              <w:t xml:space="preserve">2016 model</w:t>
            </w:r>
          </w:p>
        </w:tc>
        <w:tc>
          <w:tcPr/>
          <w:p>
            <w:pPr>
              <w:pStyle w:val="Compact"/>
              <w:jc w:val="left"/>
            </w:pPr>
            <w:r>
              <w:t xml:space="preserve">Vmax increased, true AUC0-inf ratio 0.80 (x1.39)</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3.05 [2.73, 3.41]</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4.74 [4.34, 5.17]</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35.84 [34.91, 36.79]</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33.85 [32.93, 34.78]</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16.02 [15.31, 16.75]</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4.00 [3.63, 4.40]</w:t>
            </w:r>
          </w:p>
        </w:tc>
      </w:tr>
      <w:tr>
        <w:tc>
          <w:tcPr/>
          <w:p>
            <w:pPr>
              <w:pStyle w:val="Compact"/>
              <w:jc w:val="left"/>
            </w:pPr>
            <w:r>
              <w:t xml:space="preserve">2016 model</w:t>
            </w:r>
          </w:p>
        </w:tc>
        <w:tc>
          <w:tcPr/>
          <w:p>
            <w:pPr>
              <w:pStyle w:val="Compact"/>
              <w:jc w:val="left"/>
            </w:pPr>
            <w:r>
              <w:t xml:space="preserve">ka decreased, true AUC0-inf ratio 0.80 (x0.44)</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4.60 [4.21, 5.03]</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3.67 [3.32, 4.06]</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3.67 [3.32, 4.06]</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2.29 [2.01, 2.60]</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3.26 [2.93, 3.63]</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3.47 [3.13, 3.85]</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5.71 [5.27, 6.18]</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4.86 [4.46, 5.30]</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4.93 [4.52, 5.37]</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3.85 [3.49, 4.25]</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3.91 [3.55, 4.31]</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5.71 [5.27, 6.18]</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4.86 [4.46, 5.30]</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4.93 [4.52, 5.37]</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3.85 [3.49, 4.25]</w:t>
            </w:r>
          </w:p>
        </w:tc>
      </w:tr>
      <w:tr>
        <w:tc>
          <w:tcPr/>
          <w:p>
            <w:pPr>
              <w:pStyle w:val="Compact"/>
              <w:jc w:val="left"/>
            </w:pPr>
            <w:r>
              <w:t xml:space="preserve">2016 model</w:t>
            </w:r>
          </w:p>
        </w:tc>
        <w:tc>
          <w:tcPr/>
          <w:p>
            <w:pPr>
              <w:pStyle w:val="Compact"/>
              <w:jc w:val="left"/>
            </w:pPr>
            <w:r>
              <w:t xml:space="preserve">ke increased, true AUC0-inf ratio 0.80 (x1.47)</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3.91 [3.55, 4.31]</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3.24 [2.91, 3.61]</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3.34 [3.01, 3.71]</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2.63 [2.33, 2.96]</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3.11 [2.79, 3.47]</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3.14 [2.82, 3.50]</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7.40 [6.90, 7.93]</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6.37 [5.91, 6.87]</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5.32 [4.90, 5.78]</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3.59 [3.24, 3.97]</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3.83 [3.47, 4.22]</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9.10 [8.55, 9.68]</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7.42 [6.92, 7.95]</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5.76 [5.32, 6.23]</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3.75 [3.40, 4.14]</w:t>
            </w:r>
          </w:p>
        </w:tc>
      </w:tr>
      <w:tr>
        <w:tc>
          <w:tcPr/>
          <w:p>
            <w:pPr>
              <w:pStyle w:val="Compact"/>
              <w:jc w:val="left"/>
            </w:pPr>
            <w:r>
              <w:t xml:space="preserve">2016 model</w:t>
            </w:r>
          </w:p>
        </w:tc>
        <w:tc>
          <w:tcPr/>
          <w:p>
            <w:pPr>
              <w:pStyle w:val="Compact"/>
              <w:jc w:val="left"/>
            </w:pPr>
            <w:r>
              <w:t xml:space="preserve">F increased, true AUC0-inf ratio 1.25 (x1.15)</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4.00 [3.63, 4.40]</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2.67 [2.37, 3.00]</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2.67 [2.37, 3.00]</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2.65 [2.35, 2.98]</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2.64 [2.34, 2.97]</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2.64 [2.34, 2.97]</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24.58 [23.75, 25.43]</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12.69 [12.05, 13.36]</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6.37 [5.91, 6.87]</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3.37 [3.03, 3.74]</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3.46 [3.12, 3.84]</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24.58 [23.75, 25.43]</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12.69 [12.05, 13.36]</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6.37 [5.91, 6.87]</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3.37 [3.03, 3.74]</w:t>
            </w:r>
          </w:p>
        </w:tc>
      </w:tr>
      <w:tr>
        <w:tc>
          <w:tcPr/>
          <w:p>
            <w:pPr>
              <w:pStyle w:val="Compact"/>
              <w:jc w:val="left"/>
            </w:pPr>
            <w:r>
              <w:t xml:space="preserve">2016 model</w:t>
            </w:r>
          </w:p>
        </w:tc>
        <w:tc>
          <w:tcPr/>
          <w:p>
            <w:pPr>
              <w:pStyle w:val="Compact"/>
              <w:jc w:val="left"/>
            </w:pPr>
            <w:r>
              <w:t xml:space="preserve">Vmax decreased, true AUC0-inf ratio 1.25 (x0.66)</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3.46 [3.12, 3.84]</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3.37 [3.03, 3.74]</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3.37 [3.03, 3.74]</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2.24 [1.97, 2.55]</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2.94 [2.63, 3.29]</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3.23 [2.90, 3.59]</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6.95 [6.47, 7.47]</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4.93 [4.52, 5.37]</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4.09 [3.72, 4.50]</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3.63 [3.28, 4.01]</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3.52 [3.18, 3.90]</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6.95 [6.47, 7.47]</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4.93 [4.52, 5.37]</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4.09 [3.72, 4.50]</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3.63 [3.28, 4.01]</w:t>
            </w:r>
          </w:p>
        </w:tc>
      </w:tr>
      <w:tr>
        <w:tc>
          <w:tcPr/>
          <w:p>
            <w:pPr>
              <w:pStyle w:val="Compact"/>
              <w:jc w:val="left"/>
            </w:pPr>
            <w:r>
              <w:t xml:space="preserve">2016 model</w:t>
            </w:r>
          </w:p>
        </w:tc>
        <w:tc>
          <w:tcPr/>
          <w:p>
            <w:pPr>
              <w:pStyle w:val="Compact"/>
              <w:jc w:val="left"/>
            </w:pPr>
            <w:r>
              <w:t xml:space="preserve">ke decreased, true AUC0-inf ratio 1.25 (x0.63)</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3.52 [3.18, 3.90]</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3.70 [3.35, 4.09]</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3.74 [3.39, 4.13]</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3.03 [2.71, 3.38]</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3.55 [3.20, 3.93]</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3.56 [3.21, 3.94]</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8.33 [7.80, 8.89]</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6.88 [6.40, 7.39]</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6.23 [5.77, 6.72]</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3.97 [3.60, 4.37]</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4.45 [4.06, 4.87]</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9.57 [9.01, 10.16]</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7.55 [7.05, 8.08]</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6.42 [5.96, 6.92]</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3.99 [3.62, 4.39]</w:t>
            </w:r>
          </w:p>
        </w:tc>
      </w:tr>
      <w:tr>
        <w:tc>
          <w:tcPr/>
          <w:p>
            <w:pPr>
              <w:pStyle w:val="Compact"/>
              <w:jc w:val="left"/>
            </w:pPr>
            <w:r>
              <w:t xml:space="preserve">2020 Model 1</w:t>
            </w:r>
          </w:p>
        </w:tc>
        <w:tc>
          <w:tcPr/>
          <w:p>
            <w:pPr>
              <w:pStyle w:val="Compact"/>
              <w:jc w:val="left"/>
            </w:pPr>
            <w:r>
              <w:t xml:space="preserve">F decreased, true AUC0-inf ratio 0.80 (x0.87)</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4.50 [4.11, 4.92]</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AUC0-last + Cmax (proposed)</w:t>
            </w:r>
          </w:p>
        </w:tc>
        <w:tc>
          <w:tcPr/>
          <w:p>
            <w:pPr>
              <w:pStyle w:val="Compact"/>
              <w:jc w:val="right"/>
            </w:pPr>
            <w:r>
              <w:t xml:space="preserve">20,000</w:t>
            </w:r>
          </w:p>
        </w:tc>
        <w:tc>
          <w:tcPr/>
          <w:p>
            <w:pPr>
              <w:pStyle w:val="Compact"/>
              <w:jc w:val="right"/>
            </w:pPr>
            <w:r>
              <w:t xml:space="preserve">5.18 [4.88, 5.50]</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AUC0-last alone (reference)</w:t>
            </w:r>
          </w:p>
        </w:tc>
        <w:tc>
          <w:tcPr/>
          <w:p>
            <w:pPr>
              <w:pStyle w:val="Compact"/>
              <w:jc w:val="right"/>
            </w:pPr>
            <w:r>
              <w:t xml:space="preserve">20,000</w:t>
            </w:r>
          </w:p>
        </w:tc>
        <w:tc>
          <w:tcPr/>
          <w:p>
            <w:pPr>
              <w:pStyle w:val="Compact"/>
              <w:jc w:val="right"/>
            </w:pPr>
            <w:r>
              <w:t xml:space="preserve">5.20 [4.90, 5.51]</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AUC0-last + AUC0-inf + Cmax, rule A, criteria (ii)</w:t>
            </w:r>
          </w:p>
        </w:tc>
        <w:tc>
          <w:tcPr/>
          <w:p>
            <w:pPr>
              <w:pStyle w:val="Compact"/>
              <w:jc w:val="right"/>
            </w:pPr>
            <w:r>
              <w:t xml:space="preserve">20,000</w:t>
            </w:r>
          </w:p>
        </w:tc>
        <w:tc>
          <w:tcPr/>
          <w:p>
            <w:pPr>
              <w:pStyle w:val="Compact"/>
              <w:jc w:val="right"/>
            </w:pPr>
            <w:r>
              <w:t xml:space="preserve">0.95 [0.82, 1.09]</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AUC0-last + AUC0-inf + Cmax, rule B</w:t>
            </w:r>
          </w:p>
        </w:tc>
        <w:tc>
          <w:tcPr/>
          <w:p>
            <w:pPr>
              <w:pStyle w:val="Compact"/>
              <w:jc w:val="right"/>
            </w:pPr>
            <w:r>
              <w:t xml:space="preserve">20,000</w:t>
            </w:r>
          </w:p>
        </w:tc>
        <w:tc>
          <w:tcPr/>
          <w:p>
            <w:pPr>
              <w:pStyle w:val="Compact"/>
              <w:jc w:val="right"/>
            </w:pPr>
            <w:r>
              <w:t xml:space="preserve">3.57 [3.32, 3.84]</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AUC0-last + AUC0-inf + Cmax, rule C, criteria (ii)</w:t>
            </w:r>
          </w:p>
        </w:tc>
        <w:tc>
          <w:tcPr/>
          <w:p>
            <w:pPr>
              <w:pStyle w:val="Compact"/>
              <w:jc w:val="right"/>
            </w:pPr>
            <w:r>
              <w:t xml:space="preserve">20,000</w:t>
            </w:r>
          </w:p>
        </w:tc>
        <w:tc>
          <w:tcPr/>
          <w:p>
            <w:pPr>
              <w:pStyle w:val="Compact"/>
              <w:jc w:val="right"/>
            </w:pPr>
            <w:r>
              <w:t xml:space="preserve">4.76 [4.47, 5.06]</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AUC0-inf + Cmax, rule A, criteria (ii) (guidance default as pre-specified)</w:t>
            </w:r>
          </w:p>
        </w:tc>
        <w:tc>
          <w:tcPr/>
          <w:p>
            <w:pPr>
              <w:pStyle w:val="Compact"/>
              <w:jc w:val="right"/>
            </w:pPr>
            <w:r>
              <w:t xml:space="preserve">20,000</w:t>
            </w:r>
          </w:p>
        </w:tc>
        <w:tc>
          <w:tcPr/>
          <w:p>
            <w:pPr>
              <w:pStyle w:val="Compact"/>
              <w:jc w:val="right"/>
            </w:pPr>
            <w:r>
              <w:t xml:space="preserve">1.06 [0.93, 1.21]</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AUC0-inf + Cmax, rule A, criteria (i)</w:t>
            </w:r>
          </w:p>
        </w:tc>
        <w:tc>
          <w:tcPr/>
          <w:p>
            <w:pPr>
              <w:pStyle w:val="Compact"/>
              <w:jc w:val="right"/>
            </w:pPr>
            <w:r>
              <w:t xml:space="preserve">20,000</w:t>
            </w:r>
          </w:p>
        </w:tc>
        <w:tc>
          <w:tcPr/>
          <w:p>
            <w:pPr>
              <w:pStyle w:val="Compact"/>
              <w:jc w:val="right"/>
            </w:pPr>
            <w:r>
              <w:t xml:space="preserve">2.30 [2.10, 2.51]</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AUC0-inf + Cmax, rule B</w:t>
            </w:r>
          </w:p>
        </w:tc>
        <w:tc>
          <w:tcPr/>
          <w:p>
            <w:pPr>
              <w:pStyle w:val="Compact"/>
              <w:jc w:val="right"/>
            </w:pPr>
            <w:r>
              <w:t xml:space="preserve">20,000</w:t>
            </w:r>
          </w:p>
        </w:tc>
        <w:tc>
          <w:tcPr/>
          <w:p>
            <w:pPr>
              <w:pStyle w:val="Compact"/>
              <w:jc w:val="right"/>
            </w:pPr>
            <w:r>
              <w:t xml:space="preserve">3.71 [3.46, 3.98]</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AUC0-inf + Cmax, rule C, criteria (ii)</w:t>
            </w:r>
          </w:p>
        </w:tc>
        <w:tc>
          <w:tcPr/>
          <w:p>
            <w:pPr>
              <w:pStyle w:val="Compact"/>
              <w:jc w:val="right"/>
            </w:pPr>
            <w:r>
              <w:t xml:space="preserve">20,000</w:t>
            </w:r>
          </w:p>
        </w:tc>
        <w:tc>
          <w:tcPr/>
          <w:p>
            <w:pPr>
              <w:pStyle w:val="Compact"/>
              <w:jc w:val="right"/>
            </w:pPr>
            <w:r>
              <w:t xml:space="preserve">5.01 [4.71, 5.32]</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AUC0-inf + Cmax, rule C, criteria (i)</w:t>
            </w:r>
          </w:p>
        </w:tc>
        <w:tc>
          <w:tcPr/>
          <w:p>
            <w:pPr>
              <w:pStyle w:val="Compact"/>
              <w:jc w:val="right"/>
            </w:pPr>
            <w:r>
              <w:t xml:space="preserve">20,000</w:t>
            </w:r>
          </w:p>
        </w:tc>
        <w:tc>
          <w:tcPr/>
          <w:p>
            <w:pPr>
              <w:pStyle w:val="Compact"/>
              <w:jc w:val="right"/>
            </w:pPr>
            <w:r>
              <w:t xml:space="preserve">4.63 [4.34, 4.92]</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AUC0-inf alone, rule A, criteria (ii)</w:t>
            </w:r>
          </w:p>
        </w:tc>
        <w:tc>
          <w:tcPr/>
          <w:p>
            <w:pPr>
              <w:pStyle w:val="Compact"/>
              <w:jc w:val="right"/>
            </w:pPr>
            <w:r>
              <w:t xml:space="preserve">20,000</w:t>
            </w:r>
          </w:p>
        </w:tc>
        <w:tc>
          <w:tcPr/>
          <w:p>
            <w:pPr>
              <w:pStyle w:val="Compact"/>
              <w:jc w:val="right"/>
            </w:pPr>
            <w:r>
              <w:t xml:space="preserve">1.07 [0.93, 1.22]</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AUC0-inf alone, rule A, criteria (i)</w:t>
            </w:r>
          </w:p>
        </w:tc>
        <w:tc>
          <w:tcPr/>
          <w:p>
            <w:pPr>
              <w:pStyle w:val="Compact"/>
              <w:jc w:val="right"/>
            </w:pPr>
            <w:r>
              <w:t xml:space="preserve">20,000</w:t>
            </w:r>
          </w:p>
        </w:tc>
        <w:tc>
          <w:tcPr/>
          <w:p>
            <w:pPr>
              <w:pStyle w:val="Compact"/>
              <w:jc w:val="right"/>
            </w:pPr>
            <w:r>
              <w:t xml:space="preserve">2.31 [2.11, 2.52]</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AUC0-inf alone, rule B</w:t>
            </w:r>
          </w:p>
        </w:tc>
        <w:tc>
          <w:tcPr/>
          <w:p>
            <w:pPr>
              <w:pStyle w:val="Compact"/>
              <w:jc w:val="right"/>
            </w:pPr>
            <w:r>
              <w:t xml:space="preserve">20,000</w:t>
            </w:r>
          </w:p>
        </w:tc>
        <w:tc>
          <w:tcPr/>
          <w:p>
            <w:pPr>
              <w:pStyle w:val="Compact"/>
              <w:jc w:val="right"/>
            </w:pPr>
            <w:r>
              <w:t xml:space="preserve">3.73 [3.47, 4.00]</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AUC0-inf alone, rule C, criteria (ii)</w:t>
            </w:r>
          </w:p>
        </w:tc>
        <w:tc>
          <w:tcPr/>
          <w:p>
            <w:pPr>
              <w:pStyle w:val="Compact"/>
              <w:jc w:val="right"/>
            </w:pPr>
            <w:r>
              <w:t xml:space="preserve">20,000</w:t>
            </w:r>
          </w:p>
        </w:tc>
        <w:tc>
          <w:tcPr/>
          <w:p>
            <w:pPr>
              <w:pStyle w:val="Compact"/>
              <w:jc w:val="right"/>
            </w:pPr>
            <w:r>
              <w:t xml:space="preserve">5.03 [4.73, 5.34]</w:t>
            </w:r>
          </w:p>
        </w:tc>
      </w:tr>
      <w:tr>
        <w:tc>
          <w:tcPr/>
          <w:p>
            <w:pPr>
              <w:pStyle w:val="Compact"/>
              <w:jc w:val="left"/>
            </w:pPr>
            <w:r>
              <w:t xml:space="preserve">2020 Model 1</w:t>
            </w:r>
          </w:p>
        </w:tc>
        <w:tc>
          <w:tcPr/>
          <w:p>
            <w:pPr>
              <w:pStyle w:val="Compact"/>
              <w:jc w:val="left"/>
            </w:pPr>
            <w:r>
              <w:t xml:space="preserve">V2 increased, true AUC0-inf ratio 0.80 (x2.28)</w:t>
            </w:r>
          </w:p>
        </w:tc>
        <w:tc>
          <w:tcPr/>
          <w:p>
            <w:pPr>
              <w:pStyle w:val="Compact"/>
              <w:jc w:val="left"/>
            </w:pPr>
            <w:r>
              <w:t xml:space="preserve">AUC0-inf alone, rule C, criteria (i)</w:t>
            </w:r>
          </w:p>
        </w:tc>
        <w:tc>
          <w:tcPr/>
          <w:p>
            <w:pPr>
              <w:pStyle w:val="Compact"/>
              <w:jc w:val="right"/>
            </w:pPr>
            <w:r>
              <w:t xml:space="preserve">20,000</w:t>
            </w:r>
          </w:p>
        </w:tc>
        <w:tc>
          <w:tcPr/>
          <w:p>
            <w:pPr>
              <w:pStyle w:val="Compact"/>
              <w:jc w:val="right"/>
            </w:pPr>
            <w:r>
              <w:t xml:space="preserve">4.65 [4.37, 4.95]</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2.76 [2.46, 3.10]</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2.76 [2.46, 3.10]</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2.64 [2.34, 2.97]</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2.76 [2.46, 3.10]</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2.72 [2.42, 3.06]</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23.29 [22.47, 24.13]</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17.37 [16.64, 18.13]</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11.87 [11.25, 12.52]</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3.18 [2.85, 3.54]</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4.24 [3.86, 4.65]</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23.32 [22.50, 24.16]</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17.37 [16.64, 18.13]</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11.87 [11.25, 12.52]</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3.18 [2.85, 3.54]</w:t>
            </w:r>
          </w:p>
        </w:tc>
      </w:tr>
      <w:tr>
        <w:tc>
          <w:tcPr/>
          <w:p>
            <w:pPr>
              <w:pStyle w:val="Compact"/>
              <w:jc w:val="left"/>
            </w:pPr>
            <w:r>
              <w:t xml:space="preserve">2020 Model 1</w:t>
            </w:r>
          </w:p>
        </w:tc>
        <w:tc>
          <w:tcPr/>
          <w:p>
            <w:pPr>
              <w:pStyle w:val="Compact"/>
              <w:jc w:val="left"/>
            </w:pPr>
            <w:r>
              <w:t xml:space="preserve">Vmax increased, true AUC0-inf ratio 0.80 (x1.40)</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4.24 [3.86, 4.65]</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5.07 [4.66, 5.52]</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0.00 [0.00, 0.04]</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36.53 [35.59, 37.48]</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38.12 [37.17, 39.08]</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16.23 [15.52, 16.97]</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4.15 [3.78, 4.56]</w:t>
            </w:r>
          </w:p>
        </w:tc>
      </w:tr>
      <w:tr>
        <w:tc>
          <w:tcPr/>
          <w:p>
            <w:pPr>
              <w:pStyle w:val="Compact"/>
              <w:jc w:val="left"/>
            </w:pPr>
            <w:r>
              <w:t xml:space="preserve">2020 Model 1</w:t>
            </w:r>
          </w:p>
        </w:tc>
        <w:tc>
          <w:tcPr/>
          <w:p>
            <w:pPr>
              <w:pStyle w:val="Compact"/>
              <w:jc w:val="left"/>
            </w:pPr>
            <w:r>
              <w:t xml:space="preserve">ka decreased, true AUC0-inf ratio 0.80 (x0.42)</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5.01 [4.60, 5.46]</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3.77 [3.41, 4.16]</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3.77 [3.41, 4.16]</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2.54 [2.25, 2.87]</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3.46 [3.12, 3.84]</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3.65 [3.30, 4.04]</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5.88 [5.44, 6.36]</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4.25 [3.87, 4.66]</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4.83 [4.43, 5.27]</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4.11 [3.74, 4.52]</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4.30 [3.92, 4.72]</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5.88 [5.44, 6.36]</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4.25 [3.87, 4.66]</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4.83 [4.43, 5.27]</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4.11 [3.74, 4.52]</w:t>
            </w:r>
          </w:p>
        </w:tc>
      </w:tr>
      <w:tr>
        <w:tc>
          <w:tcPr/>
          <w:p>
            <w:pPr>
              <w:pStyle w:val="Compact"/>
              <w:jc w:val="left"/>
            </w:pPr>
            <w:r>
              <w:t xml:space="preserve">2020 Model 1</w:t>
            </w:r>
          </w:p>
        </w:tc>
        <w:tc>
          <w:tcPr/>
          <w:p>
            <w:pPr>
              <w:pStyle w:val="Compact"/>
              <w:jc w:val="left"/>
            </w:pPr>
            <w:r>
              <w:t xml:space="preserve">ke increased, true AUC0-inf ratio 0.80 (x1.46)</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4.30 [3.92, 4.72]</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3.41 [3.07, 3.78]</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3.43 [3.09, 3.80]</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2.67 [2.37, 3.00]</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3.22 [2.89, 3.58]</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3.26 [2.93, 3.63]</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7.88 [7.37, 8.42]</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6.18 [5.72, 6.67]</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5.05 [4.64, 5.50]</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3.86 [3.50, 4.26]</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4.17 [3.80, 4.58]</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8.94 [8.40, 9.52]</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6.58 [6.11, 7.08]</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5.18 [4.76, 5.63]</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3.90 [3.54, 4.30]</w:t>
            </w:r>
          </w:p>
        </w:tc>
      </w:tr>
      <w:tr>
        <w:tc>
          <w:tcPr/>
          <w:p>
            <w:pPr>
              <w:pStyle w:val="Compact"/>
              <w:jc w:val="left"/>
            </w:pPr>
            <w:r>
              <w:t xml:space="preserve">2020 Model 1</w:t>
            </w:r>
          </w:p>
        </w:tc>
        <w:tc>
          <w:tcPr/>
          <w:p>
            <w:pPr>
              <w:pStyle w:val="Compact"/>
              <w:jc w:val="left"/>
            </w:pPr>
            <w:r>
              <w:t xml:space="preserve">F increased, true AUC0-inf ratio 1.25 (x1.15)</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4.24 [3.86, 4.65]</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2.72 [2.42, 3.06]</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2.72 [2.42, 3.06]</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2.71 [2.41, 3.05]</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2.70 [2.40, 3.04]</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2.72 [2.42, 3.06]</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27.60 [26.73, 28.48]</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9.69 [9.13, 10.29]</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5.66 [5.22, 6.13]</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3.96 [3.60, 4.36]</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4.09 [3.72, 4.50]</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27.61 [26.74, 28.49]</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9.69 [9.13, 10.29]</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5.66 [5.22, 6.13]</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3.96 [3.60, 4.36]</w:t>
            </w:r>
          </w:p>
        </w:tc>
      </w:tr>
      <w:tr>
        <w:tc>
          <w:tcPr/>
          <w:p>
            <w:pPr>
              <w:pStyle w:val="Compact"/>
              <w:jc w:val="left"/>
            </w:pPr>
            <w:r>
              <w:t xml:space="preserve">2020 Model 1</w:t>
            </w:r>
          </w:p>
        </w:tc>
        <w:tc>
          <w:tcPr/>
          <w:p>
            <w:pPr>
              <w:pStyle w:val="Compact"/>
              <w:jc w:val="left"/>
            </w:pPr>
            <w:r>
              <w:t xml:space="preserve">Vmax decreased, true AUC0-inf ratio 1.25 (x0.65)</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4.09 [3.72, 4.50]</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AUC0-last + Cmax (proposed)</w:t>
            </w:r>
          </w:p>
        </w:tc>
        <w:tc>
          <w:tcPr/>
          <w:p>
            <w:pPr>
              <w:pStyle w:val="Compact"/>
              <w:jc w:val="right"/>
            </w:pPr>
            <w:r>
              <w:t xml:space="preserve">10,000</w:t>
            </w:r>
          </w:p>
        </w:tc>
        <w:tc>
          <w:tcPr/>
          <w:p>
            <w:pPr>
              <w:pStyle w:val="Compact"/>
              <w:jc w:val="right"/>
            </w:pPr>
            <w:r>
              <w:t xml:space="preserve">3.68 [3.33, 4.07]</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AUC0-last alone (reference)</w:t>
            </w:r>
          </w:p>
        </w:tc>
        <w:tc>
          <w:tcPr/>
          <w:p>
            <w:pPr>
              <w:pStyle w:val="Compact"/>
              <w:jc w:val="right"/>
            </w:pPr>
            <w:r>
              <w:t xml:space="preserve">10,000</w:t>
            </w:r>
          </w:p>
        </w:tc>
        <w:tc>
          <w:tcPr/>
          <w:p>
            <w:pPr>
              <w:pStyle w:val="Compact"/>
              <w:jc w:val="right"/>
            </w:pPr>
            <w:r>
              <w:t xml:space="preserve">3.68 [3.33, 4.07]</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AUC0-last + AUC0-inf + Cmax, rule A, criteria (ii)</w:t>
            </w:r>
          </w:p>
        </w:tc>
        <w:tc>
          <w:tcPr/>
          <w:p>
            <w:pPr>
              <w:pStyle w:val="Compact"/>
              <w:jc w:val="right"/>
            </w:pPr>
            <w:r>
              <w:t xml:space="preserve">10,000</w:t>
            </w:r>
          </w:p>
        </w:tc>
        <w:tc>
          <w:tcPr/>
          <w:p>
            <w:pPr>
              <w:pStyle w:val="Compact"/>
              <w:jc w:val="right"/>
            </w:pPr>
            <w:r>
              <w:t xml:space="preserve">2.80 [2.49, 3.14]</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AUC0-last + AUC0-inf + Cmax, rule B</w:t>
            </w:r>
          </w:p>
        </w:tc>
        <w:tc>
          <w:tcPr/>
          <w:p>
            <w:pPr>
              <w:pStyle w:val="Compact"/>
              <w:jc w:val="right"/>
            </w:pPr>
            <w:r>
              <w:t xml:space="preserve">10,000</w:t>
            </w:r>
          </w:p>
        </w:tc>
        <w:tc>
          <w:tcPr/>
          <w:p>
            <w:pPr>
              <w:pStyle w:val="Compact"/>
              <w:jc w:val="right"/>
            </w:pPr>
            <w:r>
              <w:t xml:space="preserve">3.10 [2.78, 3.46]</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AUC0-last + AUC0-inf + Cmax, rule C, criteria (ii)</w:t>
            </w:r>
          </w:p>
        </w:tc>
        <w:tc>
          <w:tcPr/>
          <w:p>
            <w:pPr>
              <w:pStyle w:val="Compact"/>
              <w:jc w:val="right"/>
            </w:pPr>
            <w:r>
              <w:t xml:space="preserve">10,000</w:t>
            </w:r>
          </w:p>
        </w:tc>
        <w:tc>
          <w:tcPr/>
          <w:p>
            <w:pPr>
              <w:pStyle w:val="Compact"/>
              <w:jc w:val="right"/>
            </w:pPr>
            <w:r>
              <w:t xml:space="preserve">3.58 [3.23, 3.96]</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AUC0-inf + Cmax, rule A, criteria (ii) (guidance default as pre-specified)</w:t>
            </w:r>
          </w:p>
        </w:tc>
        <w:tc>
          <w:tcPr/>
          <w:p>
            <w:pPr>
              <w:pStyle w:val="Compact"/>
              <w:jc w:val="right"/>
            </w:pPr>
            <w:r>
              <w:t xml:space="preserve">10,000</w:t>
            </w:r>
          </w:p>
        </w:tc>
        <w:tc>
          <w:tcPr/>
          <w:p>
            <w:pPr>
              <w:pStyle w:val="Compact"/>
              <w:jc w:val="right"/>
            </w:pPr>
            <w:r>
              <w:t xml:space="preserve">10.02 [9.45, 10.62]</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AUC0-inf + Cmax, rule A, criteria (i)</w:t>
            </w:r>
          </w:p>
        </w:tc>
        <w:tc>
          <w:tcPr/>
          <w:p>
            <w:pPr>
              <w:pStyle w:val="Compact"/>
              <w:jc w:val="right"/>
            </w:pPr>
            <w:r>
              <w:t xml:space="preserve">10,000</w:t>
            </w:r>
          </w:p>
        </w:tc>
        <w:tc>
          <w:tcPr/>
          <w:p>
            <w:pPr>
              <w:pStyle w:val="Compact"/>
              <w:jc w:val="right"/>
            </w:pPr>
            <w:r>
              <w:t xml:space="preserve">4.47 [4.08, 4.89]</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AUC0-inf + Cmax, rule B</w:t>
            </w:r>
          </w:p>
        </w:tc>
        <w:tc>
          <w:tcPr/>
          <w:p>
            <w:pPr>
              <w:pStyle w:val="Compact"/>
              <w:jc w:val="right"/>
            </w:pPr>
            <w:r>
              <w:t xml:space="preserve">10,000</w:t>
            </w:r>
          </w:p>
        </w:tc>
        <w:tc>
          <w:tcPr/>
          <w:p>
            <w:pPr>
              <w:pStyle w:val="Compact"/>
              <w:jc w:val="right"/>
            </w:pPr>
            <w:r>
              <w:t xml:space="preserve">3.92 [3.56, 4.32]</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AUC0-inf + Cmax, rule C, criteria (ii)</w:t>
            </w:r>
          </w:p>
        </w:tc>
        <w:tc>
          <w:tcPr/>
          <w:p>
            <w:pPr>
              <w:pStyle w:val="Compact"/>
              <w:jc w:val="right"/>
            </w:pPr>
            <w:r>
              <w:t xml:space="preserve">10,000</w:t>
            </w:r>
          </w:p>
        </w:tc>
        <w:tc>
          <w:tcPr/>
          <w:p>
            <w:pPr>
              <w:pStyle w:val="Compact"/>
              <w:jc w:val="right"/>
            </w:pPr>
            <w:r>
              <w:t xml:space="preserve">4.17 [3.80, 4.58]</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AUC0-inf + Cmax, rule C, criteria (i)</w:t>
            </w:r>
          </w:p>
        </w:tc>
        <w:tc>
          <w:tcPr/>
          <w:p>
            <w:pPr>
              <w:pStyle w:val="Compact"/>
              <w:jc w:val="right"/>
            </w:pPr>
            <w:r>
              <w:t xml:space="preserve">10,000</w:t>
            </w:r>
          </w:p>
        </w:tc>
        <w:tc>
          <w:tcPr/>
          <w:p>
            <w:pPr>
              <w:pStyle w:val="Compact"/>
              <w:jc w:val="right"/>
            </w:pPr>
            <w:r>
              <w:t xml:space="preserve">3.70 [3.35, 4.09]</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AUC0-inf alone, rule A, criteria (ii)</w:t>
            </w:r>
          </w:p>
        </w:tc>
        <w:tc>
          <w:tcPr/>
          <w:p>
            <w:pPr>
              <w:pStyle w:val="Compact"/>
              <w:jc w:val="right"/>
            </w:pPr>
            <w:r>
              <w:t xml:space="preserve">10,000</w:t>
            </w:r>
          </w:p>
        </w:tc>
        <w:tc>
          <w:tcPr/>
          <w:p>
            <w:pPr>
              <w:pStyle w:val="Compact"/>
              <w:jc w:val="right"/>
            </w:pPr>
            <w:r>
              <w:t xml:space="preserve">10.02 [9.45, 10.62]</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AUC0-inf alone, rule A, criteria (i)</w:t>
            </w:r>
          </w:p>
        </w:tc>
        <w:tc>
          <w:tcPr/>
          <w:p>
            <w:pPr>
              <w:pStyle w:val="Compact"/>
              <w:jc w:val="right"/>
            </w:pPr>
            <w:r>
              <w:t xml:space="preserve">10,000</w:t>
            </w:r>
          </w:p>
        </w:tc>
        <w:tc>
          <w:tcPr/>
          <w:p>
            <w:pPr>
              <w:pStyle w:val="Compact"/>
              <w:jc w:val="right"/>
            </w:pPr>
            <w:r>
              <w:t xml:space="preserve">4.47 [4.08, 4.89]</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AUC0-inf alone, rule B</w:t>
            </w:r>
          </w:p>
        </w:tc>
        <w:tc>
          <w:tcPr/>
          <w:p>
            <w:pPr>
              <w:pStyle w:val="Compact"/>
              <w:jc w:val="right"/>
            </w:pPr>
            <w:r>
              <w:t xml:space="preserve">10,000</w:t>
            </w:r>
          </w:p>
        </w:tc>
        <w:tc>
          <w:tcPr/>
          <w:p>
            <w:pPr>
              <w:pStyle w:val="Compact"/>
              <w:jc w:val="right"/>
            </w:pPr>
            <w:r>
              <w:t xml:space="preserve">3.92 [3.56, 4.32]</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AUC0-inf alone, rule C, criteria (ii)</w:t>
            </w:r>
          </w:p>
        </w:tc>
        <w:tc>
          <w:tcPr/>
          <w:p>
            <w:pPr>
              <w:pStyle w:val="Compact"/>
              <w:jc w:val="right"/>
            </w:pPr>
            <w:r>
              <w:t xml:space="preserve">10,000</w:t>
            </w:r>
          </w:p>
        </w:tc>
        <w:tc>
          <w:tcPr/>
          <w:p>
            <w:pPr>
              <w:pStyle w:val="Compact"/>
              <w:jc w:val="right"/>
            </w:pPr>
            <w:r>
              <w:t xml:space="preserve">4.17 [3.80, 4.58]</w:t>
            </w:r>
          </w:p>
        </w:tc>
      </w:tr>
      <w:tr>
        <w:tc>
          <w:tcPr/>
          <w:p>
            <w:pPr>
              <w:pStyle w:val="Compact"/>
              <w:jc w:val="left"/>
            </w:pPr>
            <w:r>
              <w:t xml:space="preserve">2020 Model 1</w:t>
            </w:r>
          </w:p>
        </w:tc>
        <w:tc>
          <w:tcPr/>
          <w:p>
            <w:pPr>
              <w:pStyle w:val="Compact"/>
              <w:jc w:val="left"/>
            </w:pPr>
            <w:r>
              <w:t xml:space="preserve">ke decreased, true AUC0-inf ratio 1.25 (x0.64)</w:t>
            </w:r>
          </w:p>
        </w:tc>
        <w:tc>
          <w:tcPr/>
          <w:p>
            <w:pPr>
              <w:pStyle w:val="Compact"/>
              <w:jc w:val="left"/>
            </w:pPr>
            <w:r>
              <w:t xml:space="preserve">AUC0-inf alone, rule C, criteria (i)</w:t>
            </w:r>
          </w:p>
        </w:tc>
        <w:tc>
          <w:tcPr/>
          <w:p>
            <w:pPr>
              <w:pStyle w:val="Compact"/>
              <w:jc w:val="right"/>
            </w:pPr>
            <w:r>
              <w:t xml:space="preserve">10,000</w:t>
            </w:r>
          </w:p>
        </w:tc>
        <w:tc>
          <w:tcPr/>
          <w:p>
            <w:pPr>
              <w:pStyle w:val="Compact"/>
              <w:jc w:val="right"/>
            </w:pPr>
            <w:r>
              <w:t xml:space="preserve">3.70 [3.35, 4.09]</w:t>
            </w:r>
          </w:p>
        </w:tc>
      </w:tr>
    </w:tbl>
    <w:bookmarkEnd w:id="111"/>
    <w:bookmarkStart w:id="112" w:name="appendix-g.-traceability"/>
    <w:p>
      <w:pPr>
        <w:pStyle w:val="Heading1"/>
      </w:pPr>
      <w:r>
        <w:t xml:space="preserve">Appendix G. Traceability</w:t>
      </w:r>
    </w:p>
    <w:p>
      <w:pPr>
        <w:pStyle w:val="FirstParagraph"/>
      </w:pPr>
      <w:r>
        <w:t xml:space="preserve">Every number in this document was read from a committed file when the document was generated. For each printed value,</w:t>
      </w:r>
      <w:r>
        <w:t xml:space="preserve"> </w:t>
      </w:r>
      <w:r>
        <w:rPr>
          <w:rStyle w:val="VerbatimChar"/>
        </w:rPr>
        <w:t xml:space="preserve">regulatory/traceability.csv</w:t>
      </w:r>
      <w:r>
        <w:t xml:space="preserve"> </w:t>
      </w:r>
      <w:r>
        <w:t xml:space="preserve">gives:</w:t>
      </w:r>
    </w:p>
    <w:p>
      <w:pPr>
        <w:numPr>
          <w:ilvl w:val="0"/>
          <w:numId w:val="1052"/>
        </w:numPr>
        <w:pStyle w:val="Compact"/>
      </w:pPr>
      <w:r>
        <w:t xml:space="preserve">the section;</w:t>
      </w:r>
    </w:p>
    <w:p>
      <w:pPr>
        <w:numPr>
          <w:ilvl w:val="0"/>
          <w:numId w:val="1052"/>
        </w:numPr>
        <w:pStyle w:val="Compact"/>
      </w:pPr>
      <w:r>
        <w:t xml:space="preserve">the source file and its SHA-256;</w:t>
      </w:r>
    </w:p>
    <w:p>
      <w:pPr>
        <w:numPr>
          <w:ilvl w:val="0"/>
          <w:numId w:val="1052"/>
        </w:numPr>
        <w:pStyle w:val="Compact"/>
      </w:pPr>
      <w:r>
        <w:t xml:space="preserve">the row filter and column;</w:t>
      </w:r>
    </w:p>
    <w:p>
      <w:pPr>
        <w:numPr>
          <w:ilvl w:val="0"/>
          <w:numId w:val="1052"/>
        </w:numPr>
        <w:pStyle w:val="Compact"/>
      </w:pPr>
      <w:r>
        <w:t xml:space="preserve">the raw value and the printed value.</w:t>
      </w:r>
    </w:p>
    <w:p>
      <w:pPr>
        <w:pStyle w:val="FirstParagraph"/>
      </w:pPr>
      <w:r>
        <w:t xml:space="preserve">Tables list their source files.</w:t>
      </w:r>
      <w:r>
        <w:t xml:space="preserve"> </w:t>
      </w:r>
      <w:r>
        <w:rPr>
          <w:rStyle w:val="VerbatimChar"/>
        </w:rPr>
        <w:t xml:space="preserve">regulatory/manifest_sha256.csv</w:t>
      </w:r>
      <w:r>
        <w:t xml:space="preserve"> </w:t>
      </w:r>
      <w:r>
        <w:t xml:space="preserve">gives the SHA-256 of every program, configuration and result file of the analysis at the source commit stated under Document control.</w:t>
      </w:r>
    </w:p>
    <w:bookmarkEnd w:id="112"/>
    <w:bookmarkStart w:id="113" w:name="appendix-h.-terms-and-configurations"/>
    <w:p>
      <w:pPr>
        <w:pStyle w:val="Heading1"/>
      </w:pPr>
      <w:r>
        <w:t xml:space="preserve">Appendix H. Terms and configurations</w:t>
      </w:r>
    </w:p>
    <w:tbl>
      <w:tblPr>
        <w:tblStyle w:val="Table"/>
        <w:tblW w:type="pct" w:w="5000"/>
        <w:tblLook w:firstRow="1" w:lastRow="0" w:firstColumn="0" w:lastColumn="0" w:noHBand="0" w:noVBand="0" w:val="0020"/>
        <w:jc w:val="start"/>
      </w:tblPr>
      <w:tblGrid>
        <w:gridCol w:w="1188"/>
        <w:gridCol w:w="6732"/>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AUC0-last</w:t>
            </w:r>
          </w:p>
        </w:tc>
        <w:tc>
          <w:tcPr/>
          <w:p>
            <w:pPr>
              <w:pStyle w:val="Compact"/>
              <w:jc w:val="left"/>
            </w:pPr>
            <w:r>
              <w:t xml:space="preserve">Area under the concentration-time curve from dosing to the last quantifiable concentration (linear-up log-down); AUC0-t in FDA terminology.</w:t>
            </w:r>
          </w:p>
        </w:tc>
      </w:tr>
      <w:tr>
        <w:tc>
          <w:tcPr/>
          <w:p>
            <w:pPr>
              <w:pStyle w:val="Compact"/>
              <w:jc w:val="left"/>
            </w:pPr>
            <w:r>
              <w:t xml:space="preserve">AUC0-inf</w:t>
            </w:r>
          </w:p>
        </w:tc>
        <w:tc>
          <w:tcPr/>
          <w:p>
            <w:pPr>
              <w:pStyle w:val="Compact"/>
              <w:jc w:val="left"/>
            </w:pPr>
            <w:r>
              <w:t xml:space="preserve">AUC0-last + Clast/lambda-z (AUCINF_obs) from NCA.</w:t>
            </w:r>
          </w:p>
        </w:tc>
      </w:tr>
      <w:tr>
        <w:tc>
          <w:tcPr/>
          <w:p>
            <w:pPr>
              <w:pStyle w:val="Compact"/>
              <w:jc w:val="left"/>
            </w:pPr>
            <w:r>
              <w:t xml:space="preserve">True AUC0-inf ratio</w:t>
            </w:r>
          </w:p>
        </w:tc>
        <w:tc>
          <w:tcPr/>
          <w:p>
            <w:pPr>
              <w:pStyle w:val="Compact"/>
              <w:jc w:val="left"/>
            </w:pPr>
            <w:r>
              <w:t xml:space="preserve">Ratio of test to reference population geometric means of model-integrated AUC0-inf without residual error (200,000 common subjects).</w:t>
            </w:r>
          </w:p>
        </w:tc>
      </w:tr>
      <w:tr>
        <w:tc>
          <w:tcPr/>
          <w:p>
            <w:pPr>
              <w:pStyle w:val="Compact"/>
              <w:jc w:val="left"/>
            </w:pPr>
            <w:r>
              <w:t xml:space="preserve">Window coverage</w:t>
            </w:r>
          </w:p>
        </w:tc>
        <w:tc>
          <w:tcPr/>
          <w:p>
            <w:pPr>
              <w:pStyle w:val="Compact"/>
              <w:jc w:val="left"/>
            </w:pPr>
            <w:r>
              <w:t xml:space="preserve">True AUC from dosing to the last quantifiable sample divided by the true AUC0-inf (subject level); the only meaning of coverage in this report.</w:t>
            </w:r>
          </w:p>
        </w:tc>
      </w:tr>
      <w:tr>
        <w:tc>
          <w:tcPr/>
          <w:p>
            <w:pPr>
              <w:pStyle w:val="Compact"/>
              <w:jc w:val="left"/>
            </w:pPr>
            <w:r>
              <w:t xml:space="preserve">Observed-to-true ratio</w:t>
            </w:r>
          </w:p>
        </w:tc>
        <w:tc>
          <w:tcPr/>
          <w:p>
            <w:pPr>
              <w:pStyle w:val="Compact"/>
              <w:jc w:val="left"/>
            </w:pPr>
            <w:r>
              <w:t xml:space="preserve">Observed AUC0-last, or NCA AUC0-inf, divided by the true AUC0-inf (subject level); contains the residual error and the trapezoidal approximation.</w:t>
            </w:r>
          </w:p>
        </w:tc>
      </w:tr>
      <w:tr>
        <w:tc>
          <w:tcPr/>
          <w:p>
            <w:pPr>
              <w:pStyle w:val="Compact"/>
              <w:jc w:val="left"/>
            </w:pPr>
            <w:r>
              <w:t xml:space="preserve">Trial population</w:t>
            </w:r>
          </w:p>
        </w:tc>
        <w:tc>
          <w:tcPr/>
          <w:p>
            <w:pPr>
              <w:pStyle w:val="Compact"/>
              <w:jc w:val="left"/>
            </w:pPr>
            <w:r>
              <w:t xml:space="preserve">Healthy adults of 60 to 90 kg, randomized 1:1 within two body-weight strata (60 to 75 kg, above 75 to 90 kg); the population in which the proposal is judged.</w:t>
            </w:r>
          </w:p>
        </w:tc>
      </w:tr>
      <w:tr>
        <w:tc>
          <w:tcPr/>
          <w:p>
            <w:pPr>
              <w:pStyle w:val="Compact"/>
              <w:jc w:val="left"/>
            </w:pPr>
            <w:r>
              <w:t xml:space="preserve">Boundary type I error</w:t>
            </w:r>
          </w:p>
        </w:tc>
        <w:tc>
          <w:tcPr/>
          <w:p>
            <w:pPr>
              <w:pStyle w:val="Compact"/>
              <w:jc w:val="left"/>
            </w:pPr>
            <w:r>
              <w:t xml:space="preserve">Proportion of simulated trials concluding similarity when the true AUC0-inf ratio is 0.80 or 1.25.</w:t>
            </w:r>
          </w:p>
        </w:tc>
      </w:tr>
      <w:tr>
        <w:tc>
          <w:tcPr/>
          <w:p>
            <w:pPr>
              <w:pStyle w:val="Compact"/>
              <w:jc w:val="left"/>
            </w:pPr>
            <w:r>
              <w:t xml:space="preserve">Conservative / nominal / exceeding</w:t>
            </w:r>
          </w:p>
        </w:tc>
        <w:tc>
          <w:tcPr/>
          <w:p>
            <w:pPr>
              <w:pStyle w:val="Compact"/>
              <w:jc w:val="left"/>
            </w:pPr>
            <w:r>
              <w:t xml:space="preserve">Wilson 95% interval of the boundary type I error entirely below 5% / including 5% / entirely above 5%.</w:t>
            </w:r>
          </w:p>
        </w:tc>
      </w:tr>
      <w:tr>
        <w:tc>
          <w:tcPr/>
          <w:p>
            <w:pPr>
              <w:pStyle w:val="Compact"/>
              <w:jc w:val="left"/>
            </w:pPr>
            <w:r>
              <w:t xml:space="preserve">Criteria set (i) / (ii) / (iii) / (iv)</w:t>
            </w:r>
          </w:p>
        </w:tc>
        <w:tc>
          <w:tcPr/>
          <w:p>
            <w:pPr>
              <w:pStyle w:val="Compact"/>
              <w:jc w:val="left"/>
            </w:pPr>
            <w:r>
              <w:t xml:space="preserve">All require an estimable lambda-z and extrapolation at most 20%. (i) adjusted R-squared at least 0.80; (ii) = (i) and span ratio at least 2; (iii) adjusted R-squared at least 0.90; (iv) = (iii) and span ratio at least 3.</w:t>
            </w:r>
          </w:p>
        </w:tc>
      </w:tr>
      <w:tr>
        <w:tc>
          <w:tcPr/>
          <w:p>
            <w:pPr>
              <w:pStyle w:val="Compact"/>
              <w:jc w:val="left"/>
            </w:pPr>
            <w:r>
              <w:t xml:space="preserve">Rule A / B / C</w:t>
            </w:r>
          </w:p>
        </w:tc>
        <w:tc>
          <w:tcPr/>
          <w:p>
            <w:pPr>
              <w:pStyle w:val="Compact"/>
              <w:jc w:val="left"/>
            </w:pPr>
            <w:r>
              <w:t xml:space="preserve">Handling of subjects failing the criteria: A exclude; B include all with lambda-z; C substitute AUC0-last.</w:t>
            </w:r>
          </w:p>
        </w:tc>
      </w:tr>
      <w:tr>
        <w:tc>
          <w:tcPr/>
          <w:p>
            <w:pPr>
              <w:pStyle w:val="Compact"/>
              <w:jc w:val="left"/>
            </w:pPr>
            <w:r>
              <w:t xml:space="preserve">Common random numbers</w:t>
            </w:r>
          </w:p>
        </w:tc>
        <w:tc>
          <w:tcPr/>
          <w:p>
            <w:pPr>
              <w:pStyle w:val="Compact"/>
              <w:jc w:val="left"/>
            </w:pPr>
            <w:r>
              <w:t xml:space="preserve">The same virtual subjects, allocation, sampling-time deviations and residual errors are used across scenarios and schedules within a trial.</w:t>
            </w:r>
          </w:p>
        </w:tc>
      </w:tr>
      <w:tr>
        <w:tc>
          <w:tcPr/>
          <w:p>
            <w:pPr>
              <w:pStyle w:val="Compact"/>
              <w:jc w:val="left"/>
            </w:pPr>
            <w:r>
              <w:t xml:space="preserve">Cliff</w:t>
            </w:r>
          </w:p>
        </w:tc>
        <w:tc>
          <w:tcPr/>
          <w:p>
            <w:pPr>
              <w:pStyle w:val="Compact"/>
              <w:jc w:val="left"/>
            </w:pPr>
            <w:r>
              <w:t xml:space="preserve">From the first time after tmax at which the instantaneous half-life falls below 1 day until the true concentration reaches the LLOQ.</w:t>
            </w:r>
          </w:p>
        </w:tc>
      </w:tr>
      <w:tr>
        <w:tc>
          <w:tcPr/>
          <w:p>
            <w:pPr>
              <w:pStyle w:val="Compact"/>
              <w:jc w:val="left"/>
            </w:pPr>
            <w:r>
              <w:t xml:space="preserve">Planned schedule</w:t>
            </w:r>
          </w:p>
        </w:tc>
        <w:tc>
          <w:tcPr/>
          <w:p>
            <w:pPr>
              <w:pStyle w:val="Compact"/>
              <w:jc w:val="left"/>
            </w:pPr>
            <w:r>
              <w:t xml:space="preserve">Pre-dose and study Days 1, 2, 4, 6, 8, 11, 15, 22, 29, 36, 43, 50 and 57.</w:t>
            </w:r>
          </w:p>
        </w:tc>
      </w:tr>
    </w:tbl>
    <w:bookmarkEnd w:id="113"/>
    <w:bookmarkStart w:id="120" w:name="Xb617f2c8751f173083f2b8e31041645d23ac7f6"/>
    <w:p>
      <w:pPr>
        <w:pStyle w:val="Heading1"/>
      </w:pPr>
      <w:r>
        <w:t xml:space="preserve">Appendix I. Robustness across body weight</w:t>
      </w:r>
    </w:p>
    <w:p>
      <w:pPr>
        <w:pStyle w:val="FirstParagraph"/>
      </w:pPr>
      <w:r>
        <w:t xml:space="preserve">These analyses are not part of the evidence for the endpoint proposal, which rests on the trial population (healthy adults of 60 to 90 kg, randomization stratified by body weight; Sections 5.2 to 5.4). They check whether the conclusions change when body weight extends beyond the study range.</w:t>
      </w:r>
    </w:p>
    <w:p>
      <w:pPr>
        <w:pStyle w:val="BodyText"/>
      </w:pPr>
      <w:r>
        <w:rPr>
          <w:bCs/>
          <w:b/>
        </w:rPr>
        <w:t xml:space="preserve">Methods.</w:t>
      </w:r>
    </w:p>
    <w:p>
      <w:pPr>
        <w:numPr>
          <w:ilvl w:val="0"/>
          <w:numId w:val="1053"/>
        </w:numPr>
        <w:pStyle w:val="Compact"/>
      </w:pPr>
      <w:r>
        <w:t xml:space="preserve">Uniform body-weight bands from 40 to 150 kg (primary model, 20,000 subjects per band) and a population with body weight normal, mean 100 kg, SD 20 kg, truncated to 60 to 150 kg (2,000 trials of 117 subjects per arm; version 1.0).</w:t>
      </w:r>
    </w:p>
    <w:p>
      <w:pPr>
        <w:numPr>
          <w:ilvl w:val="0"/>
          <w:numId w:val="1053"/>
        </w:numPr>
        <w:pStyle w:val="Compact"/>
      </w:pPr>
      <w:r>
        <w:t xml:space="preserve">An adult atopic dermatitis body-weight distribution: lognormal, mean 78 kg, SD 19 kg, truncated to 40 to 180 kg, a placeholder based on Kamal 2022 (phase 2b, 379 adults with atopic dermatitis: mean body weight 74.0 to 80.6 kg by dose group, mean BMI 25.4 to 27.3 kg/m2), Kovalenko 2021 (adult phase 3 population PK data: BMI SD 5.47 kg/m2) and NCT03389893 (71 adults with atopic dermatitis: body weight 80.2 kg, SD 19.0; height 172.5 cm, SD 10.4; BMI 26.9 kg/m2, SD 5.45), with sensitivity distributions of mean 80 kg (SD 19 kg) and mean 75 kg (SD 18 kg). Height (for BMI) is normal, mean 172 cm, SD 10 cm, truncated to 150 to 200 cm, drawn independently of weight. Model variants: the 2016 model, 2020 Model 1, and the 2016 model with the adult phase 3 covariates of Kovalenko 2020 (linear elimination on BMI, exponent 0.368 at a reference BMI of 26 kg/m2; central volume on body weight, exponent 0.817; Kovalenko 2020 Table 3 and Supplementary Table 3, Model 4). 20,000 subjects per variant and distribution; trials of 117 subjects per arm, 2,000 per scenario, randomization strata 40 to 75 kg and above 75 to 180 kg. Pre-registered in</w:t>
      </w:r>
      <w:r>
        <w:t xml:space="preserve"> </w:t>
      </w:r>
      <w:r>
        <w:rPr>
          <w:rStyle w:val="VerbatimChar"/>
        </w:rPr>
        <w:t xml:space="preserve">config/prereg_20260926.yaml</w:t>
      </w:r>
      <w:r>
        <w:t xml:space="preserve"> </w:t>
      </w:r>
      <w:r>
        <w:t xml:space="preserve">section 5 (Appendix D); reclassified as a robustness check by the sponsor before the trial-population analyses were run (section 6).</w:t>
      </w:r>
    </w:p>
    <w:p>
      <w:pPr>
        <w:numPr>
          <w:ilvl w:val="0"/>
          <w:numId w:val="1053"/>
        </w:numPr>
        <w:pStyle w:val="Compact"/>
      </w:pPr>
      <w:r>
        <w:t xml:space="preserve">Height drawn independently of weight overstates the BMI SD (7.17 kg/m2 against 5.45 kg/m2 in NCT03389893). With the weight-height correlation implied by NCT03389893 (0.51), the BMI SD is 5.48 kg/m2, and the failure share of the BMI-covariate variant changes from 15.34% to 15.23% under set (i) and from 39.76% to 39.82% under set (iii) (exploratory, not pre-registered; the other two variants do not use BMI).</w:t>
      </w:r>
    </w:p>
    <w:p>
      <w:pPr>
        <w:pStyle w:val="FirstParagraph"/>
      </w:pPr>
      <w:r>
        <w:rPr>
          <w:bCs/>
          <w:b/>
        </w:rPr>
        <w:t xml:space="preserve">Adult atopic dermatitis body-weight distribution.</w:t>
      </w:r>
      <w:r>
        <w:t xml:space="preserve"> </w:t>
      </w:r>
      <w:r>
        <w:t xml:space="preserve">The distribution (methods above) places 40.4% of patients outside the study range of 60 to 90 kg: 16.2% below 60 kg, 24.2% above 90 kg and 12.9% above 100 kg (20,000 simulated patients; mean 78.3 kg, SD 18.9 kg). Before truncation, the shares are 16.5%, 23.7% and 12.4%, equal to an independent calculation (16.5%, 23.7% and 12.4%) within 0.03 percentage points. The sensitivity distributions place 39.6% to 39.8% outside 60 to 90 kg (Figure I-1).</w:t>
      </w:r>
    </w:p>
    <w:p>
      <w:pPr>
        <w:pStyle w:val="CaptionedFigure"/>
      </w:pPr>
      <w:r>
        <w:drawing>
          <wp:inline>
            <wp:extent cx="5334000" cy="3000375"/>
            <wp:effectExtent b="0" l="0" r="0" t="0"/>
            <wp:docPr descr="Figure I-1. Adult atopic dermatitis body weight distributions (lognormal, truncated 40 to 180 kg): primary (mean 78 kg, SD 19 kg) and sensitivity distributions, with the study inclusion range shaded; histogram of 20,000 simulated patients from the primary distribution. Analysis figure results/atopic/fig_atopic_weight.png." title="" id="115" name="Picture"/>
            <a:graphic>
              <a:graphicData uri="http://schemas.openxmlformats.org/drawingml/2006/picture">
                <pic:pic>
                  <pic:nvPicPr>
                    <pic:cNvPr descr="../../results/atopic/fig_atopic_weight.png" id="116" name="Picture"/>
                    <pic:cNvPicPr>
                      <a:picLocks noChangeArrowheads="1" noChangeAspect="1"/>
                    </pic:cNvPicPr>
                  </pic:nvPicPr>
                  <pic:blipFill>
                    <a:blip r:embed="rId1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I-1. Adult atopic dermatitis body weight distributions (lognormal, truncated 40 to 180 kg): primary (mean 78 kg, SD 19 kg) and sensitivity distributions, with the study inclusion range shaded; histogram of 20,000 simulated patients from the primary distribution. Analysis figure results/atopic/fig_atopic_weight.png.</w:t>
      </w:r>
    </w:p>
    <w:p>
      <w:pPr>
        <w:pStyle w:val="TableCaption"/>
      </w:pPr>
      <w:r>
        <w:t xml:space="preserve">Table I-1. Adult atopic dermatitis population by body weight band (primary weight distribution, planned schedule, 300 mg, 20,000 patients per model): coverage of total exposure and share without a reliable AUC0-inf (Wilson 95% interval).</w:t>
      </w:r>
    </w:p>
    <w:tbl>
      <w:tblPr>
        <w:tblStyle w:val="Table"/>
        <w:tblW w:type="pct" w:w="5000"/>
        <w:tblLook w:firstRow="1" w:lastRow="0" w:firstColumn="0" w:lastColumn="0" w:noHBand="0" w:noVBand="0" w:val="0020"/>
        <w:jc w:val="start"/>
        <w:tblCaption w:val="Table I-1. Adult atopic dermatitis population by body weight band (primary weight distribution, planned schedule, 300 mg, 20,000 patients per model): coverage of total exposure and share without a reliable AUC0-inf (Wilson 95% interval)."/>
      </w:tblPr>
      <w:tblGrid>
        <w:gridCol w:w="1372"/>
        <w:gridCol w:w="744"/>
        <w:gridCol w:w="901"/>
        <w:gridCol w:w="1489"/>
        <w:gridCol w:w="1137"/>
        <w:gridCol w:w="1097"/>
        <w:gridCol w:w="1176"/>
      </w:tblGrid>
      <w:tr>
        <w:trPr>
          <w:tblHeader w:val="true"/>
        </w:trPr>
        <w:tc>
          <w:tcPr/>
          <w:p>
            <w:pPr>
              <w:pStyle w:val="Compact"/>
              <w:jc w:val="left"/>
            </w:pPr>
            <w:r>
              <w:t xml:space="preserve">Model</w:t>
            </w:r>
          </w:p>
        </w:tc>
        <w:tc>
          <w:tcPr/>
          <w:p>
            <w:pPr>
              <w:pStyle w:val="Compact"/>
              <w:jc w:val="left"/>
            </w:pPr>
            <w:r>
              <w:t xml:space="preserve">Body weight</w:t>
            </w:r>
          </w:p>
        </w:tc>
        <w:tc>
          <w:tcPr/>
          <w:p>
            <w:pPr>
              <w:pStyle w:val="Compact"/>
              <w:jc w:val="right"/>
            </w:pPr>
            <w:r>
              <w:t xml:space="preserve">Share of population, %</w:t>
            </w:r>
          </w:p>
        </w:tc>
        <w:tc>
          <w:tcPr/>
          <w:p>
            <w:pPr>
              <w:pStyle w:val="Compact"/>
              <w:jc w:val="right"/>
            </w:pPr>
            <w:r>
              <w:t xml:space="preserve">True extrapolated %, median (maximum)</w:t>
            </w:r>
          </w:p>
        </w:tc>
        <w:tc>
          <w:tcPr/>
          <w:p>
            <w:pPr>
              <w:pStyle w:val="Compact"/>
              <w:jc w:val="right"/>
            </w:pPr>
            <w:r>
              <w:t xml:space="preserve">Window coverage below 80%, %</w:t>
            </w:r>
          </w:p>
        </w:tc>
        <w:tc>
          <w:tcPr/>
          <w:p>
            <w:pPr>
              <w:pStyle w:val="Compact"/>
              <w:jc w:val="right"/>
            </w:pPr>
            <w:r>
              <w:t xml:space="preserve">Failing set (i), % [95% CI]</w:t>
            </w:r>
          </w:p>
        </w:tc>
        <w:tc>
          <w:tcPr/>
          <w:p>
            <w:pPr>
              <w:pStyle w:val="Compact"/>
              <w:jc w:val="right"/>
            </w:pPr>
            <w:r>
              <w:t xml:space="preserve">Failing set (iii), % [95% CI]</w:t>
            </w:r>
          </w:p>
        </w:tc>
      </w:tr>
      <w:tr>
        <w:tc>
          <w:tcPr/>
          <w:p>
            <w:pPr>
              <w:pStyle w:val="Compact"/>
              <w:jc w:val="left"/>
            </w:pPr>
            <w:r>
              <w:t xml:space="preserve">2016 model</w:t>
            </w:r>
          </w:p>
        </w:tc>
        <w:tc>
          <w:tcPr/>
          <w:p>
            <w:pPr>
              <w:pStyle w:val="Compact"/>
              <w:jc w:val="left"/>
            </w:pPr>
            <w:r>
              <w:t xml:space="preserve">below 60 kg</w:t>
            </w:r>
          </w:p>
        </w:tc>
        <w:tc>
          <w:tcPr/>
          <w:p>
            <w:pPr>
              <w:pStyle w:val="Compact"/>
              <w:jc w:val="right"/>
            </w:pPr>
            <w:r>
              <w:t xml:space="preserve">16.2</w:t>
            </w:r>
          </w:p>
        </w:tc>
        <w:tc>
          <w:tcPr/>
          <w:p>
            <w:pPr>
              <w:pStyle w:val="Compact"/>
              <w:jc w:val="right"/>
            </w:pPr>
            <w:r>
              <w:t xml:space="preserve">0.53 (16.8)</w:t>
            </w:r>
          </w:p>
        </w:tc>
        <w:tc>
          <w:tcPr/>
          <w:p>
            <w:pPr>
              <w:pStyle w:val="Compact"/>
              <w:jc w:val="right"/>
            </w:pPr>
            <w:r>
              <w:t xml:space="preserve">0.00</w:t>
            </w:r>
          </w:p>
        </w:tc>
        <w:tc>
          <w:tcPr/>
          <w:p>
            <w:pPr>
              <w:pStyle w:val="Compact"/>
              <w:jc w:val="right"/>
            </w:pPr>
            <w:r>
              <w:t xml:space="preserve">9.7 [8.7, 10.8]</w:t>
            </w:r>
          </w:p>
        </w:tc>
        <w:tc>
          <w:tcPr/>
          <w:p>
            <w:pPr>
              <w:pStyle w:val="Compact"/>
              <w:jc w:val="right"/>
            </w:pPr>
            <w:r>
              <w:t xml:space="preserve">33.9 [32.3, 35.5]</w:t>
            </w:r>
          </w:p>
        </w:tc>
      </w:tr>
      <w:tr>
        <w:tc>
          <w:tcPr/>
          <w:p>
            <w:pPr>
              <w:pStyle w:val="Compact"/>
              <w:jc w:val="left"/>
            </w:pPr>
            <w:r>
              <w:t xml:space="preserve">2016 model</w:t>
            </w:r>
          </w:p>
        </w:tc>
        <w:tc>
          <w:tcPr/>
          <w:p>
            <w:pPr>
              <w:pStyle w:val="Compact"/>
              <w:jc w:val="left"/>
            </w:pPr>
            <w:r>
              <w:t xml:space="preserve">60 to 90 kg</w:t>
            </w:r>
          </w:p>
        </w:tc>
        <w:tc>
          <w:tcPr/>
          <w:p>
            <w:pPr>
              <w:pStyle w:val="Compact"/>
              <w:jc w:val="right"/>
            </w:pPr>
            <w:r>
              <w:t xml:space="preserve">59.6</w:t>
            </w:r>
          </w:p>
        </w:tc>
        <w:tc>
          <w:tcPr/>
          <w:p>
            <w:pPr>
              <w:pStyle w:val="Compact"/>
              <w:jc w:val="right"/>
            </w:pPr>
            <w:r>
              <w:t xml:space="preserve">0.66 (15.1)</w:t>
            </w:r>
          </w:p>
        </w:tc>
        <w:tc>
          <w:tcPr/>
          <w:p>
            <w:pPr>
              <w:pStyle w:val="Compact"/>
              <w:jc w:val="right"/>
            </w:pPr>
            <w:r>
              <w:t xml:space="preserve">0.00</w:t>
            </w:r>
          </w:p>
        </w:tc>
        <w:tc>
          <w:tcPr/>
          <w:p>
            <w:pPr>
              <w:pStyle w:val="Compact"/>
              <w:jc w:val="right"/>
            </w:pPr>
            <w:r>
              <w:t xml:space="preserve">13.8 [13.2, 14.4]</w:t>
            </w:r>
          </w:p>
        </w:tc>
        <w:tc>
          <w:tcPr/>
          <w:p>
            <w:pPr>
              <w:pStyle w:val="Compact"/>
              <w:jc w:val="right"/>
            </w:pPr>
            <w:r>
              <w:t xml:space="preserve">38.8 [37.9, 39.6]</w:t>
            </w:r>
          </w:p>
        </w:tc>
      </w:tr>
      <w:tr>
        <w:tc>
          <w:tcPr/>
          <w:p>
            <w:pPr>
              <w:pStyle w:val="Compact"/>
              <w:jc w:val="left"/>
            </w:pPr>
            <w:r>
              <w:t xml:space="preserve">2016 model</w:t>
            </w:r>
          </w:p>
        </w:tc>
        <w:tc>
          <w:tcPr/>
          <w:p>
            <w:pPr>
              <w:pStyle w:val="Compact"/>
              <w:jc w:val="left"/>
            </w:pPr>
            <w:r>
              <w:t xml:space="preserve">above 90 to 100 kg</w:t>
            </w:r>
          </w:p>
        </w:tc>
        <w:tc>
          <w:tcPr/>
          <w:p>
            <w:pPr>
              <w:pStyle w:val="Compact"/>
              <w:jc w:val="right"/>
            </w:pPr>
            <w:r>
              <w:t xml:space="preserve">11.3</w:t>
            </w:r>
          </w:p>
        </w:tc>
        <w:tc>
          <w:tcPr/>
          <w:p>
            <w:pPr>
              <w:pStyle w:val="Compact"/>
              <w:jc w:val="right"/>
            </w:pPr>
            <w:r>
              <w:t xml:space="preserve">0.87 (18.6)</w:t>
            </w:r>
          </w:p>
        </w:tc>
        <w:tc>
          <w:tcPr/>
          <w:p>
            <w:pPr>
              <w:pStyle w:val="Compact"/>
              <w:jc w:val="right"/>
            </w:pPr>
            <w:r>
              <w:t xml:space="preserve">0.00</w:t>
            </w:r>
          </w:p>
        </w:tc>
        <w:tc>
          <w:tcPr/>
          <w:p>
            <w:pPr>
              <w:pStyle w:val="Compact"/>
              <w:jc w:val="right"/>
            </w:pPr>
            <w:r>
              <w:t xml:space="preserve">18.5 [16.9, 20.1]</w:t>
            </w:r>
          </w:p>
        </w:tc>
        <w:tc>
          <w:tcPr/>
          <w:p>
            <w:pPr>
              <w:pStyle w:val="Compact"/>
              <w:jc w:val="right"/>
            </w:pPr>
            <w:r>
              <w:t xml:space="preserve">42.0 [40.0, 44.0]</w:t>
            </w:r>
          </w:p>
        </w:tc>
      </w:tr>
      <w:tr>
        <w:tc>
          <w:tcPr/>
          <w:p>
            <w:pPr>
              <w:pStyle w:val="Compact"/>
              <w:jc w:val="left"/>
            </w:pPr>
            <w:r>
              <w:t xml:space="preserve">2016 model</w:t>
            </w:r>
          </w:p>
        </w:tc>
        <w:tc>
          <w:tcPr/>
          <w:p>
            <w:pPr>
              <w:pStyle w:val="Compact"/>
              <w:jc w:val="left"/>
            </w:pPr>
            <w:r>
              <w:t xml:space="preserve">above 100 kg</w:t>
            </w:r>
          </w:p>
        </w:tc>
        <w:tc>
          <w:tcPr/>
          <w:p>
            <w:pPr>
              <w:pStyle w:val="Compact"/>
              <w:jc w:val="right"/>
            </w:pPr>
            <w:r>
              <w:t xml:space="preserve">12.9</w:t>
            </w:r>
          </w:p>
        </w:tc>
        <w:tc>
          <w:tcPr/>
          <w:p>
            <w:pPr>
              <w:pStyle w:val="Compact"/>
              <w:jc w:val="right"/>
            </w:pPr>
            <w:r>
              <w:t xml:space="preserve">1.11 (13.9)</w:t>
            </w:r>
          </w:p>
        </w:tc>
        <w:tc>
          <w:tcPr/>
          <w:p>
            <w:pPr>
              <w:pStyle w:val="Compact"/>
              <w:jc w:val="right"/>
            </w:pPr>
            <w:r>
              <w:t xml:space="preserve">0.00</w:t>
            </w:r>
          </w:p>
        </w:tc>
        <w:tc>
          <w:tcPr/>
          <w:p>
            <w:pPr>
              <w:pStyle w:val="Compact"/>
              <w:jc w:val="right"/>
            </w:pPr>
            <w:r>
              <w:t xml:space="preserve">23.6 [22.0, 25.3]</w:t>
            </w:r>
          </w:p>
        </w:tc>
        <w:tc>
          <w:tcPr/>
          <w:p>
            <w:pPr>
              <w:pStyle w:val="Compact"/>
              <w:jc w:val="right"/>
            </w:pPr>
            <w:r>
              <w:t xml:space="preserve">47.5 [45.5, 49.4]</w:t>
            </w:r>
          </w:p>
        </w:tc>
      </w:tr>
      <w:tr>
        <w:tc>
          <w:tcPr/>
          <w:p>
            <w:pPr>
              <w:pStyle w:val="Compact"/>
              <w:jc w:val="left"/>
            </w:pPr>
            <w:r>
              <w:t xml:space="preserve">2016 model</w:t>
            </w:r>
          </w:p>
        </w:tc>
        <w:tc>
          <w:tcPr/>
          <w:p>
            <w:pPr>
              <w:pStyle w:val="Compact"/>
              <w:jc w:val="left"/>
            </w:pPr>
            <w:r>
              <w:t xml:space="preserve">all</w:t>
            </w:r>
          </w:p>
        </w:tc>
        <w:tc>
          <w:tcPr/>
          <w:p>
            <w:pPr>
              <w:pStyle w:val="Compact"/>
              <w:jc w:val="right"/>
            </w:pPr>
            <w:r>
              <w:t xml:space="preserve">100.0</w:t>
            </w:r>
          </w:p>
        </w:tc>
        <w:tc>
          <w:tcPr/>
          <w:p>
            <w:pPr>
              <w:pStyle w:val="Compact"/>
              <w:jc w:val="right"/>
            </w:pPr>
            <w:r>
              <w:t xml:space="preserve">0.69 (18.6)</w:t>
            </w:r>
          </w:p>
        </w:tc>
        <w:tc>
          <w:tcPr/>
          <w:p>
            <w:pPr>
              <w:pStyle w:val="Compact"/>
              <w:jc w:val="right"/>
            </w:pPr>
            <w:r>
              <w:t xml:space="preserve">0.00</w:t>
            </w:r>
          </w:p>
        </w:tc>
        <w:tc>
          <w:tcPr/>
          <w:p>
            <w:pPr>
              <w:pStyle w:val="Compact"/>
              <w:jc w:val="right"/>
            </w:pPr>
            <w:r>
              <w:t xml:space="preserve">14.9 [14.4, 15.4]</w:t>
            </w:r>
          </w:p>
        </w:tc>
        <w:tc>
          <w:tcPr/>
          <w:p>
            <w:pPr>
              <w:pStyle w:val="Compact"/>
              <w:jc w:val="right"/>
            </w:pPr>
            <w:r>
              <w:t xml:space="preserve">39.5 [38.8, 40.1]</w:t>
            </w:r>
          </w:p>
        </w:tc>
      </w:tr>
      <w:tr>
        <w:tc>
          <w:tcPr/>
          <w:p>
            <w:pPr>
              <w:pStyle w:val="Compact"/>
              <w:jc w:val="left"/>
            </w:pPr>
            <w:r>
              <w:t xml:space="preserve">2020 Model 1</w:t>
            </w:r>
          </w:p>
        </w:tc>
        <w:tc>
          <w:tcPr/>
          <w:p>
            <w:pPr>
              <w:pStyle w:val="Compact"/>
              <w:jc w:val="left"/>
            </w:pPr>
            <w:r>
              <w:t xml:space="preserve">below 60 kg</w:t>
            </w:r>
          </w:p>
        </w:tc>
        <w:tc>
          <w:tcPr/>
          <w:p>
            <w:pPr>
              <w:pStyle w:val="Compact"/>
              <w:jc w:val="right"/>
            </w:pPr>
            <w:r>
              <w:t xml:space="preserve">16.2</w:t>
            </w:r>
          </w:p>
        </w:tc>
        <w:tc>
          <w:tcPr/>
          <w:p>
            <w:pPr>
              <w:pStyle w:val="Compact"/>
              <w:jc w:val="right"/>
            </w:pPr>
            <w:r>
              <w:t xml:space="preserve">0.53 (16.9)</w:t>
            </w:r>
          </w:p>
        </w:tc>
        <w:tc>
          <w:tcPr/>
          <w:p>
            <w:pPr>
              <w:pStyle w:val="Compact"/>
              <w:jc w:val="right"/>
            </w:pPr>
            <w:r>
              <w:t xml:space="preserve">0.00</w:t>
            </w:r>
          </w:p>
        </w:tc>
        <w:tc>
          <w:tcPr/>
          <w:p>
            <w:pPr>
              <w:pStyle w:val="Compact"/>
              <w:jc w:val="right"/>
            </w:pPr>
            <w:r>
              <w:t xml:space="preserve">5.9 [5.1, 6.7]</w:t>
            </w:r>
          </w:p>
        </w:tc>
        <w:tc>
          <w:tcPr/>
          <w:p>
            <w:pPr>
              <w:pStyle w:val="Compact"/>
              <w:jc w:val="right"/>
            </w:pPr>
            <w:r>
              <w:t xml:space="preserve">28.5 [27.0, 30.1]</w:t>
            </w:r>
          </w:p>
        </w:tc>
      </w:tr>
      <w:tr>
        <w:tc>
          <w:tcPr/>
          <w:p>
            <w:pPr>
              <w:pStyle w:val="Compact"/>
              <w:jc w:val="left"/>
            </w:pPr>
            <w:r>
              <w:t xml:space="preserve">2020 Model 1</w:t>
            </w:r>
          </w:p>
        </w:tc>
        <w:tc>
          <w:tcPr/>
          <w:p>
            <w:pPr>
              <w:pStyle w:val="Compact"/>
              <w:jc w:val="left"/>
            </w:pPr>
            <w:r>
              <w:t xml:space="preserve">60 to 90 kg</w:t>
            </w:r>
          </w:p>
        </w:tc>
        <w:tc>
          <w:tcPr/>
          <w:p>
            <w:pPr>
              <w:pStyle w:val="Compact"/>
              <w:jc w:val="right"/>
            </w:pPr>
            <w:r>
              <w:t xml:space="preserve">59.6</w:t>
            </w:r>
          </w:p>
        </w:tc>
        <w:tc>
          <w:tcPr/>
          <w:p>
            <w:pPr>
              <w:pStyle w:val="Compact"/>
              <w:jc w:val="right"/>
            </w:pPr>
            <w:r>
              <w:t xml:space="preserve">0.65 (14.7)</w:t>
            </w:r>
          </w:p>
        </w:tc>
        <w:tc>
          <w:tcPr/>
          <w:p>
            <w:pPr>
              <w:pStyle w:val="Compact"/>
              <w:jc w:val="right"/>
            </w:pPr>
            <w:r>
              <w:t xml:space="preserve">0.00</w:t>
            </w:r>
          </w:p>
        </w:tc>
        <w:tc>
          <w:tcPr/>
          <w:p>
            <w:pPr>
              <w:pStyle w:val="Compact"/>
              <w:jc w:val="right"/>
            </w:pPr>
            <w:r>
              <w:t xml:space="preserve">8.2 [7.7, 8.7]</w:t>
            </w:r>
          </w:p>
        </w:tc>
        <w:tc>
          <w:tcPr/>
          <w:p>
            <w:pPr>
              <w:pStyle w:val="Compact"/>
              <w:jc w:val="right"/>
            </w:pPr>
            <w:r>
              <w:t xml:space="preserve">33.2 [32.4, 34.1]</w:t>
            </w:r>
          </w:p>
        </w:tc>
      </w:tr>
      <w:tr>
        <w:tc>
          <w:tcPr/>
          <w:p>
            <w:pPr>
              <w:pStyle w:val="Compact"/>
              <w:jc w:val="left"/>
            </w:pPr>
            <w:r>
              <w:t xml:space="preserve">2020 Model 1</w:t>
            </w:r>
          </w:p>
        </w:tc>
        <w:tc>
          <w:tcPr/>
          <w:p>
            <w:pPr>
              <w:pStyle w:val="Compact"/>
              <w:jc w:val="left"/>
            </w:pPr>
            <w:r>
              <w:t xml:space="preserve">above 90 to 100 kg</w:t>
            </w:r>
          </w:p>
        </w:tc>
        <w:tc>
          <w:tcPr/>
          <w:p>
            <w:pPr>
              <w:pStyle w:val="Compact"/>
              <w:jc w:val="right"/>
            </w:pPr>
            <w:r>
              <w:t xml:space="preserve">11.3</w:t>
            </w:r>
          </w:p>
        </w:tc>
        <w:tc>
          <w:tcPr/>
          <w:p>
            <w:pPr>
              <w:pStyle w:val="Compact"/>
              <w:jc w:val="right"/>
            </w:pPr>
            <w:r>
              <w:t xml:space="preserve">0.82 (19.2)</w:t>
            </w:r>
          </w:p>
        </w:tc>
        <w:tc>
          <w:tcPr/>
          <w:p>
            <w:pPr>
              <w:pStyle w:val="Compact"/>
              <w:jc w:val="right"/>
            </w:pPr>
            <w:r>
              <w:t xml:space="preserve">0.00</w:t>
            </w:r>
          </w:p>
        </w:tc>
        <w:tc>
          <w:tcPr/>
          <w:p>
            <w:pPr>
              <w:pStyle w:val="Compact"/>
              <w:jc w:val="right"/>
            </w:pPr>
            <w:r>
              <w:t xml:space="preserve">11.3 [10.1, 12.7]</w:t>
            </w:r>
          </w:p>
        </w:tc>
        <w:tc>
          <w:tcPr/>
          <w:p>
            <w:pPr>
              <w:pStyle w:val="Compact"/>
              <w:jc w:val="right"/>
            </w:pPr>
            <w:r>
              <w:t xml:space="preserve">36.4 [34.5, 38.4]</w:t>
            </w:r>
          </w:p>
        </w:tc>
      </w:tr>
      <w:tr>
        <w:tc>
          <w:tcPr/>
          <w:p>
            <w:pPr>
              <w:pStyle w:val="Compact"/>
              <w:jc w:val="left"/>
            </w:pPr>
            <w:r>
              <w:t xml:space="preserve">2020 Model 1</w:t>
            </w:r>
          </w:p>
        </w:tc>
        <w:tc>
          <w:tcPr/>
          <w:p>
            <w:pPr>
              <w:pStyle w:val="Compact"/>
              <w:jc w:val="left"/>
            </w:pPr>
            <w:r>
              <w:t xml:space="preserve">above 100 kg</w:t>
            </w:r>
          </w:p>
        </w:tc>
        <w:tc>
          <w:tcPr/>
          <w:p>
            <w:pPr>
              <w:pStyle w:val="Compact"/>
              <w:jc w:val="right"/>
            </w:pPr>
            <w:r>
              <w:t xml:space="preserve">12.9</w:t>
            </w:r>
          </w:p>
        </w:tc>
        <w:tc>
          <w:tcPr/>
          <w:p>
            <w:pPr>
              <w:pStyle w:val="Compact"/>
              <w:jc w:val="right"/>
            </w:pPr>
            <w:r>
              <w:t xml:space="preserve">0.97 (18.8)</w:t>
            </w:r>
          </w:p>
        </w:tc>
        <w:tc>
          <w:tcPr/>
          <w:p>
            <w:pPr>
              <w:pStyle w:val="Compact"/>
              <w:jc w:val="right"/>
            </w:pPr>
            <w:r>
              <w:t xml:space="preserve">0.00</w:t>
            </w:r>
          </w:p>
        </w:tc>
        <w:tc>
          <w:tcPr/>
          <w:p>
            <w:pPr>
              <w:pStyle w:val="Compact"/>
              <w:jc w:val="right"/>
            </w:pPr>
            <w:r>
              <w:t xml:space="preserve">13.6 [12.3, 15.0]</w:t>
            </w:r>
          </w:p>
        </w:tc>
        <w:tc>
          <w:tcPr/>
          <w:p>
            <w:pPr>
              <w:pStyle w:val="Compact"/>
              <w:jc w:val="right"/>
            </w:pPr>
            <w:r>
              <w:t xml:space="preserve">39.3 [37.5, 41.2]</w:t>
            </w:r>
          </w:p>
        </w:tc>
      </w:tr>
      <w:tr>
        <w:tc>
          <w:tcPr/>
          <w:p>
            <w:pPr>
              <w:pStyle w:val="Compact"/>
              <w:jc w:val="left"/>
            </w:pPr>
            <w:r>
              <w:t xml:space="preserve">2020 Model 1</w:t>
            </w:r>
          </w:p>
        </w:tc>
        <w:tc>
          <w:tcPr/>
          <w:p>
            <w:pPr>
              <w:pStyle w:val="Compact"/>
              <w:jc w:val="left"/>
            </w:pPr>
            <w:r>
              <w:t xml:space="preserve">all</w:t>
            </w:r>
          </w:p>
        </w:tc>
        <w:tc>
          <w:tcPr/>
          <w:p>
            <w:pPr>
              <w:pStyle w:val="Compact"/>
              <w:jc w:val="right"/>
            </w:pPr>
            <w:r>
              <w:t xml:space="preserve">100.0</w:t>
            </w:r>
          </w:p>
        </w:tc>
        <w:tc>
          <w:tcPr/>
          <w:p>
            <w:pPr>
              <w:pStyle w:val="Compact"/>
              <w:jc w:val="right"/>
            </w:pPr>
            <w:r>
              <w:t xml:space="preserve">0.68 (19.2)</w:t>
            </w:r>
          </w:p>
        </w:tc>
        <w:tc>
          <w:tcPr/>
          <w:p>
            <w:pPr>
              <w:pStyle w:val="Compact"/>
              <w:jc w:val="right"/>
            </w:pPr>
            <w:r>
              <w:t xml:space="preserve">0.00</w:t>
            </w:r>
          </w:p>
        </w:tc>
        <w:tc>
          <w:tcPr/>
          <w:p>
            <w:pPr>
              <w:pStyle w:val="Compact"/>
              <w:jc w:val="right"/>
            </w:pPr>
            <w:r>
              <w:t xml:space="preserve">8.9 [8.5, 9.3]</w:t>
            </w:r>
          </w:p>
        </w:tc>
        <w:tc>
          <w:tcPr/>
          <w:p>
            <w:pPr>
              <w:pStyle w:val="Compact"/>
              <w:jc w:val="right"/>
            </w:pPr>
            <w:r>
              <w:t xml:space="preserve">33.6 [33.0, 34.3]</w:t>
            </w:r>
          </w:p>
        </w:tc>
      </w:tr>
      <w:tr>
        <w:tc>
          <w:tcPr/>
          <w:p>
            <w:pPr>
              <w:pStyle w:val="Compact"/>
              <w:jc w:val="left"/>
            </w:pPr>
            <w:r>
              <w:t xml:space="preserve">2016 model with phase 3 covariates</w:t>
            </w:r>
          </w:p>
        </w:tc>
        <w:tc>
          <w:tcPr/>
          <w:p>
            <w:pPr>
              <w:pStyle w:val="Compact"/>
              <w:jc w:val="left"/>
            </w:pPr>
            <w:r>
              <w:t xml:space="preserve">below 60 kg</w:t>
            </w:r>
          </w:p>
        </w:tc>
        <w:tc>
          <w:tcPr/>
          <w:p>
            <w:pPr>
              <w:pStyle w:val="Compact"/>
              <w:jc w:val="right"/>
            </w:pPr>
            <w:r>
              <w:t xml:space="preserve">16.2</w:t>
            </w:r>
          </w:p>
        </w:tc>
        <w:tc>
          <w:tcPr/>
          <w:p>
            <w:pPr>
              <w:pStyle w:val="Compact"/>
              <w:jc w:val="right"/>
            </w:pPr>
            <w:r>
              <w:t xml:space="preserve">0.50 (21.0)</w:t>
            </w:r>
          </w:p>
        </w:tc>
        <w:tc>
          <w:tcPr/>
          <w:p>
            <w:pPr>
              <w:pStyle w:val="Compact"/>
              <w:jc w:val="right"/>
            </w:pPr>
            <w:r>
              <w:t xml:space="preserve">0.03</w:t>
            </w:r>
          </w:p>
        </w:tc>
        <w:tc>
          <w:tcPr/>
          <w:p>
            <w:pPr>
              <w:pStyle w:val="Compact"/>
              <w:jc w:val="right"/>
            </w:pPr>
            <w:r>
              <w:t xml:space="preserve">9.4 [8.5, 10.5]</w:t>
            </w:r>
          </w:p>
        </w:tc>
        <w:tc>
          <w:tcPr/>
          <w:p>
            <w:pPr>
              <w:pStyle w:val="Compact"/>
              <w:jc w:val="right"/>
            </w:pPr>
            <w:r>
              <w:t xml:space="preserve">34.1 [32.4, 35.7]</w:t>
            </w:r>
          </w:p>
        </w:tc>
      </w:tr>
      <w:tr>
        <w:tc>
          <w:tcPr/>
          <w:p>
            <w:pPr>
              <w:pStyle w:val="Compact"/>
              <w:jc w:val="left"/>
            </w:pPr>
            <w:r>
              <w:t xml:space="preserve">2016 model with phase 3 covariates</w:t>
            </w:r>
          </w:p>
        </w:tc>
        <w:tc>
          <w:tcPr/>
          <w:p>
            <w:pPr>
              <w:pStyle w:val="Compact"/>
              <w:jc w:val="left"/>
            </w:pPr>
            <w:r>
              <w:t xml:space="preserve">60 to 90 kg</w:t>
            </w:r>
          </w:p>
        </w:tc>
        <w:tc>
          <w:tcPr/>
          <w:p>
            <w:pPr>
              <w:pStyle w:val="Compact"/>
              <w:jc w:val="right"/>
            </w:pPr>
            <w:r>
              <w:t xml:space="preserve">59.6</w:t>
            </w:r>
          </w:p>
        </w:tc>
        <w:tc>
          <w:tcPr/>
          <w:p>
            <w:pPr>
              <w:pStyle w:val="Compact"/>
              <w:jc w:val="right"/>
            </w:pPr>
            <w:r>
              <w:t xml:space="preserve">0.67 (14.7)</w:t>
            </w:r>
          </w:p>
        </w:tc>
        <w:tc>
          <w:tcPr/>
          <w:p>
            <w:pPr>
              <w:pStyle w:val="Compact"/>
              <w:jc w:val="right"/>
            </w:pPr>
            <w:r>
              <w:t xml:space="preserve">0.00</w:t>
            </w:r>
          </w:p>
        </w:tc>
        <w:tc>
          <w:tcPr/>
          <w:p>
            <w:pPr>
              <w:pStyle w:val="Compact"/>
              <w:jc w:val="right"/>
            </w:pPr>
            <w:r>
              <w:t xml:space="preserve">13.7 [13.1, 14.3]</w:t>
            </w:r>
          </w:p>
        </w:tc>
        <w:tc>
          <w:tcPr/>
          <w:p>
            <w:pPr>
              <w:pStyle w:val="Compact"/>
              <w:jc w:val="right"/>
            </w:pPr>
            <w:r>
              <w:t xml:space="preserve">38.6 [37.7, 39.5]</w:t>
            </w:r>
          </w:p>
        </w:tc>
      </w:tr>
      <w:tr>
        <w:tc>
          <w:tcPr/>
          <w:p>
            <w:pPr>
              <w:pStyle w:val="Compact"/>
              <w:jc w:val="left"/>
            </w:pPr>
            <w:r>
              <w:t xml:space="preserve">2016 model with phase 3 covariates</w:t>
            </w:r>
          </w:p>
        </w:tc>
        <w:tc>
          <w:tcPr/>
          <w:p>
            <w:pPr>
              <w:pStyle w:val="Compact"/>
              <w:jc w:val="left"/>
            </w:pPr>
            <w:r>
              <w:t xml:space="preserve">above 90 to 100 kg</w:t>
            </w:r>
          </w:p>
        </w:tc>
        <w:tc>
          <w:tcPr/>
          <w:p>
            <w:pPr>
              <w:pStyle w:val="Compact"/>
              <w:jc w:val="right"/>
            </w:pPr>
            <w:r>
              <w:t xml:space="preserve">11.3</w:t>
            </w:r>
          </w:p>
        </w:tc>
        <w:tc>
          <w:tcPr/>
          <w:p>
            <w:pPr>
              <w:pStyle w:val="Compact"/>
              <w:jc w:val="right"/>
            </w:pPr>
            <w:r>
              <w:t xml:space="preserve">0.94 (16.9)</w:t>
            </w:r>
          </w:p>
        </w:tc>
        <w:tc>
          <w:tcPr/>
          <w:p>
            <w:pPr>
              <w:pStyle w:val="Compact"/>
              <w:jc w:val="right"/>
            </w:pPr>
            <w:r>
              <w:t xml:space="preserve">0.00</w:t>
            </w:r>
          </w:p>
        </w:tc>
        <w:tc>
          <w:tcPr/>
          <w:p>
            <w:pPr>
              <w:pStyle w:val="Compact"/>
              <w:jc w:val="right"/>
            </w:pPr>
            <w:r>
              <w:t xml:space="preserve">20.3 [18.7, 22.0]</w:t>
            </w:r>
          </w:p>
        </w:tc>
        <w:tc>
          <w:tcPr/>
          <w:p>
            <w:pPr>
              <w:pStyle w:val="Compact"/>
              <w:jc w:val="right"/>
            </w:pPr>
            <w:r>
              <w:t xml:space="preserve">44.5 [42.4, 46.5]</w:t>
            </w:r>
          </w:p>
        </w:tc>
      </w:tr>
      <w:tr>
        <w:tc>
          <w:tcPr/>
          <w:p>
            <w:pPr>
              <w:pStyle w:val="Compact"/>
              <w:jc w:val="left"/>
            </w:pPr>
            <w:r>
              <w:t xml:space="preserve">2016 model with phase 3 covariates</w:t>
            </w:r>
          </w:p>
        </w:tc>
        <w:tc>
          <w:tcPr/>
          <w:p>
            <w:pPr>
              <w:pStyle w:val="Compact"/>
              <w:jc w:val="left"/>
            </w:pPr>
            <w:r>
              <w:t xml:space="preserve">above 100 kg</w:t>
            </w:r>
          </w:p>
        </w:tc>
        <w:tc>
          <w:tcPr/>
          <w:p>
            <w:pPr>
              <w:pStyle w:val="Compact"/>
              <w:jc w:val="right"/>
            </w:pPr>
            <w:r>
              <w:t xml:space="preserve">12.9</w:t>
            </w:r>
          </w:p>
        </w:tc>
        <w:tc>
          <w:tcPr/>
          <w:p>
            <w:pPr>
              <w:pStyle w:val="Compact"/>
              <w:jc w:val="right"/>
            </w:pPr>
            <w:r>
              <w:t xml:space="preserve">1.20 (19.8)</w:t>
            </w:r>
          </w:p>
        </w:tc>
        <w:tc>
          <w:tcPr/>
          <w:p>
            <w:pPr>
              <w:pStyle w:val="Compact"/>
              <w:jc w:val="right"/>
            </w:pPr>
            <w:r>
              <w:t xml:space="preserve">0.00</w:t>
            </w:r>
          </w:p>
        </w:tc>
        <w:tc>
          <w:tcPr/>
          <w:p>
            <w:pPr>
              <w:pStyle w:val="Compact"/>
              <w:jc w:val="right"/>
            </w:pPr>
            <w:r>
              <w:t xml:space="preserve">25.9 [24.2, 27.6]</w:t>
            </w:r>
          </w:p>
        </w:tc>
        <w:tc>
          <w:tcPr/>
          <w:p>
            <w:pPr>
              <w:pStyle w:val="Compact"/>
              <w:jc w:val="right"/>
            </w:pPr>
            <w:r>
              <w:t xml:space="preserve">48.0 [46.1, 49.9]</w:t>
            </w:r>
          </w:p>
        </w:tc>
      </w:tr>
      <w:tr>
        <w:tc>
          <w:tcPr/>
          <w:p>
            <w:pPr>
              <w:pStyle w:val="Compact"/>
              <w:jc w:val="left"/>
            </w:pPr>
            <w:r>
              <w:t xml:space="preserve">2016 model with phase 3 covariates</w:t>
            </w:r>
          </w:p>
        </w:tc>
        <w:tc>
          <w:tcPr/>
          <w:p>
            <w:pPr>
              <w:pStyle w:val="Compact"/>
              <w:jc w:val="left"/>
            </w:pPr>
            <w:r>
              <w:t xml:space="preserve">all</w:t>
            </w:r>
          </w:p>
        </w:tc>
        <w:tc>
          <w:tcPr/>
          <w:p>
            <w:pPr>
              <w:pStyle w:val="Compact"/>
              <w:jc w:val="right"/>
            </w:pPr>
            <w:r>
              <w:t xml:space="preserve">100.0</w:t>
            </w:r>
          </w:p>
        </w:tc>
        <w:tc>
          <w:tcPr/>
          <w:p>
            <w:pPr>
              <w:pStyle w:val="Compact"/>
              <w:jc w:val="right"/>
            </w:pPr>
            <w:r>
              <w:t xml:space="preserve">0.71 (21.0)</w:t>
            </w:r>
          </w:p>
        </w:tc>
        <w:tc>
          <w:tcPr/>
          <w:p>
            <w:pPr>
              <w:pStyle w:val="Compact"/>
              <w:jc w:val="right"/>
            </w:pPr>
            <w:r>
              <w:t xml:space="preserve">0.01</w:t>
            </w:r>
          </w:p>
        </w:tc>
        <w:tc>
          <w:tcPr/>
          <w:p>
            <w:pPr>
              <w:pStyle w:val="Compact"/>
              <w:jc w:val="right"/>
            </w:pPr>
            <w:r>
              <w:t xml:space="preserve">15.3 [14.8, 15.8]</w:t>
            </w:r>
          </w:p>
        </w:tc>
        <w:tc>
          <w:tcPr/>
          <w:p>
            <w:pPr>
              <w:pStyle w:val="Compact"/>
              <w:jc w:val="right"/>
            </w:pPr>
            <w:r>
              <w:t xml:space="preserve">39.8 [39.1, 40.4]</w:t>
            </w:r>
          </w:p>
        </w:tc>
      </w:tr>
    </w:tbl>
    <w:p>
      <w:pPr>
        <w:pStyle w:val="BodyText"/>
      </w:pPr>
      <w:r>
        <w:rPr>
          <w:bCs/>
          <w:b/>
        </w:rPr>
        <w:t xml:space="preserve">Coverage.</w:t>
      </w:r>
      <w:r>
        <w:t xml:space="preserve"> </w:t>
      </w:r>
      <w:r>
        <w:t xml:space="preserve">AUC0-last remains close to total exposure across the patient weight range: the median true extrapolated fraction is 0.68% to 0.71% in the three model variants and 0.97% to 1.20% above 100 kg, and the share of patients whose window coverage is below 80% is 0.00% to 0.01%.</w:t>
      </w:r>
    </w:p>
    <w:p>
      <w:pPr>
        <w:pStyle w:val="BodyText"/>
      </w:pPr>
      <w:r>
        <w:rPr>
          <w:bCs/>
          <w:b/>
        </w:rPr>
        <w:t xml:space="preserve">Reliability of AUC0-inf.</w:t>
      </w:r>
      <w:r>
        <w:t xml:space="preserve"> </w:t>
      </w:r>
      <w:r>
        <w:t xml:space="preserve">In this population, a reliable AUC0-inf cannot be obtained in 14.9% (criteria set (i)) to 39.5% (criteria set (iii)) of patients in the primary model (8.9% to 15.3% and 33.6% to 39.8% across the three model variants). The failures are concentrated in heavier patients (Table I-1, Figure I-2), whereas the sampling window of AUC0-last covers at least 78.9% of the true AUC0-inf in every patient failing set (iii) (median 99.5% to 99.8%). The sensitivity weight distributions give 8.5% to 15.6% (set (i)) and 33.1% to 40.1% (set (iii)).</w:t>
      </w:r>
    </w:p>
    <w:p>
      <w:pPr>
        <w:pStyle w:val="CaptionedFigure"/>
      </w:pPr>
      <w:r>
        <w:drawing>
          <wp:inline>
            <wp:extent cx="5334000" cy="2560320"/>
            <wp:effectExtent b="0" l="0" r="0" t="0"/>
            <wp:docPr descr="Figure I-2. Share of patients without a reliable AUC0-inf by body weight band and criteria set, adult atopic dermatitis population (primary weight distribution, 20,000 patients per model; bars: Wilson 95% intervals). Analysis figure results/atopic/fig_atopic_failure_by_band.png." title="" id="118" name="Picture"/>
            <a:graphic>
              <a:graphicData uri="http://schemas.openxmlformats.org/drawingml/2006/picture">
                <pic:pic>
                  <pic:nvPicPr>
                    <pic:cNvPr descr="../../results/atopic/fig_atopic_failure_by_band.png" id="119" name="Picture"/>
                    <pic:cNvPicPr>
                      <a:picLocks noChangeArrowheads="1" noChangeAspect="1"/>
                    </pic:cNvPicPr>
                  </pic:nvPicPr>
                  <pic:blipFill>
                    <a:blip r:embed="rId117"/>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Figure I-2. Share of patients without a reliable AUC0-inf by body weight band and criteria set, adult atopic dermatitis population (primary weight distribution, 20,000 patients per model; bars: Wilson 95% intervals). Analysis figure results/atopic/fig_atopic_failure_by_band.png.</w:t>
      </w:r>
    </w:p>
    <w:p>
      <w:pPr>
        <w:pStyle w:val="BodyText"/>
      </w:pPr>
      <w:r>
        <w:rPr>
          <w:bCs/>
          <w:b/>
        </w:rPr>
        <w:t xml:space="preserve">Trials with the atopic dermatitis body-weight distribution</w:t>
      </w:r>
      <w:r>
        <w:t xml:space="preserve"> </w:t>
      </w:r>
      <w:r>
        <w:t xml:space="preserve">(Table I-2; 117 patients per arm, 2,000 trials per scenario, M0):</w:t>
      </w:r>
    </w:p>
    <w:p>
      <w:pPr>
        <w:numPr>
          <w:ilvl w:val="0"/>
          <w:numId w:val="1054"/>
        </w:numPr>
        <w:pStyle w:val="Compact"/>
      </w:pPr>
      <w:r>
        <w:t xml:space="preserve">The AUC0-last GMR is biased by -0.94% to 0.39% against the true AUC0-inf ratio. AUC0-inf is biased by -2.56% to 3.97% under rule A with set (i), -2.42% to 3.97% with set (iii), and -1.73% to 2.61% under rule B; rule C with set (i) gives -0.67% to 0.09%.</w:t>
      </w:r>
    </w:p>
    <w:p>
      <w:pPr>
        <w:numPr>
          <w:ilvl w:val="0"/>
          <w:numId w:val="1054"/>
        </w:numPr>
        <w:pStyle w:val="Compact"/>
      </w:pPr>
      <w:r>
        <w:t xml:space="preserve">The decision of AUC0-last + Cmax agrees with that of AUC0-inf + Cmax in 66.9% to 96.7% of trials under rule A with set (i), 70.2% to 88.7% with set (iii), and 95.4% to 99.5% under rule C with set (i).</w:t>
      </w:r>
    </w:p>
    <w:p>
      <w:pPr>
        <w:numPr>
          <w:ilvl w:val="0"/>
          <w:numId w:val="1054"/>
        </w:numPr>
        <w:pStyle w:val="Compact"/>
      </w:pPr>
      <w:r>
        <w:t xml:space="preserve">The share of subjects failing the criteria differs between arms when the products differ: set (i) -0.03 to 0.05 points for identical products, 1.83 to 2.85 for F x0.90 and 4.59 to 6.99 for Vmax x1.25 (set (iii): 0.11 to 0.20, 2.12 to 2.43 and 4.86 to 5.71). Rule A therefore compares different patients in the two arms, in a way that depends on the product difference.</w:t>
      </w:r>
    </w:p>
    <w:p>
      <w:pPr>
        <w:pStyle w:val="TableCaption"/>
      </w:pPr>
      <w:r>
        <w:t xml:space="preserve">Table I-2. Trials in the adult atopic dermatitis population (primary weight distribution, 117 patients per arm, pooled t-test M0): bias (%) of the geometric mean of trial GMRs against the true ratio (AUC endpoints against the true AUC0-inf ratio), pass rate of AUC0-last + Cmax (P2), agreement of the P2 decision with AUC0-inf + Cmax under rule A (criteria (i) or (iii)) and rule C (criteria (i)), and the mean difference between arms (test minus reference) in the share of subjects failing criteria set (i) or (iii).</w:t>
      </w:r>
    </w:p>
    <w:tbl>
      <w:tblPr>
        <w:tblStyle w:val="Table"/>
        <w:tblW w:type="pct" w:w="5000"/>
        <w:tblLook w:firstRow="1" w:lastRow="0" w:firstColumn="0" w:lastColumn="0" w:noHBand="0" w:noVBand="0" w:val="0020"/>
        <w:jc w:val="start"/>
        <w:tblCaption w:val="Table I-2. Trials in the adult atopic dermatitis population (primary weight distribution, 117 patients per arm, pooled t-test M0): bias (%) of the geometric mean of trial GMRs against the true ratio (AUC endpoints against the true AUC0-inf ratio), pass rate of AUC0-last + Cmax (P2), agreement of the P2 decision with AUC0-inf + Cmax under rule A (criteria (i) or (iii)) and rule C (criteria (i)), and the mean difference between arms (test minus reference) in the share of subjects failing criteria set (i) or (iii)."/>
      </w:tblPr>
      <w:tblGrid>
        <w:gridCol w:w="1066"/>
        <w:gridCol w:w="335"/>
        <w:gridCol w:w="609"/>
        <w:gridCol w:w="304"/>
        <w:gridCol w:w="456"/>
        <w:gridCol w:w="517"/>
        <w:gridCol w:w="335"/>
        <w:gridCol w:w="456"/>
        <w:gridCol w:w="335"/>
        <w:gridCol w:w="578"/>
        <w:gridCol w:w="639"/>
        <w:gridCol w:w="578"/>
        <w:gridCol w:w="822"/>
        <w:gridCol w:w="883"/>
      </w:tblGrid>
      <w:tr>
        <w:trPr>
          <w:tblHeader w:val="true"/>
        </w:trPr>
        <w:tc>
          <w:tcPr/>
          <w:p>
            <w:pPr>
              <w:pStyle w:val="Compact"/>
              <w:jc w:val="left"/>
            </w:pPr>
            <w:r>
              <w:t xml:space="preserve">Model</w:t>
            </w:r>
          </w:p>
        </w:tc>
        <w:tc>
          <w:tcPr/>
          <w:p>
            <w:pPr>
              <w:pStyle w:val="Compact"/>
              <w:jc w:val="left"/>
            </w:pPr>
            <w:r>
              <w:t xml:space="preserve">Scenario</w:t>
            </w:r>
          </w:p>
        </w:tc>
        <w:tc>
          <w:tcPr/>
          <w:p>
            <w:pPr>
              <w:pStyle w:val="Compact"/>
              <w:jc w:val="right"/>
            </w:pPr>
            <w:r>
              <w:t xml:space="preserve">True AUC0-inf ratio</w:t>
            </w:r>
          </w:p>
        </w:tc>
        <w:tc>
          <w:tcPr/>
          <w:p>
            <w:pPr>
              <w:pStyle w:val="Compact"/>
              <w:jc w:val="right"/>
            </w:pPr>
            <w:r>
              <w:t xml:space="preserve">AUC0-last</w:t>
            </w:r>
          </w:p>
        </w:tc>
        <w:tc>
          <w:tcPr/>
          <w:p>
            <w:pPr>
              <w:pStyle w:val="Compact"/>
              <w:jc w:val="right"/>
            </w:pPr>
            <w:r>
              <w:t xml:space="preserve">AUC0-inf A (i)</w:t>
            </w:r>
          </w:p>
        </w:tc>
        <w:tc>
          <w:tcPr/>
          <w:p>
            <w:pPr>
              <w:pStyle w:val="Compact"/>
              <w:jc w:val="right"/>
            </w:pPr>
            <w:r>
              <w:t xml:space="preserve">AUC0-inf A (iii)</w:t>
            </w:r>
          </w:p>
        </w:tc>
        <w:tc>
          <w:tcPr/>
          <w:p>
            <w:pPr>
              <w:pStyle w:val="Compact"/>
              <w:jc w:val="right"/>
            </w:pPr>
            <w:r>
              <w:t xml:space="preserve">AUC0-inf B</w:t>
            </w:r>
          </w:p>
        </w:tc>
        <w:tc>
          <w:tcPr/>
          <w:p>
            <w:pPr>
              <w:pStyle w:val="Compact"/>
              <w:jc w:val="right"/>
            </w:pPr>
            <w:r>
              <w:t xml:space="preserve">AUC0-inf C (i)</w:t>
            </w:r>
          </w:p>
        </w:tc>
        <w:tc>
          <w:tcPr/>
          <w:p>
            <w:pPr>
              <w:pStyle w:val="Compact"/>
              <w:jc w:val="right"/>
            </w:pPr>
            <w:r>
              <w:t xml:space="preserve">P2 pass, %</w:t>
            </w:r>
          </w:p>
        </w:tc>
        <w:tc>
          <w:tcPr/>
          <w:p>
            <w:pPr>
              <w:pStyle w:val="Compact"/>
              <w:jc w:val="right"/>
            </w:pPr>
            <w:r>
              <w:t xml:space="preserve">Agreement A (i), %</w:t>
            </w:r>
          </w:p>
        </w:tc>
        <w:tc>
          <w:tcPr/>
          <w:p>
            <w:pPr>
              <w:pStyle w:val="Compact"/>
              <w:jc w:val="right"/>
            </w:pPr>
            <w:r>
              <w:t xml:space="preserve">Agreement A (iii), %</w:t>
            </w:r>
          </w:p>
        </w:tc>
        <w:tc>
          <w:tcPr/>
          <w:p>
            <w:pPr>
              <w:pStyle w:val="Compact"/>
              <w:jc w:val="right"/>
            </w:pPr>
            <w:r>
              <w:t xml:space="preserve">Agreement C (i), %</w:t>
            </w:r>
          </w:p>
        </w:tc>
        <w:tc>
          <w:tcPr/>
          <w:p>
            <w:pPr>
              <w:pStyle w:val="Compact"/>
              <w:jc w:val="right"/>
            </w:pPr>
            <w:r>
              <w:t xml:space="preserve">Arm difference (i), points</w:t>
            </w:r>
          </w:p>
        </w:tc>
        <w:tc>
          <w:tcPr/>
          <w:p>
            <w:pPr>
              <w:pStyle w:val="Compact"/>
              <w:jc w:val="right"/>
            </w:pPr>
            <w:r>
              <w:t xml:space="preserve">Arm difference (iii), points</w:t>
            </w:r>
          </w:p>
        </w:tc>
      </w:tr>
      <w:tr>
        <w:tc>
          <w:tcPr/>
          <w:p>
            <w:pPr>
              <w:pStyle w:val="Compact"/>
              <w:jc w:val="left"/>
            </w:pPr>
            <w:r>
              <w:t xml:space="preserve">2016 model</w:t>
            </w:r>
          </w:p>
        </w:tc>
        <w:tc>
          <w:tcPr/>
          <w:p>
            <w:pPr>
              <w:pStyle w:val="Compact"/>
              <w:jc w:val="left"/>
            </w:pPr>
            <w:r>
              <w:t xml:space="preserve">identical</w:t>
            </w:r>
          </w:p>
        </w:tc>
        <w:tc>
          <w:tcPr/>
          <w:p>
            <w:pPr>
              <w:pStyle w:val="Compact"/>
              <w:jc w:val="right"/>
            </w:pPr>
            <w:r>
              <w:t xml:space="preserve">1.000</w:t>
            </w:r>
          </w:p>
        </w:tc>
        <w:tc>
          <w:tcPr/>
          <w:p>
            <w:pPr>
              <w:pStyle w:val="Compact"/>
              <w:jc w:val="right"/>
            </w:pPr>
            <w:r>
              <w:t xml:space="preserve">0.07</w:t>
            </w:r>
          </w:p>
        </w:tc>
        <w:tc>
          <w:tcPr/>
          <w:p>
            <w:pPr>
              <w:pStyle w:val="Compact"/>
              <w:jc w:val="right"/>
            </w:pPr>
            <w:r>
              <w:t xml:space="preserve">0.07</w:t>
            </w:r>
          </w:p>
        </w:tc>
        <w:tc>
          <w:tcPr/>
          <w:p>
            <w:pPr>
              <w:pStyle w:val="Compact"/>
              <w:jc w:val="right"/>
            </w:pPr>
            <w:r>
              <w:t xml:space="preserve">0.22</w:t>
            </w:r>
          </w:p>
        </w:tc>
        <w:tc>
          <w:tcPr/>
          <w:p>
            <w:pPr>
              <w:pStyle w:val="Compact"/>
              <w:jc w:val="right"/>
            </w:pPr>
            <w:r>
              <w:t xml:space="preserve">0.08</w:t>
            </w:r>
          </w:p>
        </w:tc>
        <w:tc>
          <w:tcPr/>
          <w:p>
            <w:pPr>
              <w:pStyle w:val="Compact"/>
              <w:jc w:val="right"/>
            </w:pPr>
            <w:r>
              <w:t xml:space="preserve">0.08</w:t>
            </w:r>
          </w:p>
        </w:tc>
        <w:tc>
          <w:tcPr/>
          <w:p>
            <w:pPr>
              <w:pStyle w:val="Compact"/>
              <w:jc w:val="right"/>
            </w:pPr>
            <w:r>
              <w:t xml:space="preserve">97.2</w:t>
            </w:r>
          </w:p>
        </w:tc>
        <w:tc>
          <w:tcPr/>
          <w:p>
            <w:pPr>
              <w:pStyle w:val="Compact"/>
              <w:jc w:val="right"/>
            </w:pPr>
            <w:r>
              <w:t xml:space="preserve">96.7</w:t>
            </w:r>
          </w:p>
        </w:tc>
        <w:tc>
          <w:tcPr/>
          <w:p>
            <w:pPr>
              <w:pStyle w:val="Compact"/>
              <w:jc w:val="right"/>
            </w:pPr>
            <w:r>
              <w:t xml:space="preserve">88.7</w:t>
            </w:r>
          </w:p>
        </w:tc>
        <w:tc>
          <w:tcPr/>
          <w:p>
            <w:pPr>
              <w:pStyle w:val="Compact"/>
              <w:jc w:val="right"/>
            </w:pPr>
            <w:r>
              <w:t xml:space="preserve">99.5</w:t>
            </w:r>
          </w:p>
        </w:tc>
        <w:tc>
          <w:tcPr/>
          <w:p>
            <w:pPr>
              <w:pStyle w:val="Compact"/>
              <w:jc w:val="right"/>
            </w:pPr>
            <w:r>
              <w:t xml:space="preserve">-0.03</w:t>
            </w:r>
          </w:p>
        </w:tc>
        <w:tc>
          <w:tcPr/>
          <w:p>
            <w:pPr>
              <w:pStyle w:val="Compact"/>
              <w:jc w:val="right"/>
            </w:pPr>
            <w:r>
              <w:t xml:space="preserve">0.11</w:t>
            </w:r>
          </w:p>
        </w:tc>
      </w:tr>
      <w:tr>
        <w:tc>
          <w:tcPr/>
          <w:p>
            <w:pPr>
              <w:pStyle w:val="Compact"/>
              <w:jc w:val="left"/>
            </w:pPr>
            <w:r>
              <w:t xml:space="preserve">2016 model</w:t>
            </w:r>
          </w:p>
        </w:tc>
        <w:tc>
          <w:tcPr/>
          <w:p>
            <w:pPr>
              <w:pStyle w:val="Compact"/>
              <w:jc w:val="left"/>
            </w:pPr>
            <w:r>
              <w:t xml:space="preserve">F x0.90</w:t>
            </w:r>
          </w:p>
        </w:tc>
        <w:tc>
          <w:tcPr/>
          <w:p>
            <w:pPr>
              <w:pStyle w:val="Compact"/>
              <w:jc w:val="right"/>
            </w:pPr>
            <w:r>
              <w:t xml:space="preserve">0.842</w:t>
            </w:r>
          </w:p>
        </w:tc>
        <w:tc>
          <w:tcPr/>
          <w:p>
            <w:pPr>
              <w:pStyle w:val="Compact"/>
              <w:jc w:val="right"/>
            </w:pPr>
            <w:r>
              <w:t xml:space="preserve">-0.34</w:t>
            </w:r>
          </w:p>
        </w:tc>
        <w:tc>
          <w:tcPr/>
          <w:p>
            <w:pPr>
              <w:pStyle w:val="Compact"/>
              <w:jc w:val="right"/>
            </w:pPr>
            <w:r>
              <w:t xml:space="preserve">1.62</w:t>
            </w:r>
          </w:p>
        </w:tc>
        <w:tc>
          <w:tcPr/>
          <w:p>
            <w:pPr>
              <w:pStyle w:val="Compact"/>
              <w:jc w:val="right"/>
            </w:pPr>
            <w:r>
              <w:t xml:space="preserve">1.78</w:t>
            </w:r>
          </w:p>
        </w:tc>
        <w:tc>
          <w:tcPr/>
          <w:p>
            <w:pPr>
              <w:pStyle w:val="Compact"/>
              <w:jc w:val="right"/>
            </w:pPr>
            <w:r>
              <w:t xml:space="preserve">1.07</w:t>
            </w:r>
          </w:p>
        </w:tc>
        <w:tc>
          <w:tcPr/>
          <w:p>
            <w:pPr>
              <w:pStyle w:val="Compact"/>
              <w:jc w:val="right"/>
            </w:pPr>
            <w:r>
              <w:t xml:space="preserve">-0.12</w:t>
            </w:r>
          </w:p>
        </w:tc>
        <w:tc>
          <w:tcPr/>
          <w:p>
            <w:pPr>
              <w:pStyle w:val="Compact"/>
              <w:jc w:val="right"/>
            </w:pPr>
            <w:r>
              <w:t xml:space="preserve">15.6</w:t>
            </w:r>
          </w:p>
        </w:tc>
        <w:tc>
          <w:tcPr/>
          <w:p>
            <w:pPr>
              <w:pStyle w:val="Compact"/>
              <w:jc w:val="right"/>
            </w:pPr>
            <w:r>
              <w:t xml:space="preserve">86.9</w:t>
            </w:r>
          </w:p>
        </w:tc>
        <w:tc>
          <w:tcPr/>
          <w:p>
            <w:pPr>
              <w:pStyle w:val="Compact"/>
              <w:jc w:val="right"/>
            </w:pPr>
            <w:r>
              <w:t xml:space="preserve">86.4</w:t>
            </w:r>
          </w:p>
        </w:tc>
        <w:tc>
          <w:tcPr/>
          <w:p>
            <w:pPr>
              <w:pStyle w:val="Compact"/>
              <w:jc w:val="right"/>
            </w:pPr>
            <w:r>
              <w:t xml:space="preserve">98.2</w:t>
            </w:r>
          </w:p>
        </w:tc>
        <w:tc>
          <w:tcPr/>
          <w:p>
            <w:pPr>
              <w:pStyle w:val="Compact"/>
              <w:jc w:val="right"/>
            </w:pPr>
            <w:r>
              <w:t xml:space="preserve">2.85</w:t>
            </w:r>
          </w:p>
        </w:tc>
        <w:tc>
          <w:tcPr/>
          <w:p>
            <w:pPr>
              <w:pStyle w:val="Compact"/>
              <w:jc w:val="right"/>
            </w:pPr>
            <w:r>
              <w:t xml:space="preserve">2.35</w:t>
            </w:r>
          </w:p>
        </w:tc>
      </w:tr>
      <w:tr>
        <w:tc>
          <w:tcPr/>
          <w:p>
            <w:pPr>
              <w:pStyle w:val="Compact"/>
              <w:jc w:val="left"/>
            </w:pPr>
            <w:r>
              <w:t xml:space="preserve">2016 model</w:t>
            </w:r>
          </w:p>
        </w:tc>
        <w:tc>
          <w:tcPr/>
          <w:p>
            <w:pPr>
              <w:pStyle w:val="Compact"/>
              <w:jc w:val="left"/>
            </w:pPr>
            <w:r>
              <w:t xml:space="preserve">ke x1.20</w:t>
            </w:r>
          </w:p>
        </w:tc>
        <w:tc>
          <w:tcPr/>
          <w:p>
            <w:pPr>
              <w:pStyle w:val="Compact"/>
              <w:jc w:val="right"/>
            </w:pPr>
            <w:r>
              <w:t xml:space="preserve">0.904</w:t>
            </w:r>
          </w:p>
        </w:tc>
        <w:tc>
          <w:tcPr/>
          <w:p>
            <w:pPr>
              <w:pStyle w:val="Compact"/>
              <w:jc w:val="right"/>
            </w:pPr>
            <w:r>
              <w:t xml:space="preserve">-0.19</w:t>
            </w:r>
          </w:p>
        </w:tc>
        <w:tc>
          <w:tcPr/>
          <w:p>
            <w:pPr>
              <w:pStyle w:val="Compact"/>
              <w:jc w:val="right"/>
            </w:pPr>
            <w:r>
              <w:t xml:space="preserve">0.09</w:t>
            </w:r>
          </w:p>
        </w:tc>
        <w:tc>
          <w:tcPr/>
          <w:p>
            <w:pPr>
              <w:pStyle w:val="Compact"/>
              <w:jc w:val="right"/>
            </w:pPr>
            <w:r>
              <w:t xml:space="preserve">0.10</w:t>
            </w:r>
          </w:p>
        </w:tc>
        <w:tc>
          <w:tcPr/>
          <w:p>
            <w:pPr>
              <w:pStyle w:val="Compact"/>
              <w:jc w:val="right"/>
            </w:pPr>
            <w:r>
              <w:t xml:space="preserve">0.14</w:t>
            </w:r>
          </w:p>
        </w:tc>
        <w:tc>
          <w:tcPr/>
          <w:p>
            <w:pPr>
              <w:pStyle w:val="Compact"/>
              <w:jc w:val="right"/>
            </w:pPr>
            <w:r>
              <w:t xml:space="preserve">-0.13</w:t>
            </w:r>
          </w:p>
        </w:tc>
        <w:tc>
          <w:tcPr/>
          <w:p>
            <w:pPr>
              <w:pStyle w:val="Compact"/>
              <w:jc w:val="right"/>
            </w:pPr>
            <w:r>
              <w:t xml:space="preserve">65.6</w:t>
            </w:r>
          </w:p>
        </w:tc>
        <w:tc>
          <w:tcPr/>
          <w:p>
            <w:pPr>
              <w:pStyle w:val="Compact"/>
              <w:jc w:val="right"/>
            </w:pPr>
            <w:r>
              <w:t xml:space="preserve">83.4</w:t>
            </w:r>
          </w:p>
        </w:tc>
        <w:tc>
          <w:tcPr/>
          <w:p>
            <w:pPr>
              <w:pStyle w:val="Compact"/>
              <w:jc w:val="right"/>
            </w:pPr>
            <w:r>
              <w:t xml:space="preserve">73.1</w:t>
            </w:r>
          </w:p>
        </w:tc>
        <w:tc>
          <w:tcPr/>
          <w:p>
            <w:pPr>
              <w:pStyle w:val="Compact"/>
              <w:jc w:val="right"/>
            </w:pPr>
            <w:r>
              <w:t xml:space="preserve">97.1</w:t>
            </w:r>
          </w:p>
        </w:tc>
        <w:tc>
          <w:tcPr/>
          <w:p>
            <w:pPr>
              <w:pStyle w:val="Compact"/>
              <w:jc w:val="right"/>
            </w:pPr>
            <w:r>
              <w:t xml:space="preserve">0.13</w:t>
            </w:r>
          </w:p>
        </w:tc>
        <w:tc>
          <w:tcPr/>
          <w:p>
            <w:pPr>
              <w:pStyle w:val="Compact"/>
              <w:jc w:val="right"/>
            </w:pPr>
            <w:r>
              <w:t xml:space="preserve">-0.76</w:t>
            </w:r>
          </w:p>
        </w:tc>
      </w:tr>
      <w:tr>
        <w:tc>
          <w:tcPr/>
          <w:p>
            <w:pPr>
              <w:pStyle w:val="Compact"/>
              <w:jc w:val="left"/>
            </w:pPr>
            <w:r>
              <w:t xml:space="preserve">2016 model</w:t>
            </w:r>
          </w:p>
        </w:tc>
        <w:tc>
          <w:tcPr/>
          <w:p>
            <w:pPr>
              <w:pStyle w:val="Compact"/>
              <w:jc w:val="left"/>
            </w:pPr>
            <w:r>
              <w:t xml:space="preserve">Vmax x1.25</w:t>
            </w:r>
          </w:p>
        </w:tc>
        <w:tc>
          <w:tcPr/>
          <w:p>
            <w:pPr>
              <w:pStyle w:val="Compact"/>
              <w:jc w:val="right"/>
            </w:pPr>
            <w:r>
              <w:t xml:space="preserve">0.863</w:t>
            </w:r>
          </w:p>
        </w:tc>
        <w:tc>
          <w:tcPr/>
          <w:p>
            <w:pPr>
              <w:pStyle w:val="Compact"/>
              <w:jc w:val="right"/>
            </w:pPr>
            <w:r>
              <w:t xml:space="preserve">-0.89</w:t>
            </w:r>
          </w:p>
        </w:tc>
        <w:tc>
          <w:tcPr/>
          <w:p>
            <w:pPr>
              <w:pStyle w:val="Compact"/>
              <w:jc w:val="right"/>
            </w:pPr>
            <w:r>
              <w:t xml:space="preserve">3.62</w:t>
            </w:r>
          </w:p>
        </w:tc>
        <w:tc>
          <w:tcPr/>
          <w:p>
            <w:pPr>
              <w:pStyle w:val="Compact"/>
              <w:jc w:val="right"/>
            </w:pPr>
            <w:r>
              <w:t xml:space="preserve">3.89</w:t>
            </w:r>
          </w:p>
        </w:tc>
        <w:tc>
          <w:tcPr/>
          <w:p>
            <w:pPr>
              <w:pStyle w:val="Compact"/>
              <w:jc w:val="right"/>
            </w:pPr>
            <w:r>
              <w:t xml:space="preserve">2.52</w:t>
            </w:r>
          </w:p>
        </w:tc>
        <w:tc>
          <w:tcPr/>
          <w:p>
            <w:pPr>
              <w:pStyle w:val="Compact"/>
              <w:jc w:val="right"/>
            </w:pPr>
            <w:r>
              <w:t xml:space="preserve">-0.51</w:t>
            </w:r>
          </w:p>
        </w:tc>
        <w:tc>
          <w:tcPr/>
          <w:p>
            <w:pPr>
              <w:pStyle w:val="Compact"/>
              <w:jc w:val="right"/>
            </w:pPr>
            <w:r>
              <w:t xml:space="preserve">25.2</w:t>
            </w:r>
          </w:p>
        </w:tc>
        <w:tc>
          <w:tcPr/>
          <w:p>
            <w:pPr>
              <w:pStyle w:val="Compact"/>
              <w:jc w:val="right"/>
            </w:pPr>
            <w:r>
              <w:t xml:space="preserve">66.9</w:t>
            </w:r>
          </w:p>
        </w:tc>
        <w:tc>
          <w:tcPr/>
          <w:p>
            <w:pPr>
              <w:pStyle w:val="Compact"/>
              <w:jc w:val="right"/>
            </w:pPr>
            <w:r>
              <w:t xml:space="preserve">70.4</w:t>
            </w:r>
          </w:p>
        </w:tc>
        <w:tc>
          <w:tcPr/>
          <w:p>
            <w:pPr>
              <w:pStyle w:val="Compact"/>
              <w:jc w:val="right"/>
            </w:pPr>
            <w:r>
              <w:t xml:space="preserve">96.5</w:t>
            </w:r>
          </w:p>
        </w:tc>
        <w:tc>
          <w:tcPr/>
          <w:p>
            <w:pPr>
              <w:pStyle w:val="Compact"/>
              <w:jc w:val="right"/>
            </w:pPr>
            <w:r>
              <w:t xml:space="preserve">6.99</w:t>
            </w:r>
          </w:p>
        </w:tc>
        <w:tc>
          <w:tcPr/>
          <w:p>
            <w:pPr>
              <w:pStyle w:val="Compact"/>
              <w:jc w:val="right"/>
            </w:pPr>
            <w:r>
              <w:t xml:space="preserve">5.71</w:t>
            </w:r>
          </w:p>
        </w:tc>
      </w:tr>
      <w:tr>
        <w:tc>
          <w:tcPr/>
          <w:p>
            <w:pPr>
              <w:pStyle w:val="Compact"/>
              <w:jc w:val="left"/>
            </w:pPr>
            <w:r>
              <w:t xml:space="preserve">2016 model</w:t>
            </w:r>
          </w:p>
        </w:tc>
        <w:tc>
          <w:tcPr/>
          <w:p>
            <w:pPr>
              <w:pStyle w:val="Compact"/>
              <w:jc w:val="left"/>
            </w:pPr>
            <w:r>
              <w:t xml:space="preserve">Km x10</w:t>
            </w:r>
          </w:p>
        </w:tc>
        <w:tc>
          <w:tcPr/>
          <w:p>
            <w:pPr>
              <w:pStyle w:val="Compact"/>
              <w:jc w:val="right"/>
            </w:pPr>
            <w:r>
              <w:t xml:space="preserve">1.007</w:t>
            </w:r>
          </w:p>
        </w:tc>
        <w:tc>
          <w:tcPr/>
          <w:p>
            <w:pPr>
              <w:pStyle w:val="Compact"/>
              <w:jc w:val="right"/>
            </w:pPr>
            <w:r>
              <w:t xml:space="preserve">0.37</w:t>
            </w:r>
          </w:p>
        </w:tc>
        <w:tc>
          <w:tcPr/>
          <w:p>
            <w:pPr>
              <w:pStyle w:val="Compact"/>
              <w:jc w:val="right"/>
            </w:pPr>
            <w:r>
              <w:t xml:space="preserve">-2.30</w:t>
            </w:r>
          </w:p>
        </w:tc>
        <w:tc>
          <w:tcPr/>
          <w:p>
            <w:pPr>
              <w:pStyle w:val="Compact"/>
              <w:jc w:val="right"/>
            </w:pPr>
            <w:r>
              <w:t xml:space="preserve">-1.99</w:t>
            </w:r>
          </w:p>
        </w:tc>
        <w:tc>
          <w:tcPr/>
          <w:p>
            <w:pPr>
              <w:pStyle w:val="Compact"/>
              <w:jc w:val="right"/>
            </w:pPr>
            <w:r>
              <w:t xml:space="preserve">-1.62</w:t>
            </w:r>
          </w:p>
        </w:tc>
        <w:tc>
          <w:tcPr/>
          <w:p>
            <w:pPr>
              <w:pStyle w:val="Compact"/>
              <w:jc w:val="right"/>
            </w:pPr>
            <w:r>
              <w:t xml:space="preserve">-0.59</w:t>
            </w:r>
          </w:p>
        </w:tc>
        <w:tc>
          <w:tcPr/>
          <w:p>
            <w:pPr>
              <w:pStyle w:val="Compact"/>
              <w:jc w:val="right"/>
            </w:pPr>
            <w:r>
              <w:t xml:space="preserve">97.0</w:t>
            </w:r>
          </w:p>
        </w:tc>
        <w:tc>
          <w:tcPr/>
          <w:p>
            <w:pPr>
              <w:pStyle w:val="Compact"/>
              <w:jc w:val="right"/>
            </w:pPr>
            <w:r>
              <w:t xml:space="preserve">96.1</w:t>
            </w:r>
          </w:p>
        </w:tc>
        <w:tc>
          <w:tcPr/>
          <w:p>
            <w:pPr>
              <w:pStyle w:val="Compact"/>
              <w:jc w:val="right"/>
            </w:pPr>
            <w:r>
              <w:t xml:space="preserve">84.7</w:t>
            </w:r>
          </w:p>
        </w:tc>
        <w:tc>
          <w:tcPr/>
          <w:p>
            <w:pPr>
              <w:pStyle w:val="Compact"/>
              <w:jc w:val="right"/>
            </w:pPr>
            <w:r>
              <w:t xml:space="preserve">99.1</w:t>
            </w:r>
          </w:p>
        </w:tc>
        <w:tc>
          <w:tcPr/>
          <w:p>
            <w:pPr>
              <w:pStyle w:val="Compact"/>
              <w:jc w:val="right"/>
            </w:pPr>
            <w:r>
              <w:t xml:space="preserve">-0.10</w:t>
            </w:r>
          </w:p>
        </w:tc>
        <w:tc>
          <w:tcPr/>
          <w:p>
            <w:pPr>
              <w:pStyle w:val="Compact"/>
              <w:jc w:val="right"/>
            </w:pPr>
            <w:r>
              <w:t xml:space="preserve">4.14</w:t>
            </w:r>
          </w:p>
        </w:tc>
      </w:tr>
      <w:tr>
        <w:tc>
          <w:tcPr/>
          <w:p>
            <w:pPr>
              <w:pStyle w:val="Compact"/>
              <w:jc w:val="left"/>
            </w:pPr>
            <w:r>
              <w:t xml:space="preserve">2020 Model 1</w:t>
            </w:r>
          </w:p>
        </w:tc>
        <w:tc>
          <w:tcPr/>
          <w:p>
            <w:pPr>
              <w:pStyle w:val="Compact"/>
              <w:jc w:val="left"/>
            </w:pPr>
            <w:r>
              <w:t xml:space="preserve">identical</w:t>
            </w:r>
          </w:p>
        </w:tc>
        <w:tc>
          <w:tcPr/>
          <w:p>
            <w:pPr>
              <w:pStyle w:val="Compact"/>
              <w:jc w:val="right"/>
            </w:pPr>
            <w:r>
              <w:t xml:space="preserve">1.000</w:t>
            </w:r>
          </w:p>
        </w:tc>
        <w:tc>
          <w:tcPr/>
          <w:p>
            <w:pPr>
              <w:pStyle w:val="Compact"/>
              <w:jc w:val="right"/>
            </w:pPr>
            <w:r>
              <w:t xml:space="preserve">0.05</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0.06</w:t>
            </w:r>
          </w:p>
        </w:tc>
        <w:tc>
          <w:tcPr/>
          <w:p>
            <w:pPr>
              <w:pStyle w:val="Compact"/>
              <w:jc w:val="right"/>
            </w:pPr>
            <w:r>
              <w:t xml:space="preserve">96.1</w:t>
            </w:r>
          </w:p>
        </w:tc>
        <w:tc>
          <w:tcPr/>
          <w:p>
            <w:pPr>
              <w:pStyle w:val="Compact"/>
              <w:jc w:val="right"/>
            </w:pPr>
            <w:r>
              <w:t xml:space="preserve">96.4</w:t>
            </w:r>
          </w:p>
        </w:tc>
        <w:tc>
          <w:tcPr/>
          <w:p>
            <w:pPr>
              <w:pStyle w:val="Compact"/>
              <w:jc w:val="right"/>
            </w:pPr>
            <w:r>
              <w:t xml:space="preserve">88.0</w:t>
            </w:r>
          </w:p>
        </w:tc>
        <w:tc>
          <w:tcPr/>
          <w:p>
            <w:pPr>
              <w:pStyle w:val="Compact"/>
              <w:jc w:val="right"/>
            </w:pPr>
            <w:r>
              <w:t xml:space="preserve">99.2</w:t>
            </w:r>
          </w:p>
        </w:tc>
        <w:tc>
          <w:tcPr/>
          <w:p>
            <w:pPr>
              <w:pStyle w:val="Compact"/>
              <w:jc w:val="right"/>
            </w:pPr>
            <w:r>
              <w:t xml:space="preserve">0.05</w:t>
            </w:r>
          </w:p>
        </w:tc>
        <w:tc>
          <w:tcPr/>
          <w:p>
            <w:pPr>
              <w:pStyle w:val="Compact"/>
              <w:jc w:val="right"/>
            </w:pPr>
            <w:r>
              <w:t xml:space="preserve">0.11</w:t>
            </w:r>
          </w:p>
        </w:tc>
      </w:tr>
      <w:tr>
        <w:tc>
          <w:tcPr/>
          <w:p>
            <w:pPr>
              <w:pStyle w:val="Compact"/>
              <w:jc w:val="left"/>
            </w:pPr>
            <w:r>
              <w:t xml:space="preserve">2020 Model 1</w:t>
            </w:r>
          </w:p>
        </w:tc>
        <w:tc>
          <w:tcPr/>
          <w:p>
            <w:pPr>
              <w:pStyle w:val="Compact"/>
              <w:jc w:val="left"/>
            </w:pPr>
            <w:r>
              <w:t xml:space="preserve">F x0.90</w:t>
            </w:r>
          </w:p>
        </w:tc>
        <w:tc>
          <w:tcPr/>
          <w:p>
            <w:pPr>
              <w:pStyle w:val="Compact"/>
              <w:jc w:val="right"/>
            </w:pPr>
            <w:r>
              <w:t xml:space="preserve">0.843</w:t>
            </w:r>
          </w:p>
        </w:tc>
        <w:tc>
          <w:tcPr/>
          <w:p>
            <w:pPr>
              <w:pStyle w:val="Compact"/>
              <w:jc w:val="right"/>
            </w:pPr>
            <w:r>
              <w:t xml:space="preserve">-0.32</w:t>
            </w:r>
          </w:p>
        </w:tc>
        <w:tc>
          <w:tcPr/>
          <w:p>
            <w:pPr>
              <w:pStyle w:val="Compact"/>
              <w:jc w:val="right"/>
            </w:pPr>
            <w:r>
              <w:t xml:space="preserve">1.24</w:t>
            </w:r>
          </w:p>
        </w:tc>
        <w:tc>
          <w:tcPr/>
          <w:p>
            <w:pPr>
              <w:pStyle w:val="Compact"/>
              <w:jc w:val="right"/>
            </w:pPr>
            <w:r>
              <w:t xml:space="preserve">1.17</w:t>
            </w:r>
          </w:p>
        </w:tc>
        <w:tc>
          <w:tcPr/>
          <w:p>
            <w:pPr>
              <w:pStyle w:val="Compact"/>
              <w:jc w:val="right"/>
            </w:pPr>
            <w:r>
              <w:t xml:space="preserve">0.78</w:t>
            </w:r>
          </w:p>
        </w:tc>
        <w:tc>
          <w:tcPr/>
          <w:p>
            <w:pPr>
              <w:pStyle w:val="Compact"/>
              <w:jc w:val="right"/>
            </w:pPr>
            <w:r>
              <w:t xml:space="preserve">0.00</w:t>
            </w:r>
          </w:p>
        </w:tc>
        <w:tc>
          <w:tcPr/>
          <w:p>
            <w:pPr>
              <w:pStyle w:val="Compact"/>
              <w:jc w:val="right"/>
            </w:pPr>
            <w:r>
              <w:t xml:space="preserve">16.1</w:t>
            </w:r>
          </w:p>
        </w:tc>
        <w:tc>
          <w:tcPr/>
          <w:p>
            <w:pPr>
              <w:pStyle w:val="Compact"/>
              <w:jc w:val="right"/>
            </w:pPr>
            <w:r>
              <w:t xml:space="preserve">88.8</w:t>
            </w:r>
          </w:p>
        </w:tc>
        <w:tc>
          <w:tcPr/>
          <w:p>
            <w:pPr>
              <w:pStyle w:val="Compact"/>
              <w:jc w:val="right"/>
            </w:pPr>
            <w:r>
              <w:t xml:space="preserve">87.6</w:t>
            </w:r>
          </w:p>
        </w:tc>
        <w:tc>
          <w:tcPr/>
          <w:p>
            <w:pPr>
              <w:pStyle w:val="Compact"/>
              <w:jc w:val="right"/>
            </w:pPr>
            <w:r>
              <w:t xml:space="preserve">97.8</w:t>
            </w:r>
          </w:p>
        </w:tc>
        <w:tc>
          <w:tcPr/>
          <w:p>
            <w:pPr>
              <w:pStyle w:val="Compact"/>
              <w:jc w:val="right"/>
            </w:pPr>
            <w:r>
              <w:t xml:space="preserve">1.83</w:t>
            </w:r>
          </w:p>
        </w:tc>
        <w:tc>
          <w:tcPr/>
          <w:p>
            <w:pPr>
              <w:pStyle w:val="Compact"/>
              <w:jc w:val="right"/>
            </w:pPr>
            <w:r>
              <w:t xml:space="preserve">2.12</w:t>
            </w:r>
          </w:p>
        </w:tc>
      </w:tr>
      <w:tr>
        <w:tc>
          <w:tcPr/>
          <w:p>
            <w:pPr>
              <w:pStyle w:val="Compact"/>
              <w:jc w:val="left"/>
            </w:pPr>
            <w:r>
              <w:t xml:space="preserve">2020 Model 1</w:t>
            </w:r>
          </w:p>
        </w:tc>
        <w:tc>
          <w:tcPr/>
          <w:p>
            <w:pPr>
              <w:pStyle w:val="Compact"/>
              <w:jc w:val="left"/>
            </w:pPr>
            <w:r>
              <w:t xml:space="preserve">ke x1.20</w:t>
            </w:r>
          </w:p>
        </w:tc>
        <w:tc>
          <w:tcPr/>
          <w:p>
            <w:pPr>
              <w:pStyle w:val="Compact"/>
              <w:jc w:val="right"/>
            </w:pPr>
            <w:r>
              <w:t xml:space="preserve">0.901</w:t>
            </w:r>
          </w:p>
        </w:tc>
        <w:tc>
          <w:tcPr/>
          <w:p>
            <w:pPr>
              <w:pStyle w:val="Compact"/>
              <w:jc w:val="right"/>
            </w:pPr>
            <w:r>
              <w:t xml:space="preserve">-0.19</w:t>
            </w:r>
          </w:p>
        </w:tc>
        <w:tc>
          <w:tcPr/>
          <w:p>
            <w:pPr>
              <w:pStyle w:val="Compact"/>
              <w:jc w:val="right"/>
            </w:pPr>
            <w:r>
              <w:t xml:space="preserve">-0.11</w:t>
            </w:r>
          </w:p>
        </w:tc>
        <w:tc>
          <w:tcPr/>
          <w:p>
            <w:pPr>
              <w:pStyle w:val="Compact"/>
              <w:jc w:val="right"/>
            </w:pPr>
            <w:r>
              <w:t xml:space="preserve">-0.51</w:t>
            </w:r>
          </w:p>
        </w:tc>
        <w:tc>
          <w:tcPr/>
          <w:p>
            <w:pPr>
              <w:pStyle w:val="Compact"/>
              <w:jc w:val="right"/>
            </w:pPr>
            <w:r>
              <w:t xml:space="preserve">0.05</w:t>
            </w:r>
          </w:p>
        </w:tc>
        <w:tc>
          <w:tcPr/>
          <w:p>
            <w:pPr>
              <w:pStyle w:val="Compact"/>
              <w:jc w:val="right"/>
            </w:pPr>
            <w:r>
              <w:t xml:space="preserve">-0.08</w:t>
            </w:r>
          </w:p>
        </w:tc>
        <w:tc>
          <w:tcPr/>
          <w:p>
            <w:pPr>
              <w:pStyle w:val="Compact"/>
              <w:jc w:val="right"/>
            </w:pPr>
            <w:r>
              <w:t xml:space="preserve">59.3</w:t>
            </w:r>
          </w:p>
        </w:tc>
        <w:tc>
          <w:tcPr/>
          <w:p>
            <w:pPr>
              <w:pStyle w:val="Compact"/>
              <w:jc w:val="right"/>
            </w:pPr>
            <w:r>
              <w:t xml:space="preserve">85.7</w:t>
            </w:r>
          </w:p>
        </w:tc>
        <w:tc>
          <w:tcPr/>
          <w:p>
            <w:pPr>
              <w:pStyle w:val="Compact"/>
              <w:jc w:val="right"/>
            </w:pPr>
            <w:r>
              <w:t xml:space="preserve">72.9</w:t>
            </w:r>
          </w:p>
        </w:tc>
        <w:tc>
          <w:tcPr/>
          <w:p>
            <w:pPr>
              <w:pStyle w:val="Compact"/>
              <w:jc w:val="right"/>
            </w:pPr>
            <w:r>
              <w:t xml:space="preserve">96.3</w:t>
            </w:r>
          </w:p>
        </w:tc>
        <w:tc>
          <w:tcPr/>
          <w:p>
            <w:pPr>
              <w:pStyle w:val="Compact"/>
              <w:jc w:val="right"/>
            </w:pPr>
            <w:r>
              <w:t xml:space="preserve">-0.14</w:t>
            </w:r>
          </w:p>
        </w:tc>
        <w:tc>
          <w:tcPr/>
          <w:p>
            <w:pPr>
              <w:pStyle w:val="Compact"/>
              <w:jc w:val="right"/>
            </w:pPr>
            <w:r>
              <w:t xml:space="preserve">-0.66</w:t>
            </w:r>
          </w:p>
        </w:tc>
      </w:tr>
      <w:tr>
        <w:tc>
          <w:tcPr/>
          <w:p>
            <w:pPr>
              <w:pStyle w:val="Compact"/>
              <w:jc w:val="left"/>
            </w:pPr>
            <w:r>
              <w:t xml:space="preserve">2020 Model 1</w:t>
            </w:r>
          </w:p>
        </w:tc>
        <w:tc>
          <w:tcPr/>
          <w:p>
            <w:pPr>
              <w:pStyle w:val="Compact"/>
              <w:jc w:val="left"/>
            </w:pPr>
            <w:r>
              <w:t xml:space="preserve">Vmax x1.25</w:t>
            </w:r>
          </w:p>
        </w:tc>
        <w:tc>
          <w:tcPr/>
          <w:p>
            <w:pPr>
              <w:pStyle w:val="Compact"/>
              <w:jc w:val="right"/>
            </w:pPr>
            <w:r>
              <w:t xml:space="preserve">0.865</w:t>
            </w:r>
          </w:p>
        </w:tc>
        <w:tc>
          <w:tcPr/>
          <w:p>
            <w:pPr>
              <w:pStyle w:val="Compact"/>
              <w:jc w:val="right"/>
            </w:pPr>
            <w:r>
              <w:t xml:space="preserve">-0.81</w:t>
            </w:r>
          </w:p>
        </w:tc>
        <w:tc>
          <w:tcPr/>
          <w:p>
            <w:pPr>
              <w:pStyle w:val="Compact"/>
              <w:jc w:val="right"/>
            </w:pPr>
            <w:r>
              <w:t xml:space="preserve">2.99</w:t>
            </w:r>
          </w:p>
        </w:tc>
        <w:tc>
          <w:tcPr/>
          <w:p>
            <w:pPr>
              <w:pStyle w:val="Compact"/>
              <w:jc w:val="right"/>
            </w:pPr>
            <w:r>
              <w:t xml:space="preserve">2.58</w:t>
            </w:r>
          </w:p>
        </w:tc>
        <w:tc>
          <w:tcPr/>
          <w:p>
            <w:pPr>
              <w:pStyle w:val="Compact"/>
              <w:jc w:val="right"/>
            </w:pPr>
            <w:r>
              <w:t xml:space="preserve">1.86</w:t>
            </w:r>
          </w:p>
        </w:tc>
        <w:tc>
          <w:tcPr/>
          <w:p>
            <w:pPr>
              <w:pStyle w:val="Compact"/>
              <w:jc w:val="right"/>
            </w:pPr>
            <w:r>
              <w:t xml:space="preserve">-0.15</w:t>
            </w:r>
          </w:p>
        </w:tc>
        <w:tc>
          <w:tcPr/>
          <w:p>
            <w:pPr>
              <w:pStyle w:val="Compact"/>
              <w:jc w:val="right"/>
            </w:pPr>
            <w:r>
              <w:t xml:space="preserve">25.3</w:t>
            </w:r>
          </w:p>
        </w:tc>
        <w:tc>
          <w:tcPr/>
          <w:p>
            <w:pPr>
              <w:pStyle w:val="Compact"/>
              <w:jc w:val="right"/>
            </w:pPr>
            <w:r>
              <w:t xml:space="preserve">71.2</w:t>
            </w:r>
          </w:p>
        </w:tc>
        <w:tc>
          <w:tcPr/>
          <w:p>
            <w:pPr>
              <w:pStyle w:val="Compact"/>
              <w:jc w:val="right"/>
            </w:pPr>
            <w:r>
              <w:t xml:space="preserve">76.2</w:t>
            </w:r>
          </w:p>
        </w:tc>
        <w:tc>
          <w:tcPr/>
          <w:p>
            <w:pPr>
              <w:pStyle w:val="Compact"/>
              <w:jc w:val="right"/>
            </w:pPr>
            <w:r>
              <w:t xml:space="preserve">95.4</w:t>
            </w:r>
          </w:p>
        </w:tc>
        <w:tc>
          <w:tcPr/>
          <w:p>
            <w:pPr>
              <w:pStyle w:val="Compact"/>
              <w:jc w:val="right"/>
            </w:pPr>
            <w:r>
              <w:t xml:space="preserve">4.59</w:t>
            </w:r>
          </w:p>
        </w:tc>
        <w:tc>
          <w:tcPr/>
          <w:p>
            <w:pPr>
              <w:pStyle w:val="Compact"/>
              <w:jc w:val="right"/>
            </w:pPr>
            <w:r>
              <w:t xml:space="preserve">4.86</w:t>
            </w:r>
          </w:p>
        </w:tc>
      </w:tr>
      <w:tr>
        <w:tc>
          <w:tcPr/>
          <w:p>
            <w:pPr>
              <w:pStyle w:val="Compact"/>
              <w:jc w:val="left"/>
            </w:pPr>
            <w:r>
              <w:t xml:space="preserve">2020 Model 1</w:t>
            </w:r>
          </w:p>
        </w:tc>
        <w:tc>
          <w:tcPr/>
          <w:p>
            <w:pPr>
              <w:pStyle w:val="Compact"/>
              <w:jc w:val="left"/>
            </w:pPr>
            <w:r>
              <w:t xml:space="preserve">Km x10</w:t>
            </w:r>
          </w:p>
        </w:tc>
        <w:tc>
          <w:tcPr/>
          <w:p>
            <w:pPr>
              <w:pStyle w:val="Compact"/>
              <w:jc w:val="right"/>
            </w:pPr>
            <w:r>
              <w:t xml:space="preserve">1.007</w:t>
            </w:r>
          </w:p>
        </w:tc>
        <w:tc>
          <w:tcPr/>
          <w:p>
            <w:pPr>
              <w:pStyle w:val="Compact"/>
              <w:jc w:val="right"/>
            </w:pPr>
            <w:r>
              <w:t xml:space="preserve">0.30</w:t>
            </w:r>
          </w:p>
        </w:tc>
        <w:tc>
          <w:tcPr/>
          <w:p>
            <w:pPr>
              <w:pStyle w:val="Compact"/>
              <w:jc w:val="right"/>
            </w:pPr>
            <w:r>
              <w:t xml:space="preserve">-1.62</w:t>
            </w:r>
          </w:p>
        </w:tc>
        <w:tc>
          <w:tcPr/>
          <w:p>
            <w:pPr>
              <w:pStyle w:val="Compact"/>
              <w:jc w:val="right"/>
            </w:pPr>
            <w:r>
              <w:t xml:space="preserve">-1.09</w:t>
            </w:r>
          </w:p>
        </w:tc>
        <w:tc>
          <w:tcPr/>
          <w:p>
            <w:pPr>
              <w:pStyle w:val="Compact"/>
              <w:jc w:val="right"/>
            </w:pPr>
            <w:r>
              <w:t xml:space="preserve">-1.30</w:t>
            </w:r>
          </w:p>
        </w:tc>
        <w:tc>
          <w:tcPr/>
          <w:p>
            <w:pPr>
              <w:pStyle w:val="Compact"/>
              <w:jc w:val="right"/>
            </w:pPr>
            <w:r>
              <w:t xml:space="preserve">-0.67</w:t>
            </w:r>
          </w:p>
        </w:tc>
        <w:tc>
          <w:tcPr/>
          <w:p>
            <w:pPr>
              <w:pStyle w:val="Compact"/>
              <w:jc w:val="right"/>
            </w:pPr>
            <w:r>
              <w:t xml:space="preserve">96.2</w:t>
            </w:r>
          </w:p>
        </w:tc>
        <w:tc>
          <w:tcPr/>
          <w:p>
            <w:pPr>
              <w:pStyle w:val="Compact"/>
              <w:jc w:val="right"/>
            </w:pPr>
            <w:r>
              <w:t xml:space="preserve">95.5</w:t>
            </w:r>
          </w:p>
        </w:tc>
        <w:tc>
          <w:tcPr/>
          <w:p>
            <w:pPr>
              <w:pStyle w:val="Compact"/>
              <w:jc w:val="right"/>
            </w:pPr>
            <w:r>
              <w:t xml:space="preserve">84.1</w:t>
            </w:r>
          </w:p>
        </w:tc>
        <w:tc>
          <w:tcPr/>
          <w:p>
            <w:pPr>
              <w:pStyle w:val="Compact"/>
              <w:jc w:val="right"/>
            </w:pPr>
            <w:r>
              <w:t xml:space="preserve">98.9</w:t>
            </w:r>
          </w:p>
        </w:tc>
        <w:tc>
          <w:tcPr/>
          <w:p>
            <w:pPr>
              <w:pStyle w:val="Compact"/>
              <w:jc w:val="right"/>
            </w:pPr>
            <w:r>
              <w:t xml:space="preserve">1.88</w:t>
            </w:r>
          </w:p>
        </w:tc>
        <w:tc>
          <w:tcPr/>
          <w:p>
            <w:pPr>
              <w:pStyle w:val="Compact"/>
              <w:jc w:val="right"/>
            </w:pPr>
            <w:r>
              <w:t xml:space="preserve">6.51</w:t>
            </w:r>
          </w:p>
        </w:tc>
      </w:tr>
      <w:tr>
        <w:tc>
          <w:tcPr/>
          <w:p>
            <w:pPr>
              <w:pStyle w:val="Compact"/>
              <w:jc w:val="left"/>
            </w:pPr>
            <w:r>
              <w:t xml:space="preserve">2016 model with phase 3 covariates</w:t>
            </w:r>
          </w:p>
        </w:tc>
        <w:tc>
          <w:tcPr/>
          <w:p>
            <w:pPr>
              <w:pStyle w:val="Compact"/>
              <w:jc w:val="left"/>
            </w:pPr>
            <w:r>
              <w:t xml:space="preserve">identical</w:t>
            </w:r>
          </w:p>
        </w:tc>
        <w:tc>
          <w:tcPr/>
          <w:p>
            <w:pPr>
              <w:pStyle w:val="Compact"/>
              <w:jc w:val="right"/>
            </w:pPr>
            <w:r>
              <w:t xml:space="preserve">1.000</w:t>
            </w:r>
          </w:p>
        </w:tc>
        <w:tc>
          <w:tcPr/>
          <w:p>
            <w:pPr>
              <w:pStyle w:val="Compact"/>
              <w:jc w:val="right"/>
            </w:pPr>
            <w:r>
              <w:t xml:space="preserve">0.08</w:t>
            </w:r>
          </w:p>
        </w:tc>
        <w:tc>
          <w:tcPr/>
          <w:p>
            <w:pPr>
              <w:pStyle w:val="Compact"/>
              <w:jc w:val="right"/>
            </w:pPr>
            <w:r>
              <w:t xml:space="preserve">0.07</w:t>
            </w:r>
          </w:p>
        </w:tc>
        <w:tc>
          <w:tcPr/>
          <w:p>
            <w:pPr>
              <w:pStyle w:val="Compact"/>
              <w:jc w:val="right"/>
            </w:pPr>
            <w:r>
              <w:t xml:space="preserve">0.14</w:t>
            </w:r>
          </w:p>
        </w:tc>
        <w:tc>
          <w:tcPr/>
          <w:p>
            <w:pPr>
              <w:pStyle w:val="Compact"/>
              <w:jc w:val="right"/>
            </w:pPr>
            <w:r>
              <w:t xml:space="preserve">0.07</w:t>
            </w:r>
          </w:p>
        </w:tc>
        <w:tc>
          <w:tcPr/>
          <w:p>
            <w:pPr>
              <w:pStyle w:val="Compact"/>
              <w:jc w:val="right"/>
            </w:pPr>
            <w:r>
              <w:t xml:space="preserve">0.09</w:t>
            </w:r>
          </w:p>
        </w:tc>
        <w:tc>
          <w:tcPr/>
          <w:p>
            <w:pPr>
              <w:pStyle w:val="Compact"/>
              <w:jc w:val="right"/>
            </w:pPr>
            <w:r>
              <w:t xml:space="preserve">94.2</w:t>
            </w:r>
          </w:p>
        </w:tc>
        <w:tc>
          <w:tcPr/>
          <w:p>
            <w:pPr>
              <w:pStyle w:val="Compact"/>
              <w:jc w:val="right"/>
            </w:pPr>
            <w:r>
              <w:t xml:space="preserve">93.6</w:t>
            </w:r>
          </w:p>
        </w:tc>
        <w:tc>
          <w:tcPr/>
          <w:p>
            <w:pPr>
              <w:pStyle w:val="Compact"/>
              <w:jc w:val="right"/>
            </w:pPr>
            <w:r>
              <w:t xml:space="preserve">79.9</w:t>
            </w:r>
          </w:p>
        </w:tc>
        <w:tc>
          <w:tcPr/>
          <w:p>
            <w:pPr>
              <w:pStyle w:val="Compact"/>
              <w:jc w:val="right"/>
            </w:pPr>
            <w:r>
              <w:t xml:space="preserve">99.5</w:t>
            </w:r>
          </w:p>
        </w:tc>
        <w:tc>
          <w:tcPr/>
          <w:p>
            <w:pPr>
              <w:pStyle w:val="Compact"/>
              <w:jc w:val="right"/>
            </w:pPr>
            <w:r>
              <w:t xml:space="preserve">-0.02</w:t>
            </w:r>
          </w:p>
        </w:tc>
        <w:tc>
          <w:tcPr/>
          <w:p>
            <w:pPr>
              <w:pStyle w:val="Compact"/>
              <w:jc w:val="right"/>
            </w:pPr>
            <w:r>
              <w:t xml:space="preserve">0.20</w:t>
            </w:r>
          </w:p>
        </w:tc>
      </w:tr>
      <w:tr>
        <w:tc>
          <w:tcPr/>
          <w:p>
            <w:pPr>
              <w:pStyle w:val="Compact"/>
              <w:jc w:val="left"/>
            </w:pPr>
            <w:r>
              <w:t xml:space="preserve">2016 model with phase 3 covariates</w:t>
            </w:r>
          </w:p>
        </w:tc>
        <w:tc>
          <w:tcPr/>
          <w:p>
            <w:pPr>
              <w:pStyle w:val="Compact"/>
              <w:jc w:val="left"/>
            </w:pPr>
            <w:r>
              <w:t xml:space="preserve">F x0.90</w:t>
            </w:r>
          </w:p>
        </w:tc>
        <w:tc>
          <w:tcPr/>
          <w:p>
            <w:pPr>
              <w:pStyle w:val="Compact"/>
              <w:jc w:val="right"/>
            </w:pPr>
            <w:r>
              <w:t xml:space="preserve">0.842</w:t>
            </w:r>
          </w:p>
        </w:tc>
        <w:tc>
          <w:tcPr/>
          <w:p>
            <w:pPr>
              <w:pStyle w:val="Compact"/>
              <w:jc w:val="right"/>
            </w:pPr>
            <w:r>
              <w:t xml:space="preserve">-0.36</w:t>
            </w:r>
          </w:p>
        </w:tc>
        <w:tc>
          <w:tcPr/>
          <w:p>
            <w:pPr>
              <w:pStyle w:val="Compact"/>
              <w:jc w:val="right"/>
            </w:pPr>
            <w:r>
              <w:t xml:space="preserve">1.77</w:t>
            </w:r>
          </w:p>
        </w:tc>
        <w:tc>
          <w:tcPr/>
          <w:p>
            <w:pPr>
              <w:pStyle w:val="Compact"/>
              <w:jc w:val="right"/>
            </w:pPr>
            <w:r>
              <w:t xml:space="preserve">1.71</w:t>
            </w:r>
          </w:p>
        </w:tc>
        <w:tc>
          <w:tcPr/>
          <w:p>
            <w:pPr>
              <w:pStyle w:val="Compact"/>
              <w:jc w:val="right"/>
            </w:pPr>
            <w:r>
              <w:t xml:space="preserve">1.10</w:t>
            </w:r>
          </w:p>
        </w:tc>
        <w:tc>
          <w:tcPr/>
          <w:p>
            <w:pPr>
              <w:pStyle w:val="Compact"/>
              <w:jc w:val="right"/>
            </w:pPr>
            <w:r>
              <w:t xml:space="preserve">-0.18</w:t>
            </w:r>
          </w:p>
        </w:tc>
        <w:tc>
          <w:tcPr/>
          <w:p>
            <w:pPr>
              <w:pStyle w:val="Compact"/>
              <w:jc w:val="right"/>
            </w:pPr>
            <w:r>
              <w:t xml:space="preserve">12.2</w:t>
            </w:r>
          </w:p>
        </w:tc>
        <w:tc>
          <w:tcPr/>
          <w:p>
            <w:pPr>
              <w:pStyle w:val="Compact"/>
              <w:jc w:val="right"/>
            </w:pPr>
            <w:r>
              <w:t xml:space="preserve">88.0</w:t>
            </w:r>
          </w:p>
        </w:tc>
        <w:tc>
          <w:tcPr/>
          <w:p>
            <w:pPr>
              <w:pStyle w:val="Compact"/>
              <w:jc w:val="right"/>
            </w:pPr>
            <w:r>
              <w:t xml:space="preserve">86.3</w:t>
            </w:r>
          </w:p>
        </w:tc>
        <w:tc>
          <w:tcPr/>
          <w:p>
            <w:pPr>
              <w:pStyle w:val="Compact"/>
              <w:jc w:val="right"/>
            </w:pPr>
            <w:r>
              <w:t xml:space="preserve">98.7</w:t>
            </w:r>
          </w:p>
        </w:tc>
        <w:tc>
          <w:tcPr/>
          <w:p>
            <w:pPr>
              <w:pStyle w:val="Compact"/>
              <w:jc w:val="right"/>
            </w:pPr>
            <w:r>
              <w:t xml:space="preserve">2.81</w:t>
            </w:r>
          </w:p>
        </w:tc>
        <w:tc>
          <w:tcPr/>
          <w:p>
            <w:pPr>
              <w:pStyle w:val="Compact"/>
              <w:jc w:val="right"/>
            </w:pPr>
            <w:r>
              <w:t xml:space="preserve">2.43</w:t>
            </w:r>
          </w:p>
        </w:tc>
      </w:tr>
      <w:tr>
        <w:tc>
          <w:tcPr/>
          <w:p>
            <w:pPr>
              <w:pStyle w:val="Compact"/>
              <w:jc w:val="left"/>
            </w:pPr>
            <w:r>
              <w:t xml:space="preserve">2016 model with phase 3 covariates</w:t>
            </w:r>
          </w:p>
        </w:tc>
        <w:tc>
          <w:tcPr/>
          <w:p>
            <w:pPr>
              <w:pStyle w:val="Compact"/>
              <w:jc w:val="left"/>
            </w:pPr>
            <w:r>
              <w:t xml:space="preserve">ke x1.20</w:t>
            </w:r>
          </w:p>
        </w:tc>
        <w:tc>
          <w:tcPr/>
          <w:p>
            <w:pPr>
              <w:pStyle w:val="Compact"/>
              <w:jc w:val="right"/>
            </w:pPr>
            <w:r>
              <w:t xml:space="preserve">0.904</w:t>
            </w:r>
          </w:p>
        </w:tc>
        <w:tc>
          <w:tcPr/>
          <w:p>
            <w:pPr>
              <w:pStyle w:val="Compact"/>
              <w:jc w:val="right"/>
            </w:pPr>
            <w:r>
              <w:t xml:space="preserve">-0.15</w:t>
            </w:r>
          </w:p>
        </w:tc>
        <w:tc>
          <w:tcPr/>
          <w:p>
            <w:pPr>
              <w:pStyle w:val="Compact"/>
              <w:jc w:val="right"/>
            </w:pPr>
            <w:r>
              <w:t xml:space="preserve">0.25</w:t>
            </w:r>
          </w:p>
        </w:tc>
        <w:tc>
          <w:tcPr/>
          <w:p>
            <w:pPr>
              <w:pStyle w:val="Compact"/>
              <w:jc w:val="right"/>
            </w:pPr>
            <w:r>
              <w:t xml:space="preserve">0.12</w:t>
            </w:r>
          </w:p>
        </w:tc>
        <w:tc>
          <w:tcPr/>
          <w:p>
            <w:pPr>
              <w:pStyle w:val="Compact"/>
              <w:jc w:val="right"/>
            </w:pPr>
            <w:r>
              <w:t xml:space="preserve">0.16</w:t>
            </w:r>
          </w:p>
        </w:tc>
        <w:tc>
          <w:tcPr/>
          <w:p>
            <w:pPr>
              <w:pStyle w:val="Compact"/>
              <w:jc w:val="right"/>
            </w:pPr>
            <w:r>
              <w:t xml:space="preserve">-0.11</w:t>
            </w:r>
          </w:p>
        </w:tc>
        <w:tc>
          <w:tcPr/>
          <w:p>
            <w:pPr>
              <w:pStyle w:val="Compact"/>
              <w:jc w:val="right"/>
            </w:pPr>
            <w:r>
              <w:t xml:space="preserve">56.0</w:t>
            </w:r>
          </w:p>
        </w:tc>
        <w:tc>
          <w:tcPr/>
          <w:p>
            <w:pPr>
              <w:pStyle w:val="Compact"/>
              <w:jc w:val="right"/>
            </w:pPr>
            <w:r>
              <w:t xml:space="preserve">78.9</w:t>
            </w:r>
          </w:p>
        </w:tc>
        <w:tc>
          <w:tcPr/>
          <w:p>
            <w:pPr>
              <w:pStyle w:val="Compact"/>
              <w:jc w:val="right"/>
            </w:pPr>
            <w:r>
              <w:t xml:space="preserve">70.2</w:t>
            </w:r>
          </w:p>
        </w:tc>
        <w:tc>
          <w:tcPr/>
          <w:p>
            <w:pPr>
              <w:pStyle w:val="Compact"/>
              <w:jc w:val="right"/>
            </w:pPr>
            <w:r>
              <w:t xml:space="preserve">96.5</w:t>
            </w:r>
          </w:p>
        </w:tc>
        <w:tc>
          <w:tcPr/>
          <w:p>
            <w:pPr>
              <w:pStyle w:val="Compact"/>
              <w:jc w:val="right"/>
            </w:pPr>
            <w:r>
              <w:t xml:space="preserve">0.18</w:t>
            </w:r>
          </w:p>
        </w:tc>
        <w:tc>
          <w:tcPr/>
          <w:p>
            <w:pPr>
              <w:pStyle w:val="Compact"/>
              <w:jc w:val="right"/>
            </w:pPr>
            <w:r>
              <w:t xml:space="preserve">-0.60</w:t>
            </w:r>
          </w:p>
        </w:tc>
      </w:tr>
      <w:tr>
        <w:tc>
          <w:tcPr/>
          <w:p>
            <w:pPr>
              <w:pStyle w:val="Compact"/>
              <w:jc w:val="left"/>
            </w:pPr>
            <w:r>
              <w:t xml:space="preserve">2016 model with phase 3 covariates</w:t>
            </w:r>
          </w:p>
        </w:tc>
        <w:tc>
          <w:tcPr/>
          <w:p>
            <w:pPr>
              <w:pStyle w:val="Compact"/>
              <w:jc w:val="left"/>
            </w:pPr>
            <w:r>
              <w:t xml:space="preserve">Vmax x1.25</w:t>
            </w:r>
          </w:p>
        </w:tc>
        <w:tc>
          <w:tcPr/>
          <w:p>
            <w:pPr>
              <w:pStyle w:val="Compact"/>
              <w:jc w:val="right"/>
            </w:pPr>
            <w:r>
              <w:t xml:space="preserve">0.863</w:t>
            </w:r>
          </w:p>
        </w:tc>
        <w:tc>
          <w:tcPr/>
          <w:p>
            <w:pPr>
              <w:pStyle w:val="Compact"/>
              <w:jc w:val="right"/>
            </w:pPr>
            <w:r>
              <w:t xml:space="preserve">-0.94</w:t>
            </w:r>
          </w:p>
        </w:tc>
        <w:tc>
          <w:tcPr/>
          <w:p>
            <w:pPr>
              <w:pStyle w:val="Compact"/>
              <w:jc w:val="right"/>
            </w:pPr>
            <w:r>
              <w:t xml:space="preserve">3.97</w:t>
            </w:r>
          </w:p>
        </w:tc>
        <w:tc>
          <w:tcPr/>
          <w:p>
            <w:pPr>
              <w:pStyle w:val="Compact"/>
              <w:jc w:val="right"/>
            </w:pPr>
            <w:r>
              <w:t xml:space="preserve">3.97</w:t>
            </w:r>
          </w:p>
        </w:tc>
        <w:tc>
          <w:tcPr/>
          <w:p>
            <w:pPr>
              <w:pStyle w:val="Compact"/>
              <w:jc w:val="right"/>
            </w:pPr>
            <w:r>
              <w:t xml:space="preserve">2.61</w:t>
            </w:r>
          </w:p>
        </w:tc>
        <w:tc>
          <w:tcPr/>
          <w:p>
            <w:pPr>
              <w:pStyle w:val="Compact"/>
              <w:jc w:val="right"/>
            </w:pPr>
            <w:r>
              <w:t xml:space="preserve">-0.63</w:t>
            </w:r>
          </w:p>
        </w:tc>
        <w:tc>
          <w:tcPr/>
          <w:p>
            <w:pPr>
              <w:pStyle w:val="Compact"/>
              <w:jc w:val="right"/>
            </w:pPr>
            <w:r>
              <w:t xml:space="preserve">20.1</w:t>
            </w:r>
          </w:p>
        </w:tc>
        <w:tc>
          <w:tcPr/>
          <w:p>
            <w:pPr>
              <w:pStyle w:val="Compact"/>
              <w:jc w:val="right"/>
            </w:pPr>
            <w:r>
              <w:t xml:space="preserve">68.1</w:t>
            </w:r>
          </w:p>
        </w:tc>
        <w:tc>
          <w:tcPr/>
          <w:p>
            <w:pPr>
              <w:pStyle w:val="Compact"/>
              <w:jc w:val="right"/>
            </w:pPr>
            <w:r>
              <w:t xml:space="preserve">71.6</w:t>
            </w:r>
          </w:p>
        </w:tc>
        <w:tc>
          <w:tcPr/>
          <w:p>
            <w:pPr>
              <w:pStyle w:val="Compact"/>
              <w:jc w:val="right"/>
            </w:pPr>
            <w:r>
              <w:t xml:space="preserve">97.4</w:t>
            </w:r>
          </w:p>
        </w:tc>
        <w:tc>
          <w:tcPr/>
          <w:p>
            <w:pPr>
              <w:pStyle w:val="Compact"/>
              <w:jc w:val="right"/>
            </w:pPr>
            <w:r>
              <w:t xml:space="preserve">6.96</w:t>
            </w:r>
          </w:p>
        </w:tc>
        <w:tc>
          <w:tcPr/>
          <w:p>
            <w:pPr>
              <w:pStyle w:val="Compact"/>
              <w:jc w:val="right"/>
            </w:pPr>
            <w:r>
              <w:t xml:space="preserve">5.61</w:t>
            </w:r>
          </w:p>
        </w:tc>
      </w:tr>
      <w:tr>
        <w:tc>
          <w:tcPr/>
          <w:p>
            <w:pPr>
              <w:pStyle w:val="Compact"/>
              <w:jc w:val="left"/>
            </w:pPr>
            <w:r>
              <w:t xml:space="preserve">2016 model with phase 3 covariates</w:t>
            </w:r>
          </w:p>
        </w:tc>
        <w:tc>
          <w:tcPr/>
          <w:p>
            <w:pPr>
              <w:pStyle w:val="Compact"/>
              <w:jc w:val="left"/>
            </w:pPr>
            <w:r>
              <w:t xml:space="preserve">Km x10</w:t>
            </w:r>
          </w:p>
        </w:tc>
        <w:tc>
          <w:tcPr/>
          <w:p>
            <w:pPr>
              <w:pStyle w:val="Compact"/>
              <w:jc w:val="right"/>
            </w:pPr>
            <w:r>
              <w:t xml:space="preserve">1.007</w:t>
            </w:r>
          </w:p>
        </w:tc>
        <w:tc>
          <w:tcPr/>
          <w:p>
            <w:pPr>
              <w:pStyle w:val="Compact"/>
              <w:jc w:val="right"/>
            </w:pPr>
            <w:r>
              <w:t xml:space="preserve">0.39</w:t>
            </w:r>
          </w:p>
        </w:tc>
        <w:tc>
          <w:tcPr/>
          <w:p>
            <w:pPr>
              <w:pStyle w:val="Compact"/>
              <w:jc w:val="right"/>
            </w:pPr>
            <w:r>
              <w:t xml:space="preserve">-2.56</w:t>
            </w:r>
          </w:p>
        </w:tc>
        <w:tc>
          <w:tcPr/>
          <w:p>
            <w:pPr>
              <w:pStyle w:val="Compact"/>
              <w:jc w:val="right"/>
            </w:pPr>
            <w:r>
              <w:t xml:space="preserve">-2.42</w:t>
            </w:r>
          </w:p>
        </w:tc>
        <w:tc>
          <w:tcPr/>
          <w:p>
            <w:pPr>
              <w:pStyle w:val="Compact"/>
              <w:jc w:val="right"/>
            </w:pPr>
            <w:r>
              <w:t xml:space="preserve">-1.73</w:t>
            </w:r>
          </w:p>
        </w:tc>
        <w:tc>
          <w:tcPr/>
          <w:p>
            <w:pPr>
              <w:pStyle w:val="Compact"/>
              <w:jc w:val="right"/>
            </w:pPr>
            <w:r>
              <w:t xml:space="preserve">-0.53</w:t>
            </w:r>
          </w:p>
        </w:tc>
        <w:tc>
          <w:tcPr/>
          <w:p>
            <w:pPr>
              <w:pStyle w:val="Compact"/>
              <w:jc w:val="right"/>
            </w:pPr>
            <w:r>
              <w:t xml:space="preserve">93.7</w:t>
            </w:r>
          </w:p>
        </w:tc>
        <w:tc>
          <w:tcPr/>
          <w:p>
            <w:pPr>
              <w:pStyle w:val="Compact"/>
              <w:jc w:val="right"/>
            </w:pPr>
            <w:r>
              <w:t xml:space="preserve">90.5</w:t>
            </w:r>
          </w:p>
        </w:tc>
        <w:tc>
          <w:tcPr/>
          <w:p>
            <w:pPr>
              <w:pStyle w:val="Compact"/>
              <w:jc w:val="right"/>
            </w:pPr>
            <w:r>
              <w:t xml:space="preserve">74.2</w:t>
            </w:r>
          </w:p>
        </w:tc>
        <w:tc>
          <w:tcPr/>
          <w:p>
            <w:pPr>
              <w:pStyle w:val="Compact"/>
              <w:jc w:val="right"/>
            </w:pPr>
            <w:r>
              <w:t xml:space="preserve">98.1</w:t>
            </w:r>
          </w:p>
        </w:tc>
        <w:tc>
          <w:tcPr/>
          <w:p>
            <w:pPr>
              <w:pStyle w:val="Compact"/>
              <w:jc w:val="right"/>
            </w:pPr>
            <w:r>
              <w:t xml:space="preserve">-0.37</w:t>
            </w:r>
          </w:p>
        </w:tc>
        <w:tc>
          <w:tcPr/>
          <w:p>
            <w:pPr>
              <w:pStyle w:val="Compact"/>
              <w:jc w:val="right"/>
            </w:pPr>
            <w:r>
              <w:t xml:space="preserve">3.86</w:t>
            </w:r>
          </w:p>
        </w:tc>
      </w:tr>
    </w:tbl>
    <w:p>
      <w:pPr>
        <w:pStyle w:val="BodyText"/>
      </w:pPr>
      <w:r>
        <w:rPr>
          <w:bCs/>
          <w:b/>
        </w:rPr>
        <w:t xml:space="preserve">Population with a mean of 100 kg and uniform weight bands.</w:t>
      </w:r>
      <w:r>
        <w:t xml:space="preserve"> </w:t>
      </w:r>
      <w:r>
        <w:t xml:space="preserve">In simulated trials of a heavier population (body weight normal, mean 100 kg, SD 20 kg, 60 to 150 kg; a stress test, not a population estimate), subjects failing the criteria are 3.2 to 6.4 kg heavier than those retained. Across uniform weight bands of the primary model, reliability under set (i) falls from 90.8% at 40-60 kg to 70.9% at 130-150 kg. Across uniform body-weight bands from 40 to 150 kg (primary model, 20,000 subjects per band), the median true extrapolated fraction ranges from 0.51 to 1.40%, and window coverage below 80% is at most 0.01%.</w:t>
      </w:r>
    </w:p>
    <w:p>
      <w:pPr>
        <w:pStyle w:val="BodyText"/>
      </w:pPr>
      <w:r>
        <w:t xml:space="preserve">The body-weight ranges of the models’ development data are not reported, so results above about 130 kg (1.2% of the primary distribution) may be extrapolations.</w:t>
      </w:r>
    </w:p>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7" Target="media/rId117.png" /><Relationship Type="http://schemas.openxmlformats.org/officeDocument/2006/relationships/image" Id="rId114" Target="media/rId11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75" Target="media/rId75.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image" Id="rId55" Target="media/rId55.png" /><Relationship Type="http://schemas.openxmlformats.org/officeDocument/2006/relationships/image" Id="rId93" Target="media/rId93.png" /><Relationship Type="http://schemas.openxmlformats.org/officeDocument/2006/relationships/image" Id="rId64" Target="media/rId64.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and Simulation Report</dc:title>
  <dc:creator/>
  <cp:keywords/>
  <dcterms:created xsi:type="dcterms:W3CDTF">2026-09-29T05:12:24Z</dcterms:created>
  <dcterms:modified xsi:type="dcterms:W3CDTF">2026-09-29T05:12:24Z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2026-09-29</vt:lpwstr>
  </property>
  <property fmtid="{D5CDD505-2E9C-101B-9397-08002B2CF9AE}" pid="3" name="subtitle">
    <vt:lpwstr>AUC0-last and Cmax as co-primary endpoints, and the sampling schedule, for a single-dose pharmacokinetic similarity study of a proposed dupilumab biosimilar</vt:lpwstr>
  </property>
</Properties>
</file>