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Anticipated</w:t>
      </w:r>
      <w:r>
        <w:t xml:space="preserve"> </w:t>
      </w:r>
      <w:r>
        <w:t xml:space="preserve">FDA</w:t>
      </w:r>
      <w:r>
        <w:t xml:space="preserve"> </w:t>
      </w:r>
      <w:r>
        <w:t xml:space="preserve">Questions</w:t>
      </w:r>
      <w:r>
        <w:t xml:space="preserve"> </w:t>
      </w:r>
      <w:r>
        <w:t xml:space="preserve">and</w:t>
      </w:r>
      <w:r>
        <w:t xml:space="preserve"> </w:t>
      </w:r>
      <w:r>
        <w:t xml:space="preserve">Evidence-Based</w:t>
      </w:r>
      <w:r>
        <w:t xml:space="preserve"> </w:t>
      </w:r>
      <w:r>
        <w:t xml:space="preserve">Responses</w:t>
      </w:r>
    </w:p>
    <w:p>
      <w:pPr>
        <w:pStyle w:val="Subtitle"/>
      </w:pPr>
      <w:r>
        <w:t xml:space="preserve">PK</w:t>
      </w:r>
      <w:r>
        <w:t xml:space="preserve"> </w:t>
      </w:r>
      <w:r>
        <w:t xml:space="preserve">similarity</w:t>
      </w:r>
      <w:r>
        <w:t xml:space="preserve"> </w:t>
      </w:r>
      <w:r>
        <w:t xml:space="preserve">study</w:t>
      </w:r>
      <w:r>
        <w:t xml:space="preserve"> </w:t>
      </w:r>
      <w:r>
        <w:t xml:space="preserve">of</w:t>
      </w:r>
      <w:r>
        <w:t xml:space="preserve"> </w:t>
      </w:r>
      <w:r>
        <w:t xml:space="preserve">a</w:t>
      </w:r>
      <w:r>
        <w:t xml:space="preserve"> </w:t>
      </w:r>
      <w:r>
        <w:t xml:space="preserve">proposed</w:t>
      </w:r>
      <w:r>
        <w:t xml:space="preserve"> </w:t>
      </w:r>
      <w:r>
        <w:t xml:space="preserve">dupilumab</w:t>
      </w:r>
      <w:r>
        <w:t xml:space="preserve"> </w:t>
      </w:r>
      <w:r>
        <w:t xml:space="preserve">biosimilar:</w:t>
      </w:r>
      <w:r>
        <w:t xml:space="preserve"> </w:t>
      </w:r>
      <w:r>
        <w:t xml:space="preserve">AUC0-last</w:t>
      </w:r>
      <w:r>
        <w:t xml:space="preserve"> </w:t>
      </w:r>
      <w:r>
        <w:t xml:space="preserve">and</w:t>
      </w:r>
      <w:r>
        <w:t xml:space="preserve"> </w:t>
      </w:r>
      <w:r>
        <w:t xml:space="preserve">Cmax</w:t>
      </w:r>
      <w:r>
        <w:t xml:space="preserve"> </w:t>
      </w:r>
      <w:r>
        <w:t xml:space="preserve">as</w:t>
      </w:r>
      <w:r>
        <w:t xml:space="preserve"> </w:t>
      </w:r>
      <w:r>
        <w:t xml:space="preserve">co-primary</w:t>
      </w:r>
      <w:r>
        <w:t xml:space="preserve"> </w:t>
      </w:r>
      <w:r>
        <w:t xml:space="preserve">endpoints</w:t>
      </w:r>
      <w:r>
        <w:t xml:space="preserve"> </w:t>
      </w:r>
      <w:r>
        <w:t xml:space="preserve">and</w:t>
      </w:r>
      <w:r>
        <w:t xml:space="preserve"> </w:t>
      </w:r>
      <w:r>
        <w:t xml:space="preserve">the</w:t>
      </w:r>
      <w:r>
        <w:t xml:space="preserve"> </w:t>
      </w:r>
      <w:r>
        <w:t xml:space="preserve">sampling</w:t>
      </w:r>
      <w:r>
        <w:t xml:space="preserve"> </w:t>
      </w:r>
      <w:r>
        <w:t xml:space="preserve">schedule</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briefing aid prepares the sponsor for review questions from FDA clinical pharmacology, pharmacometrics and biostatistics reviewers. Each response gives the short answer, the supporting numbers and the section of the Modeling and Simulation Report (the</w:t>
      </w:r>
      <w:r>
        <w:t xml:space="preserve"> </w:t>
      </w:r>
      <w:r>
        <w:t xml:space="preserve">“</w:t>
      </w:r>
      <w:r>
        <w:t xml:space="preserve">report</w:t>
      </w:r>
      <w:r>
        <w:t xml:space="preserve">”</w:t>
      </w:r>
      <w:r>
        <w:t xml:space="preserve">) that contains the evidence.</w:t>
      </w:r>
    </w:p>
    <w:p>
      <w:pPr>
        <w:numPr>
          <w:ilvl w:val="0"/>
          <w:numId w:val="1001"/>
        </w:numPr>
        <w:pStyle w:val="Compact"/>
      </w:pPr>
      <w:r>
        <w:rPr>
          <w:bCs/>
          <w:b/>
        </w:rPr>
        <w:t xml:space="preserve">Source commit:</w:t>
      </w:r>
      <w:r>
        <w:t xml:space="preserve"> </w:t>
      </w:r>
      <w:r>
        <w:t xml:space="preserve">8e5fd7a07e6d68b8aec934f33dd1f6791559c320.</w:t>
      </w:r>
    </w:p>
    <w:p>
      <w:pPr>
        <w:numPr>
          <w:ilvl w:val="0"/>
          <w:numId w:val="1001"/>
        </w:numPr>
        <w:pStyle w:val="Compact"/>
      </w:pPr>
      <w:r>
        <w:rPr>
          <w:bCs/>
          <w:b/>
        </w:rPr>
        <w:t xml:space="preserve">Status:</w:t>
      </w:r>
      <w:r>
        <w:t xml:space="preserve"> </w:t>
      </w:r>
      <w:r>
        <w:t xml:space="preserve">1.0.1 (draft for sponsor review).</w:t>
      </w:r>
    </w:p>
    <w:p>
      <w:pPr>
        <w:numPr>
          <w:ilvl w:val="0"/>
          <w:numId w:val="1001"/>
        </w:numPr>
        <w:pStyle w:val="Compact"/>
      </w:pPr>
      <w:r>
        <w:rPr>
          <w:bCs/>
          <w:b/>
        </w:rPr>
        <w:t xml:space="preserve">Numbers:</w:t>
      </w:r>
      <w:r>
        <w:t xml:space="preserve"> </w:t>
      </w:r>
      <w:r>
        <w:t xml:space="preserve">read from the result files at generation time and traced in regulatory/traceability.csv.</w:t>
      </w:r>
    </w:p>
    <w:bookmarkStart w:id="20" w:name="Xe945d0cb28d8dfafabd61829c1248d9b050bb93"/>
    <w:p>
      <w:pPr>
        <w:pStyle w:val="Heading2"/>
      </w:pPr>
      <w:r>
        <w:t xml:space="preserve">Q1. The 2016 FDA guidance names AUC0-inf and Cmax as the primary parameters of a single-dose PK similarity study. Why do you propose AUC0-last?</w:t>
      </w:r>
    </w:p>
    <w:p>
      <w:pPr>
        <w:pStyle w:val="FirstParagraph"/>
      </w:pPr>
      <w:r>
        <w:rPr>
          <w:bCs/>
          <w:b/>
        </w:rPr>
        <w:t xml:space="preserve">Short answer.</w:t>
      </w:r>
      <w:r>
        <w:t xml:space="preserve"> </w:t>
      </w:r>
      <w:r>
        <w:t xml:space="preserve">For dupilumab, the NCA estimate of AUC0-inf does not measure total exposure better than AUC0-last, and using it as a primary endpoint inflates the probability of concluding similarity at the equivalence limits.</w:t>
      </w:r>
    </w:p>
    <w:p>
      <w:pPr>
        <w:pStyle w:val="BodyText"/>
      </w:pPr>
      <w:r>
        <w:rPr>
          <w:bCs/>
          <w:b/>
        </w:rPr>
        <w:t xml:space="preserve">Why AUC0-inf from NCA is not the better measure here.</w:t>
      </w:r>
    </w:p>
    <w:p>
      <w:pPr>
        <w:numPr>
          <w:ilvl w:val="0"/>
          <w:numId w:val="1002"/>
        </w:numPr>
        <w:pStyle w:val="Compact"/>
      </w:pPr>
      <w:r>
        <w:rPr>
          <w:bCs/>
          <w:b/>
        </w:rPr>
        <w:t xml:space="preserve">The true tail is negligible.</w:t>
      </w:r>
      <w:r>
        <w:t xml:space="preserve"> </w:t>
      </w:r>
      <w:r>
        <w:t xml:space="preserve">AUC0-last already contains all but a median of 0.65% of total exposure (95th percentile 3.63%) under the planned schedule (report Section 5.2).</w:t>
      </w:r>
    </w:p>
    <w:p>
      <w:pPr>
        <w:numPr>
          <w:ilvl w:val="0"/>
          <w:numId w:val="1002"/>
        </w:numPr>
        <w:pStyle w:val="Compact"/>
      </w:pPr>
      <w:r>
        <w:rPr>
          <w:bCs/>
          <w:b/>
        </w:rPr>
        <w:t xml:space="preserve">The NCA tail is overstated.</w:t>
      </w:r>
      <w:r>
        <w:t xml:space="preserve"> </w:t>
      </w:r>
      <w:r>
        <w:t xml:space="preserve">NCA estimates the tail with a lambda-z fitted before the terminal cliff and overstates it: the median NCA extrapolation is 2.7%.</w:t>
      </w:r>
    </w:p>
    <w:p>
      <w:pPr>
        <w:numPr>
          <w:ilvl w:val="0"/>
          <w:numId w:val="1002"/>
        </w:numPr>
        <w:pStyle w:val="Compact"/>
      </w:pPr>
      <w:r>
        <w:rPr>
          <w:bCs/>
          <w:b/>
        </w:rPr>
        <w:t xml:space="preserve">The tail estimate is unreliable in many subjects.</w:t>
      </w:r>
      <w:r>
        <w:t xml:space="preserve"> </w:t>
      </w:r>
      <w:r>
        <w:t xml:space="preserve">In the trial population it fails the reliability criteria in 8.2% to 13.4% of subjects with an adjusted R-squared of at least 0.80 (criteria set (i), the lower end of the conventional range) and in 33.2% to 38.8% with at least 0.90 (set (iii)), two models (Q19, Q20).</w:t>
      </w:r>
    </w:p>
    <w:p>
      <w:pPr>
        <w:pStyle w:val="FirstParagraph"/>
      </w:pPr>
      <w:r>
        <w:rPr>
          <w:bCs/>
          <w:b/>
        </w:rPr>
        <w:t xml:space="preserve">Operating characteristics at the equivalence limits</w:t>
      </w:r>
      <w:r>
        <w:t xml:space="preserve"> </w:t>
      </w:r>
      <w:r>
        <w:t xml:space="preserve">(the pre-specified primary metric, report Section 5.4):</w:t>
      </w:r>
    </w:p>
    <w:p>
      <w:pPr>
        <w:numPr>
          <w:ilvl w:val="0"/>
          <w:numId w:val="1003"/>
        </w:numPr>
        <w:pStyle w:val="Compact"/>
      </w:pPr>
      <w:r>
        <w:rPr>
          <w:bCs/>
          <w:b/>
        </w:rPr>
        <w:t xml:space="preserve">Proposed configuration.</w:t>
      </w:r>
      <w:r>
        <w:t xml:space="preserve"> </w:t>
      </w:r>
      <w:r>
        <w:t xml:space="preserve">With the pooled t-test (M0), AUC0-last + Cmax is 15 conservative, 1 nominal and 0 exceeding of 16 boundary scenarios; with the weight stratum in the model (M1), 15, 0 and 1 (Q7, Q17).</w:t>
      </w:r>
    </w:p>
    <w:p>
      <w:pPr>
        <w:numPr>
          <w:ilvl w:val="0"/>
          <w:numId w:val="1003"/>
        </w:numPr>
        <w:pStyle w:val="Compact"/>
      </w:pPr>
      <w:r>
        <w:rPr>
          <w:bCs/>
          <w:b/>
        </w:rPr>
        <w:t xml:space="preserve">Guidance-default configuration.</w:t>
      </w:r>
      <w:r>
        <w:t xml:space="preserve"> </w:t>
      </w:r>
      <w:r>
        <w:t xml:space="preserve">AUC0-inf (reliable subjects) + Cmax exceeds 5% in 12 of 16 scenarios. The largest value is 27.60% (95% CI 26.73 to 28.48).</w:t>
      </w:r>
    </w:p>
    <w:p>
      <w:pPr>
        <w:pStyle w:val="FirstParagraph"/>
      </w:pPr>
      <w:r>
        <w:rPr>
          <w:bCs/>
          <w:b/>
        </w:rPr>
        <w:t xml:space="preserve">Consistency with the originator’s own practice.</w:t>
      </w:r>
    </w:p>
    <w:p>
      <w:pPr>
        <w:numPr>
          <w:ilvl w:val="0"/>
          <w:numId w:val="1004"/>
        </w:numPr>
        <w:pStyle w:val="Compact"/>
      </w:pPr>
      <w:r>
        <w:t xml:space="preserve">Its population PK analysis concluded that a meaningful terminal half-life cannot be calculated (Kovalenko 2020).</w:t>
      </w:r>
    </w:p>
    <w:p>
      <w:pPr>
        <w:numPr>
          <w:ilvl w:val="0"/>
          <w:numId w:val="1004"/>
        </w:numPr>
        <w:pStyle w:val="Compact"/>
      </w:pPr>
      <w:r>
        <w:t xml:space="preserve">A published device study did not calculate AUC0-inf for this reason (Cohen 2022).</w:t>
      </w:r>
    </w:p>
    <w:p>
      <w:pPr>
        <w:pStyle w:val="FirstParagraph"/>
      </w:pPr>
      <w:r>
        <w:rPr>
          <w:bCs/>
          <w:b/>
        </w:rPr>
        <w:t xml:space="preserve">What the sponsor proposes.</w:t>
      </w:r>
      <w:r>
        <w:t xml:space="preserve"> </w:t>
      </w:r>
      <w:r>
        <w:t xml:space="preserve">AUC0-inf will be reported as a secondary endpoint (Q11).</w:t>
      </w:r>
    </w:p>
    <w:bookmarkEnd w:id="20"/>
    <w:bookmarkStart w:id="21" w:name="Xd0a9a1207e8a78dc62ee7b5eec8bbf30f669409"/>
    <w:p>
      <w:pPr>
        <w:pStyle w:val="Heading2"/>
      </w:pPr>
      <w:r>
        <w:t xml:space="preserve">Q2. AUC0-last depends on each subject’s last quantifiable time. Could it be biased when the products differ?</w:t>
      </w:r>
    </w:p>
    <w:p>
      <w:pPr>
        <w:pStyle w:val="FirstParagraph"/>
      </w:pPr>
      <w:r>
        <w:rPr>
          <w:bCs/>
          <w:b/>
        </w:rPr>
        <w:t xml:space="preserve">Short answer.</w:t>
      </w:r>
      <w:r>
        <w:t xml:space="preserve"> </w:t>
      </w:r>
      <w:r>
        <w:t xml:space="preserve">A product with faster elimination reaches the LLOQ earlier and has a smaller AUC0-last, so tlast differences are part of the exposure difference that AUC0-last measures.</w:t>
      </w:r>
    </w:p>
    <w:p>
      <w:pPr>
        <w:pStyle w:val="BodyText"/>
      </w:pPr>
      <w:r>
        <w:rPr>
          <w:bCs/>
          <w:b/>
        </w:rPr>
        <w:t xml:space="preserve">Evidence.</w:t>
      </w:r>
    </w:p>
    <w:p>
      <w:pPr>
        <w:numPr>
          <w:ilvl w:val="0"/>
          <w:numId w:val="1005"/>
        </w:numPr>
        <w:pStyle w:val="Compact"/>
      </w:pPr>
      <w:r>
        <w:t xml:space="preserve">The true comparison is the ratio of model-integrated AUC0-inf (Q7).</w:t>
      </w:r>
    </w:p>
    <w:p>
      <w:pPr>
        <w:numPr>
          <w:ilvl w:val="0"/>
          <w:numId w:val="1005"/>
        </w:numPr>
        <w:pStyle w:val="Compact"/>
      </w:pPr>
      <w:r>
        <w:t xml:space="preserve">Against that ratio, the AUC0-last ratio is biased by at most 1.5% across the 16 boundary scenarios.</w:t>
      </w:r>
    </w:p>
    <w:p>
      <w:pPr>
        <w:numPr>
          <w:ilvl w:val="0"/>
          <w:numId w:val="1005"/>
        </w:numPr>
        <w:pStyle w:val="Compact"/>
      </w:pPr>
      <w:r>
        <w:t xml:space="preserve">In 15 of the 16 scenarios the bias points away from 1, which makes the test conservative (report Table 5-10).</w:t>
      </w:r>
    </w:p>
    <w:bookmarkEnd w:id="21"/>
    <w:bookmarkStart w:id="22" w:name="X7732892acaf594ac80a3be31808f456c533d969"/>
    <w:p>
      <w:pPr>
        <w:pStyle w:val="Heading2"/>
      </w:pPr>
      <w:r>
        <w:t xml:space="preserve">Q3. Why not extend sampling beyond Day 57 so that AUC0-inf becomes reliable?</w:t>
      </w:r>
    </w:p>
    <w:p>
      <w:pPr>
        <w:pStyle w:val="FirstParagraph"/>
      </w:pPr>
      <w:r>
        <w:rPr>
          <w:bCs/>
          <w:b/>
        </w:rPr>
        <w:t xml:space="preserve">Short answer.</w:t>
      </w:r>
      <w:r>
        <w:t xml:space="preserve"> </w:t>
      </w:r>
      <w:r>
        <w:t xml:space="preserve">Later samples would almost all be below the LLOQ, and the problem with AUC0-inf is the shape of the decline, not the sampling duration.</w:t>
      </w:r>
    </w:p>
    <w:p>
      <w:pPr>
        <w:pStyle w:val="BodyText"/>
      </w:pPr>
      <w:r>
        <w:rPr>
          <w:bCs/>
          <w:b/>
        </w:rPr>
        <w:t xml:space="preserve">When concentrations reach the LLOQ</w:t>
      </w:r>
      <w:r>
        <w:t xml:space="preserve"> </w:t>
      </w:r>
      <w:r>
        <w:t xml:space="preserve">(report Section 5.1):</w:t>
      </w:r>
    </w:p>
    <w:p>
      <w:pPr>
        <w:numPr>
          <w:ilvl w:val="0"/>
          <w:numId w:val="1006"/>
        </w:numPr>
        <w:pStyle w:val="Compact"/>
      </w:pPr>
      <w:r>
        <w:t xml:space="preserve">The true concentration reaches the LLOQ at a median of study Day 38.5 in the primary model (Day 40.8 in the 2020 model).</w:t>
      </w:r>
    </w:p>
    <w:p>
      <w:pPr>
        <w:numPr>
          <w:ilvl w:val="0"/>
          <w:numId w:val="1006"/>
        </w:numPr>
        <w:pStyle w:val="Compact"/>
      </w:pPr>
      <w:r>
        <w:t xml:space="preserve">Only 2.5% (4.6%) of subjects remain above the LLOQ after Day 58.</w:t>
      </w:r>
    </w:p>
    <w:p>
      <w:pPr>
        <w:pStyle w:val="FirstParagraph"/>
      </w:pPr>
      <w:r>
        <w:rPr>
          <w:bCs/>
          <w:b/>
        </w:rPr>
        <w:t xml:space="preserve">Why AUC0-inf stays unreliable.</w:t>
      </w:r>
      <w:r>
        <w:t xml:space="preserve"> </w:t>
      </w:r>
      <w:r>
        <w:t xml:space="preserve">The decline accelerates before the LLOQ is reached, so lambda-z is always estimated before the cliff, however long sampling continues. Extending sampling would add visits without improving either endpoint.</w:t>
      </w:r>
    </w:p>
    <w:bookmarkEnd w:id="22"/>
    <w:bookmarkStart w:id="23" w:name="Xc3c491531119da3bf93023a23e297e36c75801d"/>
    <w:p>
      <w:pPr>
        <w:pStyle w:val="Heading2"/>
      </w:pPr>
      <w:r>
        <w:t xml:space="preserve">Q4. Why not add samples in the terminal phase to improve lambda-z?</w:t>
      </w:r>
    </w:p>
    <w:p>
      <w:pPr>
        <w:pStyle w:val="FirstParagraph"/>
      </w:pPr>
      <w:r>
        <w:rPr>
          <w:bCs/>
          <w:b/>
        </w:rPr>
        <w:t xml:space="preserve">Short answer.</w:t>
      </w:r>
      <w:r>
        <w:t xml:space="preserve"> </w:t>
      </w:r>
      <w:r>
        <w:t xml:space="preserve">The accelerating decline is shorter than any feasible visit interval, and denser late sampling makes AUC0-inf less reliable, not more.</w:t>
      </w:r>
    </w:p>
    <w:p>
      <w:pPr>
        <w:pStyle w:val="BodyText"/>
      </w:pPr>
      <w:r>
        <w:rPr>
          <w:bCs/>
          <w:b/>
        </w:rPr>
        <w:t xml:space="preserve">The cliff cannot be sampled</w:t>
      </w:r>
      <w:r>
        <w:t xml:space="preserve"> </w:t>
      </w:r>
      <w:r>
        <w:t xml:space="preserve">(report Sections 5.1, 5.3 and 5.7):</w:t>
      </w:r>
    </w:p>
    <w:p>
      <w:pPr>
        <w:numPr>
          <w:ilvl w:val="0"/>
          <w:numId w:val="1007"/>
        </w:numPr>
        <w:pStyle w:val="Compact"/>
      </w:pPr>
      <w:r>
        <w:t xml:space="preserve">The cliff (instantaneous half-life below 1 day, until the LLOQ) lasts a median of 1.38 days.</w:t>
      </w:r>
    </w:p>
    <w:p>
      <w:pPr>
        <w:numPr>
          <w:ilvl w:val="0"/>
          <w:numId w:val="1007"/>
        </w:numPr>
        <w:pStyle w:val="Compact"/>
      </w:pPr>
      <w:r>
        <w:t xml:space="preserve">Even daily sampling from Day 29 to Day 57 places three samples on it in 0.0% of subjects (nominal days).</w:t>
      </w:r>
    </w:p>
    <w:p>
      <w:pPr>
        <w:pStyle w:val="FirstParagraph"/>
      </w:pPr>
      <w:r>
        <w:rPr>
          <w:bCs/>
          <w:b/>
        </w:rPr>
        <w:t xml:space="preserve">Added samples reduce reliability.</w:t>
      </w:r>
      <w:r>
        <w:t xml:space="preserve"> </w:t>
      </w:r>
      <w:r>
        <w:t xml:space="preserve">They make Best Fit choose a shorter, later window, and a span ratio of at least 2 then fails more often.</w:t>
      </w:r>
    </w:p>
    <w:p>
      <w:pPr>
        <w:pStyle w:val="BodyText"/>
      </w:pPr>
      <w:r>
        <w:rPr>
          <w:bCs/>
          <w:b/>
        </w:rPr>
        <w:t xml:space="preserve">The decision rule, set before any result was reported, was not met.</w:t>
      </w:r>
      <w:r>
        <w:t xml:space="preserve"> </w:t>
      </w:r>
      <w:r>
        <w:t xml:space="preserve">None of the four criteria for adding samples between Day 36 and Day 50 was met in either model. In one sensitivity variant (Vmax x0.8 in both arms), one criterion was met at 20,000 subjects but not on re-evaluation in 200,000 subjects.</w:t>
      </w:r>
    </w:p>
    <w:bookmarkEnd w:id="23"/>
    <w:bookmarkStart w:id="24" w:name="Xac37f6d020f26d77dcd1a1c6669a6a82dd9f033"/>
    <w:p>
      <w:pPr>
        <w:pStyle w:val="Heading2"/>
      </w:pPr>
      <w:r>
        <w:t xml:space="preserve">Q5. The terminal phase lies below the LLOQ. How credible are published models for it?</w:t>
      </w:r>
    </w:p>
    <w:p>
      <w:pPr>
        <w:pStyle w:val="FirstParagraph"/>
      </w:pPr>
      <w:r>
        <w:rPr>
          <w:bCs/>
          <w:b/>
        </w:rPr>
        <w:t xml:space="preserve">Short answer.</w:t>
      </w:r>
      <w:r>
        <w:t xml:space="preserve"> </w:t>
      </w:r>
      <w:r>
        <w:t xml:space="preserve">The conclusions do not depend on the unobservable curve shape within any range consistent with the observed data.</w:t>
      </w:r>
    </w:p>
    <w:p>
      <w:pPr>
        <w:pStyle w:val="BodyText"/>
      </w:pPr>
      <w:r>
        <w:rPr>
          <w:bCs/>
          <w:b/>
        </w:rPr>
        <w:t xml:space="preserve">How the models were built.</w:t>
      </w:r>
      <w:r>
        <w:t xml:space="preserve"> </w:t>
      </w:r>
      <w:r>
        <w:t xml:space="preserve">The primary model was estimated with below-LLOQ observations (M3 method), because the steep target-mediated phase could not be characterised otherwise.</w:t>
      </w:r>
    </w:p>
    <w:p>
      <w:pPr>
        <w:pStyle w:val="BodyText"/>
      </w:pPr>
      <w:r>
        <w:rPr>
          <w:bCs/>
          <w:b/>
        </w:rPr>
        <w:t xml:space="preserve">How the uncertainty was tested:</w:t>
      </w:r>
    </w:p>
    <w:p>
      <w:pPr>
        <w:numPr>
          <w:ilvl w:val="0"/>
          <w:numId w:val="1008"/>
        </w:numPr>
        <w:pStyle w:val="Compact"/>
      </w:pPr>
      <w:r>
        <w:t xml:space="preserve">Two structural models were used.</w:t>
      </w:r>
    </w:p>
    <w:p>
      <w:pPr>
        <w:numPr>
          <w:ilvl w:val="0"/>
          <w:numId w:val="1008"/>
        </w:numPr>
        <w:pStyle w:val="Compact"/>
      </w:pPr>
      <w:r>
        <w:t xml:space="preserve">Km (x0.5 to x10) and Vmax (x0.8, x1.25, and a x0.5 stress test) were varied in both arms.</w:t>
      </w:r>
    </w:p>
    <w:p>
      <w:pPr>
        <w:numPr>
          <w:ilvl w:val="0"/>
          <w:numId w:val="1008"/>
        </w:numPr>
        <w:pStyle w:val="Compact"/>
      </w:pPr>
      <w:r>
        <w:t xml:space="preserve">Km was varied from x0.01 to x100 in the test arm.</w:t>
      </w:r>
    </w:p>
    <w:p>
      <w:pPr>
        <w:pStyle w:val="FirstParagraph"/>
      </w:pPr>
      <w:r>
        <w:rPr>
          <w:bCs/>
          <w:b/>
        </w:rPr>
        <w:t xml:space="preserve">Results</w:t>
      </w:r>
      <w:r>
        <w:t xml:space="preserve"> </w:t>
      </w:r>
      <w:r>
        <w:t xml:space="preserve">(report Sections 4 and 5.2):</w:t>
      </w:r>
    </w:p>
    <w:p>
      <w:pPr>
        <w:numPr>
          <w:ilvl w:val="0"/>
          <w:numId w:val="1009"/>
        </w:numPr>
        <w:pStyle w:val="Compact"/>
      </w:pPr>
      <w:r>
        <w:t xml:space="preserve">AUC0-last coverage is preserved in every variant.</w:t>
      </w:r>
    </w:p>
    <w:p>
      <w:pPr>
        <w:numPr>
          <w:ilvl w:val="0"/>
          <w:numId w:val="1009"/>
        </w:numPr>
        <w:pStyle w:val="Compact"/>
      </w:pPr>
      <w:r>
        <w:t xml:space="preserve">The operating-characteristic conclusions are the same in both models.</w:t>
      </w:r>
    </w:p>
    <w:bookmarkEnd w:id="24"/>
    <w:bookmarkStart w:id="25" w:name="X4c58d7cfe49328c454b9029a7e28ba5fc59496e"/>
    <w:p>
      <w:pPr>
        <w:pStyle w:val="Heading2"/>
      </w:pPr>
      <w:r>
        <w:t xml:space="preserve">Q6. The models over-predict Cmax and do not reproduce the 200 mg presentation. Does this undermine the conclusions?</w:t>
      </w:r>
    </w:p>
    <w:p>
      <w:pPr>
        <w:pStyle w:val="FirstParagraph"/>
      </w:pPr>
      <w:r>
        <w:rPr>
          <w:bCs/>
          <w:b/>
        </w:rPr>
        <w:t xml:space="preserve">Short answer.</w:t>
      </w:r>
      <w:r>
        <w:t xml:space="preserve"> </w:t>
      </w:r>
      <w:r>
        <w:t xml:space="preserve">No. Neither issue affects the terminal-phase or AUC conclusions for the 300 mg study presentation.</w:t>
      </w:r>
    </w:p>
    <w:p>
      <w:pPr>
        <w:pStyle w:val="BodyText"/>
      </w:pPr>
      <w:r>
        <w:rPr>
          <w:bCs/>
          <w:b/>
        </w:rPr>
        <w:t xml:space="preserve">Study presentation (300 mg, 2 mL of 150 mg/mL).</w:t>
      </w:r>
      <w:r>
        <w:t xml:space="preserve"> </w:t>
      </w:r>
      <w:r>
        <w:t xml:space="preserve">Simulated/observed AUC0-last is 0.94 to 1.07 (primary model) across the five data sets of this presentation.</w:t>
      </w:r>
    </w:p>
    <w:p>
      <w:pPr>
        <w:pStyle w:val="BodyText"/>
      </w:pPr>
      <w:r>
        <w:rPr>
          <w:bCs/>
          <w:b/>
        </w:rPr>
        <w:t xml:space="preserve">Cmax over-prediction.</w:t>
      </w:r>
      <w:r>
        <w:t xml:space="preserve"> </w:t>
      </w:r>
      <w:r>
        <w:t xml:space="preserve">Simulated/observed Cmax is 1.08 to 1.27. This is listed as a limitation. It concerns the absorption phase, not the terminal phase.</w:t>
      </w:r>
    </w:p>
    <w:p>
      <w:pPr>
        <w:pStyle w:val="BodyText"/>
      </w:pPr>
      <w:r>
        <w:rPr>
          <w:bCs/>
          <w:b/>
        </w:rPr>
        <w:t xml:space="preserve">200 mg presentation (1.14 mL of 175 mg/mL).</w:t>
      </w:r>
      <w:r>
        <w:t xml:space="preserve"> </w:t>
      </w:r>
      <w:r>
        <w:t xml:space="preserve">It is absorbed faster (median tmax 3 days, against 7 days). It is not the study presentation, and its data sets are reported as external checks (report Section 4.2 and Appendix D).</w:t>
      </w:r>
    </w:p>
    <w:bookmarkEnd w:id="25"/>
    <w:bookmarkStart w:id="26" w:name="X731123cb91f48d29ef0244ef26b3bfb2e272433"/>
    <w:p>
      <w:pPr>
        <w:pStyle w:val="Heading2"/>
      </w:pPr>
      <w:r>
        <w:t xml:space="preserve">Q7. What is the boundary type I error of the proposed endpoints, and why is one value above 5%?</w:t>
      </w:r>
    </w:p>
    <w:p>
      <w:pPr>
        <w:pStyle w:val="FirstParagraph"/>
      </w:pPr>
      <w:r>
        <w:rPr>
          <w:bCs/>
          <w:b/>
        </w:rPr>
        <w:t xml:space="preserve">Short answer.</w:t>
      </w:r>
      <w:r>
        <w:t xml:space="preserve"> </w:t>
      </w:r>
      <w:r>
        <w:t xml:space="preserve">With the pooled t-test (M0), 15 of 16 boundary cells are conservative, 1 nominal and 0 exceeding. With the weight stratum in the model (M1), they are 15, 0 and 1. The highest cell is the same under both analysis models, the 2020-model cell with peripheral volume up (multiplier 2.28): 5.18% (95% CI 4.88 to 5.50) under M0 and 5.63% (95% CI 5.31 to 5.95) under M1.</w:t>
      </w:r>
    </w:p>
    <w:p>
      <w:pPr>
        <w:pStyle w:val="BodyText"/>
      </w:pPr>
      <w:r>
        <w:rPr>
          <w:bCs/>
          <w:b/>
        </w:rPr>
        <w:t xml:space="preserve">Overall result</w:t>
      </w:r>
      <w:r>
        <w:t xml:space="preserve"> </w:t>
      </w:r>
      <w:r>
        <w:t xml:space="preserve">(report Sections 5.4 and 5.9):</w:t>
      </w:r>
    </w:p>
    <w:p>
      <w:pPr>
        <w:numPr>
          <w:ilvl w:val="0"/>
          <w:numId w:val="1010"/>
        </w:numPr>
        <w:pStyle w:val="Compact"/>
      </w:pPr>
      <w:r>
        <w:t xml:space="preserve">M0: 0.00% to 5.18%; primary model maximum 3.97% (95% CI 3.60 to 4.37), 2020 model maximum 5.18% (95% CI 4.88 to 5.50).</w:t>
      </w:r>
    </w:p>
    <w:p>
      <w:pPr>
        <w:numPr>
          <w:ilvl w:val="0"/>
          <w:numId w:val="1010"/>
        </w:numPr>
        <w:pStyle w:val="Compact"/>
      </w:pPr>
      <w:r>
        <w:t xml:space="preserve">M1: 0.00% to 5.63%.</w:t>
      </w:r>
    </w:p>
    <w:p>
      <w:pPr>
        <w:pStyle w:val="FirstParagraph"/>
      </w:pPr>
      <w:r>
        <w:rPr>
          <w:bCs/>
          <w:b/>
        </w:rPr>
        <w:t xml:space="preserve">The highest cell</w:t>
      </w:r>
      <w:r>
        <w:t xml:space="preserve"> </w:t>
      </w:r>
      <w:r>
        <w:t xml:space="preserve">(2020 model, peripheral volume x2.28; x3.21 in the primary model for the same true ratio):</w:t>
      </w:r>
    </w:p>
    <w:p>
      <w:pPr>
        <w:numPr>
          <w:ilvl w:val="0"/>
          <w:numId w:val="1011"/>
        </w:numPr>
        <w:pStyle w:val="Compact"/>
      </w:pPr>
      <w:r>
        <w:t xml:space="preserve">M0: 5.18% (95% CI 4.88 to 5.50) (20,000 trials), nominal; at the pre-specified 10,000 trials the value was 5.32% (95% CI 4.90 to 5.78).</w:t>
      </w:r>
    </w:p>
    <w:p>
      <w:pPr>
        <w:numPr>
          <w:ilvl w:val="0"/>
          <w:numId w:val="1011"/>
        </w:numPr>
        <w:pStyle w:val="Compact"/>
      </w:pPr>
      <w:r>
        <w:t xml:space="preserve">M1: 5.63% (95% CI 5.31 to 5.95) (20,000 trials), exceeding. M2: 5.75% (95% CI 5.43 to 6.08), exceeding.</w:t>
      </w:r>
    </w:p>
    <w:p>
      <w:pPr>
        <w:numPr>
          <w:ilvl w:val="0"/>
          <w:numId w:val="1011"/>
        </w:numPr>
        <w:pStyle w:val="Compact"/>
      </w:pPr>
      <w:r>
        <w:t xml:space="preserve">Cause (M1): the AUC0-last GMR is biased by 0.41% relative to the true AUC0-inf ratio, toward 1. This moves the pass rate from 4.94% for the unbiased reference to 5.65% for AUC0-last alone; Cmax failures change it by -0.02 percentage points.</w:t>
      </w:r>
    </w:p>
    <w:p>
      <w:pPr>
        <w:numPr>
          <w:ilvl w:val="0"/>
          <w:numId w:val="1011"/>
        </w:numPr>
        <w:pStyle w:val="Compact"/>
      </w:pPr>
      <w:r>
        <w:t xml:space="preserve">Facts relevant to plausibility: a proposed biosimilar has the same amino-acid sequence as the reference IgG4 antibody; this cell requires its peripheral volume of distribution to be 2.28 times (2020 model) or 3.21 times (primary model) that of the reference, with absorption and clearance unchanged.</w:t>
      </w:r>
    </w:p>
    <w:bookmarkEnd w:id="26"/>
    <w:bookmarkStart w:id="27" w:name="Xc611751fe697a54b2bc2d5641ba509de9fe8fe5"/>
    <w:p>
      <w:pPr>
        <w:pStyle w:val="Heading2"/>
      </w:pPr>
      <w:r>
        <w:t xml:space="preserve">Q8. Why would AUC0-inf inflate the type I error? Is it not the more complete measure?</w:t>
      </w:r>
    </w:p>
    <w:p>
      <w:pPr>
        <w:pStyle w:val="FirstParagraph"/>
      </w:pPr>
      <w:r>
        <w:rPr>
          <w:bCs/>
          <w:b/>
        </w:rPr>
        <w:t xml:space="preserve">Short answer.</w:t>
      </w:r>
      <w:r>
        <w:t xml:space="preserve"> </w:t>
      </w:r>
      <w:r>
        <w:t xml:space="preserve">NCA AUC0-inf is not the true AUC0-inf. Two biases push the test and reference ratio toward 1 (report Section 5.4, Table 5-11).</w:t>
      </w:r>
    </w:p>
    <w:p>
      <w:pPr>
        <w:pStyle w:val="BodyText"/>
      </w:pPr>
      <w:r>
        <w:rPr>
          <w:bCs/>
          <w:b/>
        </w:rPr>
        <w:t xml:space="preserve">Two sources of bias.</w:t>
      </w:r>
    </w:p>
    <w:p>
      <w:pPr>
        <w:numPr>
          <w:ilvl w:val="0"/>
          <w:numId w:val="1012"/>
        </w:numPr>
        <w:pStyle w:val="Compact"/>
      </w:pPr>
      <w:r>
        <w:rPr>
          <w:bCs/>
          <w:b/>
        </w:rPr>
        <w:t xml:space="preserve">Extrapolation bias.</w:t>
      </w:r>
      <w:r>
        <w:t xml:space="preserve"> </w:t>
      </w:r>
      <w:r>
        <w:t xml:space="preserve">The extrapolated tail is estimated with a lambda-z that is too small in both arms and dilutes differences toward 1.</w:t>
      </w:r>
    </w:p>
    <w:p>
      <w:pPr>
        <w:numPr>
          <w:ilvl w:val="0"/>
          <w:numId w:val="1012"/>
        </w:numPr>
        <w:pStyle w:val="Compact"/>
      </w:pPr>
      <w:r>
        <w:rPr>
          <w:bCs/>
          <w:b/>
        </w:rPr>
        <w:t xml:space="preserve">Selection bias.</w:t>
      </w:r>
      <w:r>
        <w:t xml:space="preserve"> </w:t>
      </w:r>
      <w:r>
        <w:t xml:space="preserve">Excluding subjects who fail the reliability criteria removes a subset that depends on the product difference.</w:t>
      </w:r>
    </w:p>
    <w:p>
      <w:pPr>
        <w:pStyle w:val="FirstParagraph"/>
      </w:pPr>
      <w:r>
        <w:rPr>
          <w:bCs/>
          <w:b/>
        </w:rPr>
        <w:t xml:space="preserve">Resulting type I error</w:t>
      </w:r>
      <w:r>
        <w:t xml:space="preserve"> </w:t>
      </w:r>
      <w:r>
        <w:t xml:space="preserve">(reliable subjects, criteria as pre-specified):</w:t>
      </w:r>
    </w:p>
    <w:p>
      <w:pPr>
        <w:numPr>
          <w:ilvl w:val="0"/>
          <w:numId w:val="1013"/>
        </w:numPr>
        <w:pStyle w:val="Compact"/>
      </w:pPr>
      <w:r>
        <w:t xml:space="preserve">AUC0-inf + Cmax exceeds 5% in 12 of 16 boundary scenarios.</w:t>
      </w:r>
    </w:p>
    <w:p>
      <w:pPr>
        <w:numPr>
          <w:ilvl w:val="0"/>
          <w:numId w:val="1013"/>
        </w:numPr>
        <w:pStyle w:val="Compact"/>
      </w:pPr>
      <w:r>
        <w:t xml:space="preserve">The Wilson lower bound is above 5% in 12 of them.</w:t>
      </w:r>
    </w:p>
    <w:p>
      <w:pPr>
        <w:numPr>
          <w:ilvl w:val="0"/>
          <w:numId w:val="1013"/>
        </w:numPr>
        <w:pStyle w:val="Compact"/>
      </w:pPr>
      <w:r>
        <w:t xml:space="preserve">The largest value is 27.60% (95% CI 26.73 to 28.48).</w:t>
      </w:r>
    </w:p>
    <w:bookmarkEnd w:id="27"/>
    <w:bookmarkStart w:id="28" w:name="X64556333a68c775a8dc78419ee1e4483007c90c"/>
    <w:p>
      <w:pPr>
        <w:pStyle w:val="Heading2"/>
      </w:pPr>
      <w:r>
        <w:t xml:space="preserve">Q9. What if AUC0-inf were analysed in all subjects with a lambda-z, or with AUC0-last substituted for unreliable subjects?</w:t>
      </w:r>
    </w:p>
    <w:p>
      <w:pPr>
        <w:pStyle w:val="FirstParagraph"/>
      </w:pPr>
      <w:r>
        <w:rPr>
          <w:bCs/>
          <w:b/>
        </w:rPr>
        <w:t xml:space="preserve">Short answer.</w:t>
      </w:r>
      <w:r>
        <w:t xml:space="preserve"> </w:t>
      </w:r>
      <w:r>
        <w:t xml:space="preserve">Including all subjects with a lambda-z still inflates the type I error; substituting AUC0-last gives a type I error close to that of AUC0-last + Cmax, because the substituted endpoint is mostly AUC0-last, but it is no longer a pure AUC0-inf analysis.</w:t>
      </w:r>
    </w:p>
    <w:p>
      <w:pPr>
        <w:numPr>
          <w:ilvl w:val="0"/>
          <w:numId w:val="1014"/>
        </w:numPr>
        <w:pStyle w:val="Compact"/>
      </w:pPr>
      <w:r>
        <w:rPr>
          <w:bCs/>
          <w:b/>
        </w:rPr>
        <w:t xml:space="preserve">All subjects with an estimable lambda-z (rule B).</w:t>
      </w:r>
      <w:r>
        <w:t xml:space="preserve"> </w:t>
      </w:r>
      <w:r>
        <w:t xml:space="preserve">Exceeds 5% in 8 of 16 scenarios (largest 15.06% (95% CI 14.37 to 15.77)), because the extrapolation bias remains.</w:t>
      </w:r>
    </w:p>
    <w:p>
      <w:pPr>
        <w:numPr>
          <w:ilvl w:val="0"/>
          <w:numId w:val="1014"/>
        </w:numPr>
        <w:pStyle w:val="Compact"/>
      </w:pPr>
      <w:r>
        <w:rPr>
          <w:bCs/>
          <w:b/>
        </w:rPr>
        <w:t xml:space="preserve">AUC0-last substituted for subjects failing the criteria (rule C).</w:t>
      </w:r>
      <w:r>
        <w:t xml:space="preserve"> </w:t>
      </w:r>
      <w:r>
        <w:t xml:space="preserve">Close to AUC0-last + Cmax: largest 5.01% (95% CI 4.71 to 5.32) with the span criterion and 4.63% (95% CI 4.34 to 4.92) without it (pooled t-test); 5.39% (95% CI 5.09 to 5.71) with the span criterion under the ANOVA with the weight stratum, in the same peripheral-volume scenario in which AUC0-last + Cmax is highest.</w:t>
      </w:r>
    </w:p>
    <w:p>
      <w:pPr>
        <w:pStyle w:val="FirstParagraph"/>
      </w:pPr>
      <w:r>
        <w:rPr>
          <w:bCs/>
          <w:b/>
        </w:rPr>
        <w:t xml:space="preserve">Proposal.</w:t>
      </w:r>
      <w:r>
        <w:t xml:space="preserve"> </w:t>
      </w:r>
      <w:r>
        <w:t xml:space="preserve">Rule C mixes two endpoints, so the sponsor proposes it only as a sensitivity analysis of the secondary endpoint.</w:t>
      </w:r>
    </w:p>
    <w:bookmarkEnd w:id="28"/>
    <w:bookmarkStart w:id="29" w:name="X6685c2647ab1f0168149ca9a0c1eea17d636377"/>
    <w:p>
      <w:pPr>
        <w:pStyle w:val="Heading2"/>
      </w:pPr>
      <w:r>
        <w:t xml:space="preserve">Q10. Could a product that differs in target binding pass on AUC0-last but differ in AUC0-inf?</w:t>
      </w:r>
    </w:p>
    <w:p>
      <w:pPr>
        <w:pStyle w:val="FirstParagraph"/>
      </w:pPr>
      <w:r>
        <w:rPr>
          <w:bCs/>
          <w:b/>
        </w:rPr>
        <w:t xml:space="preserve">Short answer.</w:t>
      </w:r>
      <w:r>
        <w:t xml:space="preserve"> </w:t>
      </w:r>
      <w:r>
        <w:t xml:space="preserve">No AUC endpoint can detect target-binding differences in this product, so binding is addressed analytically rather than through the choice of AUC endpoint.</w:t>
      </w:r>
    </w:p>
    <w:p>
      <w:pPr>
        <w:pStyle w:val="BodyText"/>
      </w:pPr>
      <w:r>
        <w:rPr>
          <w:bCs/>
          <w:b/>
        </w:rPr>
        <w:t xml:space="preserve">Evidence.</w:t>
      </w:r>
    </w:p>
    <w:p>
      <w:pPr>
        <w:numPr>
          <w:ilvl w:val="0"/>
          <w:numId w:val="1015"/>
        </w:numPr>
        <w:pStyle w:val="Compact"/>
      </w:pPr>
      <w:r>
        <w:t xml:space="preserve">Varying Km (the Michaelis-Menten constant of target-mediated elimination, through which a binding difference acts in this model) from 0.01-fold to 100-fold in the test arm moves the true AUC0-inf ratio only within 0.999 to 1.059 (report Section 5.6).</w:t>
      </w:r>
    </w:p>
    <w:p>
      <w:pPr>
        <w:numPr>
          <w:ilvl w:val="0"/>
          <w:numId w:val="1015"/>
        </w:numPr>
        <w:pStyle w:val="Compact"/>
      </w:pPr>
      <w:r>
        <w:t xml:space="preserve">AUC0-inf offers no more sensitivity to binding than AUC0-last.</w:t>
      </w:r>
    </w:p>
    <w:p>
      <w:pPr>
        <w:pStyle w:val="FirstParagraph"/>
      </w:pPr>
      <w:r>
        <w:rPr>
          <w:bCs/>
          <w:b/>
        </w:rPr>
        <w:t xml:space="preserve">Where binding similarity is shown.</w:t>
      </w:r>
      <w:r>
        <w:t xml:space="preserve"> </w:t>
      </w:r>
      <w:r>
        <w:t xml:space="preserve">In the comparative analytical assessment (binding kinetics and functional assays).</w:t>
      </w:r>
    </w:p>
    <w:bookmarkEnd w:id="29"/>
    <w:bookmarkStart w:id="30" w:name="q11.-how-will-auc0-inf-be-reported"/>
    <w:p>
      <w:pPr>
        <w:pStyle w:val="Heading2"/>
      </w:pPr>
      <w:r>
        <w:t xml:space="preserve">Q11. How will AUC0-inf be reported?</w:t>
      </w:r>
    </w:p>
    <w:p>
      <w:pPr>
        <w:pStyle w:val="FirstParagraph"/>
      </w:pPr>
      <w:r>
        <w:rPr>
          <w:bCs/>
          <w:b/>
        </w:rPr>
        <w:t xml:space="preserve">Short answer.</w:t>
      </w:r>
      <w:r>
        <w:t xml:space="preserve"> </w:t>
      </w:r>
      <w:r>
        <w:t xml:space="preserve">As a secondary endpoint.</w:t>
      </w:r>
    </w:p>
    <w:p>
      <w:pPr>
        <w:pStyle w:val="BodyText"/>
      </w:pPr>
      <w:r>
        <w:rPr>
          <w:bCs/>
          <w:b/>
        </w:rPr>
        <w:t xml:space="preserve">Pre-specified methods:</w:t>
      </w:r>
    </w:p>
    <w:p>
      <w:pPr>
        <w:numPr>
          <w:ilvl w:val="0"/>
          <w:numId w:val="1016"/>
        </w:numPr>
        <w:pStyle w:val="Compact"/>
      </w:pPr>
      <w:r>
        <w:t xml:space="preserve">lambda-z by Best Fit;</w:t>
      </w:r>
    </w:p>
    <w:p>
      <w:pPr>
        <w:numPr>
          <w:ilvl w:val="0"/>
          <w:numId w:val="1016"/>
        </w:numPr>
        <w:pStyle w:val="Compact"/>
      </w:pPr>
      <w:r>
        <w:t xml:space="preserve">reliability criteria of adjusted R-squared at least 0.80 and extrapolation at most 20% (criteria set (i)) as the primary definition, with adjusted R-squared at least 0.90 (set (iii)) reported alongside, because both are conventional and neither is a software default (Q19); no span-ratio criterion.</w:t>
      </w:r>
    </w:p>
    <w:p>
      <w:pPr>
        <w:pStyle w:val="FirstParagraph"/>
      </w:pPr>
      <w:r>
        <w:rPr>
          <w:bCs/>
          <w:b/>
        </w:rPr>
        <w:t xml:space="preserve">Reporting:</w:t>
      </w:r>
    </w:p>
    <w:p>
      <w:pPr>
        <w:numPr>
          <w:ilvl w:val="0"/>
          <w:numId w:val="1017"/>
        </w:numPr>
        <w:pStyle w:val="Compact"/>
      </w:pPr>
      <w:r>
        <w:t xml:space="preserve">the GMR and 90% CI, both in all subjects with an estimable lambda-z and in subjects meeting the criteria;</w:t>
      </w:r>
    </w:p>
    <w:p>
      <w:pPr>
        <w:numPr>
          <w:ilvl w:val="0"/>
          <w:numId w:val="1017"/>
        </w:numPr>
        <w:pStyle w:val="Compact"/>
      </w:pPr>
      <w:r>
        <w:t xml:space="preserve">the number, arm and body weight of the excluded subjects;</w:t>
      </w:r>
    </w:p>
    <w:p>
      <w:pPr>
        <w:numPr>
          <w:ilvl w:val="0"/>
          <w:numId w:val="1017"/>
        </w:numPr>
        <w:pStyle w:val="Compact"/>
      </w:pPr>
      <w:r>
        <w:t xml:space="preserve">a listing of the individual lambda-z windows;</w:t>
      </w:r>
    </w:p>
    <w:p>
      <w:pPr>
        <w:numPr>
          <w:ilvl w:val="0"/>
          <w:numId w:val="1017"/>
        </w:numPr>
        <w:pStyle w:val="Compact"/>
      </w:pPr>
      <w:r>
        <w:t xml:space="preserve">substitution of AUC0-last (rule C) as a sensitivity analysis.</w:t>
      </w:r>
    </w:p>
    <w:p>
      <w:pPr>
        <w:pStyle w:val="FirstParagraph"/>
      </w:pPr>
      <w:r>
        <w:t xml:space="preserve">AUC0-inf will not be used for the equivalence decision.</w:t>
      </w:r>
    </w:p>
    <w:bookmarkEnd w:id="30"/>
    <w:bookmarkStart w:id="31" w:name="q12.-is-the-study-adequately-powered"/>
    <w:p>
      <w:pPr>
        <w:pStyle w:val="Heading2"/>
      </w:pPr>
      <w:r>
        <w:t xml:space="preserve">Q12. Is the study adequately powered?</w:t>
      </w:r>
    </w:p>
    <w:p>
      <w:pPr>
        <w:pStyle w:val="FirstParagraph"/>
      </w:pPr>
      <w:r>
        <w:rPr>
          <w:bCs/>
          <w:b/>
        </w:rPr>
        <w:t xml:space="preserve">Short answer.</w:t>
      </w:r>
      <w:r>
        <w:t xml:space="preserve"> </w:t>
      </w:r>
      <w:r>
        <w:t xml:space="preserve">At the protocol CV of 43% and a true GMR of 0.95, 117 evaluable subjects per arm give P2 power of 94.0% (M0) and 94.5% (M1). At a CV of 50%, power falls to 87.2% and 88.0%.</w:t>
      </w:r>
    </w:p>
    <w:p>
      <w:pPr>
        <w:pStyle w:val="BodyText"/>
      </w:pPr>
      <w:r>
        <w:rPr>
          <w:bCs/>
          <w:b/>
        </w:rPr>
        <w:t xml:space="preserve">Variability assumptions.</w:t>
      </w:r>
    </w:p>
    <w:p>
      <w:pPr>
        <w:numPr>
          <w:ilvl w:val="0"/>
          <w:numId w:val="1018"/>
        </w:numPr>
        <w:pStyle w:val="Compact"/>
      </w:pPr>
      <w:r>
        <w:t xml:space="preserve">The simulated log-scale CV of AUC0-last is 40% (primary model) and 43% (2020 model); the protocol assumes 43%.</w:t>
      </w:r>
    </w:p>
    <w:p>
      <w:pPr>
        <w:numPr>
          <w:ilvl w:val="0"/>
          <w:numId w:val="1018"/>
        </w:numPr>
        <w:pStyle w:val="Compact"/>
      </w:pPr>
      <w:r>
        <w:t xml:space="preserve">Li 2020 (Table 3, 300 mg arms) reports SD/mean of 35% to 51%. The AUC0-last CI of a 200 mg device comparison implies about 52% (Cohen 2022; different presentation, heavier population, possible device effect).</w:t>
      </w:r>
    </w:p>
    <w:p>
      <w:pPr>
        <w:pStyle w:val="FirstParagraph"/>
      </w:pPr>
      <w:r>
        <w:rPr>
          <w:bCs/>
          <w:b/>
        </w:rPr>
        <w:t xml:space="preserve">Evaluable subjects per arm for P2 at GMR 0.95</w:t>
      </w:r>
      <w:r>
        <w:t xml:space="preserve"> </w:t>
      </w:r>
      <w:r>
        <w:t xml:space="preserve">(report Section 5.11; randomized per arm in parentheses, 117/130 evaluable):</w:t>
      </w:r>
    </w:p>
    <w:p>
      <w:pPr>
        <w:numPr>
          <w:ilvl w:val="0"/>
          <w:numId w:val="1019"/>
        </w:numPr>
        <w:pStyle w:val="Compact"/>
      </w:pPr>
      <w:r>
        <w:t xml:space="preserve">90% power: CV 43% 100 (112) with M0, 97 (108) with M1; CV 50% 129 (144) and 126 (140).</w:t>
      </w:r>
    </w:p>
    <w:p>
      <w:pPr>
        <w:numPr>
          <w:ilvl w:val="0"/>
          <w:numId w:val="1019"/>
        </w:numPr>
        <w:pStyle w:val="Compact"/>
      </w:pPr>
      <w:r>
        <w:t xml:space="preserve">85% power: CV 43% 85 and 83; CV 50% 110 and 107.</w:t>
      </w:r>
    </w:p>
    <w:p>
      <w:pPr>
        <w:pStyle w:val="FirstParagraph"/>
      </w:pPr>
      <w:r>
        <w:rPr>
          <w:bCs/>
          <w:b/>
        </w:rPr>
        <w:t xml:space="preserve">Identical products,</w:t>
      </w:r>
      <w:r>
        <w:t xml:space="preserve"> </w:t>
      </w:r>
      <w:r>
        <w:t xml:space="preserve">PK-model trials with 117 per arm: 99.6% (95% CI 99.4 to 99.7) (primary model) and 99.0% (95% CI 98.8 to 99.2) (2020 model) with M0.</w:t>
      </w:r>
    </w:p>
    <w:p>
      <w:pPr>
        <w:pStyle w:val="BodyText"/>
      </w:pPr>
      <w:r>
        <w:rPr>
          <w:bCs/>
          <w:b/>
        </w:rPr>
        <w:t xml:space="preserve">The target power and the sample size are sponsor decisions.</w:t>
      </w:r>
    </w:p>
    <w:bookmarkEnd w:id="31"/>
    <w:bookmarkStart w:id="32" w:name="X633d2684104981c3a0c2a9b9d9c23f5b6cfcba3"/>
    <w:p>
      <w:pPr>
        <w:pStyle w:val="Heading2"/>
      </w:pPr>
      <w:r>
        <w:t xml:space="preserve">Q13. Were the analyses pre-specified? What changed after results were seen?</w:t>
      </w:r>
    </w:p>
    <w:p>
      <w:pPr>
        <w:pStyle w:val="FirstParagraph"/>
      </w:pPr>
      <w:r>
        <w:rPr>
          <w:bCs/>
          <w:b/>
        </w:rPr>
        <w:t xml:space="preserve">Short answer.</w:t>
      </w:r>
      <w:r>
        <w:t xml:space="preserve"> </w:t>
      </w:r>
      <w:r>
        <w:t xml:space="preserve">The operating-characteristic design was committed before any result; everything added or changed afterwards is listed and reported alongside the pre-specified analyses.</w:t>
      </w:r>
    </w:p>
    <w:p>
      <w:pPr>
        <w:pStyle w:val="BodyText"/>
      </w:pPr>
      <w:r>
        <w:rPr>
          <w:bCs/>
          <w:b/>
        </w:rPr>
        <w:t xml:space="preserve">Pre-specified.</w:t>
      </w:r>
      <w:r>
        <w:t xml:space="preserve"> </w:t>
      </w:r>
      <w:r>
        <w:t xml:space="preserve">The design (mechanisms, targets, trials, configurations, seeds and the definition of truth) was committed before any result was generated: commit 779e068, unchanged since.</w:t>
      </w:r>
    </w:p>
    <w:p>
      <w:pPr>
        <w:pStyle w:val="BodyText"/>
      </w:pPr>
      <w:r>
        <w:rPr>
          <w:bCs/>
          <w:b/>
        </w:rPr>
        <w:t xml:space="preserve">Added or changed afterwards</w:t>
      </w:r>
      <w:r>
        <w:t xml:space="preserve">, with dates and commits in report Appendix D:</w:t>
      </w:r>
    </w:p>
    <w:p>
      <w:pPr>
        <w:numPr>
          <w:ilvl w:val="0"/>
          <w:numId w:val="1020"/>
        </w:numPr>
        <w:pStyle w:val="Compact"/>
      </w:pPr>
      <w:r>
        <w:t xml:space="preserve">the reliability criteria set without the span ratio;</w:t>
      </w:r>
    </w:p>
    <w:p>
      <w:pPr>
        <w:numPr>
          <w:ilvl w:val="0"/>
          <w:numId w:val="1020"/>
        </w:numPr>
        <w:pStyle w:val="Compact"/>
      </w:pPr>
      <w:r>
        <w:t xml:space="preserve">rules B and C for AUC0-inf + Cmax;</w:t>
      </w:r>
    </w:p>
    <w:p>
      <w:pPr>
        <w:numPr>
          <w:ilvl w:val="0"/>
          <w:numId w:val="1020"/>
        </w:numPr>
        <w:pStyle w:val="Compact"/>
      </w:pPr>
      <w:r>
        <w:t xml:space="preserve">the extension to 20,000 trials of one scenario;</w:t>
      </w:r>
    </w:p>
    <w:p>
      <w:pPr>
        <w:numPr>
          <w:ilvl w:val="0"/>
          <w:numId w:val="1020"/>
        </w:numPr>
        <w:pStyle w:val="Compact"/>
      </w:pPr>
      <w:r>
        <w:t xml:space="preserve">restricting the model validation to the study presentation;</w:t>
      </w:r>
    </w:p>
    <w:p>
      <w:pPr>
        <w:numPr>
          <w:ilvl w:val="0"/>
          <w:numId w:val="1020"/>
        </w:numPr>
        <w:pStyle w:val="Compact"/>
      </w:pPr>
      <w:r>
        <w:t xml:space="preserve">replacing the NCA engine by a Phoenix-compatible engine, with all outputs regenerated.</w:t>
      </w:r>
    </w:p>
    <w:p>
      <w:pPr>
        <w:pStyle w:val="FirstParagraph"/>
      </w:pPr>
      <w:r>
        <w:rPr>
          <w:bCs/>
          <w:b/>
        </w:rPr>
        <w:t xml:space="preserve">Version 1.0.1.</w:t>
      </w:r>
      <w:r>
        <w:t xml:space="preserve"> </w:t>
      </w:r>
      <w:r>
        <w:t xml:space="preserve">The analysis models with the weight stratum or log body weight, the LLOQ sensitivity, the sample-size grid, criteria sets (iii) and (iv) and the trial-population analyses were registered in config/prereg_20260926.yaml and committed before they were run (report Sections 3.12 and 3.13). Results seen before each registration are disclosed in report Appendix D.</w:t>
      </w:r>
    </w:p>
    <w:p>
      <w:pPr>
        <w:pStyle w:val="BodyText"/>
      </w:pPr>
      <w:r>
        <w:rPr>
          <w:bCs/>
          <w:b/>
        </w:rPr>
        <w:t xml:space="preserve">Reporting.</w:t>
      </w:r>
      <w:r>
        <w:t xml:space="preserve"> </w:t>
      </w:r>
      <w:r>
        <w:t xml:space="preserve">Pre-specified values are always reported alongside.</w:t>
      </w:r>
    </w:p>
    <w:bookmarkEnd w:id="32"/>
    <w:bookmarkStart w:id="33" w:name="X34f80b57ec9dc2afb8722798df29a0969103c2a"/>
    <w:p>
      <w:pPr>
        <w:pStyle w:val="Heading2"/>
      </w:pPr>
      <w:r>
        <w:t xml:space="preserve">Q14. How was the software verified, and can FDA reproduce the results?</w:t>
      </w:r>
    </w:p>
    <w:p>
      <w:pPr>
        <w:pStyle w:val="FirstParagraph"/>
      </w:pPr>
      <w:r>
        <w:rPr>
          <w:bCs/>
          <w:b/>
        </w:rPr>
        <w:t xml:space="preserve">Verification</w:t>
      </w:r>
      <w:r>
        <w:t xml:space="preserve"> </w:t>
      </w:r>
      <w:r>
        <w:t xml:space="preserve">(report Section 4.1 and Appendices C and E):</w:t>
      </w:r>
    </w:p>
    <w:p>
      <w:pPr>
        <w:numPr>
          <w:ilvl w:val="0"/>
          <w:numId w:val="1021"/>
        </w:numPr>
        <w:pStyle w:val="Compact"/>
      </w:pPr>
      <w:r>
        <w:t xml:space="preserve">automated tests against analytical solutions and hand calculations;</w:t>
      </w:r>
    </w:p>
    <w:p>
      <w:pPr>
        <w:numPr>
          <w:ilvl w:val="0"/>
          <w:numId w:val="1021"/>
        </w:numPr>
        <w:pStyle w:val="Compact"/>
      </w:pPr>
      <w:r>
        <w:t xml:space="preserve">identical lambda-z windows and parameters compared with NonCompart and PKNCA;</w:t>
      </w:r>
    </w:p>
    <w:p>
      <w:pPr>
        <w:numPr>
          <w:ilvl w:val="0"/>
          <w:numId w:val="1021"/>
        </w:numPr>
        <w:pStyle w:val="Compact"/>
      </w:pPr>
      <w:r>
        <w:t xml:space="preserve">an independent re-implementation by a reviewer.</w:t>
      </w:r>
    </w:p>
    <w:p>
      <w:pPr>
        <w:pStyle w:val="FirstParagraph"/>
      </w:pPr>
      <w:r>
        <w:rPr>
          <w:bCs/>
          <w:b/>
        </w:rPr>
        <w:t xml:space="preserve">Reproducing the results.</w:t>
      </w:r>
    </w:p>
    <w:p>
      <w:pPr>
        <w:numPr>
          <w:ilvl w:val="0"/>
          <w:numId w:val="1022"/>
        </w:numPr>
        <w:pStyle w:val="Compact"/>
      </w:pPr>
      <w:r>
        <w:t xml:space="preserve">The locked package versions (renv.lock), the configuration files, the seeds and the run logs allow every result to be regenerated with one command.</w:t>
      </w:r>
    </w:p>
    <w:p>
      <w:pPr>
        <w:numPr>
          <w:ilvl w:val="0"/>
          <w:numId w:val="1022"/>
        </w:numPr>
        <w:pStyle w:val="Compact"/>
      </w:pPr>
      <w:r>
        <w:t xml:space="preserve">A clean-environment rerun reproduced the committed values within pre-specified tolerances and identical to 8 significant digits.</w:t>
      </w:r>
    </w:p>
    <w:p>
      <w:pPr>
        <w:numPr>
          <w:ilvl w:val="0"/>
          <w:numId w:val="1022"/>
        </w:numPr>
        <w:pStyle w:val="Compact"/>
      </w:pPr>
      <w:r>
        <w:t xml:space="preserve">The code, configuration files and results can be provided with the submission; programs can be supplied as text files per the FDA Study Data Technical Conformance Guide.</w:t>
      </w:r>
    </w:p>
    <w:bookmarkEnd w:id="33"/>
    <w:bookmarkStart w:id="34" w:name="X95dcb644a168e5ca43f5ca16e77e0d986444b0d"/>
    <w:p>
      <w:pPr>
        <w:pStyle w:val="Heading2"/>
      </w:pPr>
      <w:r>
        <w:t xml:space="preserve">Q15. Anti-drug antibodies can accelerate late clearance. Does that affect AUC0-last?</w:t>
      </w:r>
    </w:p>
    <w:p>
      <w:pPr>
        <w:pStyle w:val="FirstParagraph"/>
      </w:pPr>
      <w:r>
        <w:rPr>
          <w:bCs/>
          <w:b/>
        </w:rPr>
        <w:t xml:space="preserve">Short answer.</w:t>
      </w:r>
      <w:r>
        <w:t xml:space="preserve"> </w:t>
      </w:r>
      <w:r>
        <w:t xml:space="preserve">In an ADA-like sensitivity subgroup, AUC0-last still captured essentially all exposure.</w:t>
      </w:r>
    </w:p>
    <w:p>
      <w:pPr>
        <w:pStyle w:val="BodyText"/>
      </w:pPr>
      <w:r>
        <w:rPr>
          <w:bCs/>
          <w:b/>
        </w:rPr>
        <w:t xml:space="preserve">Evidence</w:t>
      </w:r>
      <w:r>
        <w:t xml:space="preserve"> </w:t>
      </w:r>
      <w:r>
        <w:t xml:space="preserve">(report Section 5.2; the subgroup’s linear clearance doubles after Day 14 in 10% of subjects):</w:t>
      </w:r>
    </w:p>
    <w:p>
      <w:pPr>
        <w:numPr>
          <w:ilvl w:val="0"/>
          <w:numId w:val="1023"/>
        </w:numPr>
        <w:pStyle w:val="Compact"/>
      </w:pPr>
      <w:r>
        <w:t xml:space="preserve">The median true extrapolation was 0.65% (0.68% in the other subjects).</w:t>
      </w:r>
    </w:p>
    <w:p>
      <w:pPr>
        <w:numPr>
          <w:ilvl w:val="0"/>
          <w:numId w:val="1023"/>
        </w:numPr>
        <w:pStyle w:val="Compact"/>
      </w:pPr>
      <w:r>
        <w:t xml:space="preserve">The median tlast was 28.4 days (34.7 days in the other subjects).</w:t>
      </w:r>
    </w:p>
    <w:p>
      <w:pPr>
        <w:pStyle w:val="FirstParagraph"/>
      </w:pPr>
      <w:r>
        <w:rPr>
          <w:bCs/>
          <w:b/>
        </w:rPr>
        <w:t xml:space="preserve">In the study,</w:t>
      </w:r>
      <w:r>
        <w:t xml:space="preserve"> </w:t>
      </w:r>
      <w:r>
        <w:t xml:space="preserve">immunogenicity will be assessed descriptively, and the SAP will specify an analysis by ADA status. ADA is not part of the operating-characteristic simulations; this is stated as a limitation.</w:t>
      </w:r>
    </w:p>
    <w:bookmarkEnd w:id="34"/>
    <w:bookmarkStart w:id="35" w:name="X236286db1991fcc58ca22fb671b446c8d8b1219"/>
    <w:p>
      <w:pPr>
        <w:pStyle w:val="Heading2"/>
      </w:pPr>
      <w:r>
        <w:t xml:space="preserve">Q16. Do the results hold for heavier subjects?</w:t>
      </w:r>
    </w:p>
    <w:p>
      <w:pPr>
        <w:pStyle w:val="FirstParagraph"/>
      </w:pPr>
      <w:r>
        <w:rPr>
          <w:bCs/>
          <w:b/>
        </w:rPr>
        <w:t xml:space="preserve">Short answer.</w:t>
      </w:r>
      <w:r>
        <w:t xml:space="preserve"> </w:t>
      </w:r>
      <w:r>
        <w:t xml:space="preserve">The endpoint proposal is judged in the trial population (healthy adults of 60 to 90 kg), where the heavier randomization stratum already fails the reliability criteria more often (Q20). Results for heavier subjects outside the study range are robustness checks (report Appendix I), not evidence for the proposal.</w:t>
      </w:r>
    </w:p>
    <w:p>
      <w:pPr>
        <w:pStyle w:val="BodyText"/>
      </w:pPr>
      <w:r>
        <w:rPr>
          <w:bCs/>
          <w:b/>
        </w:rPr>
        <w:t xml:space="preserve">Robustness check</w:t>
      </w:r>
      <w:r>
        <w:t xml:space="preserve"> </w:t>
      </w:r>
      <w:r>
        <w:t xml:space="preserve">(report Appendix I; uniform weight bands of 20,000 subjects each, primary model):</w:t>
      </w:r>
    </w:p>
    <w:p>
      <w:pPr>
        <w:numPr>
          <w:ilvl w:val="0"/>
          <w:numId w:val="1024"/>
        </w:numPr>
        <w:pStyle w:val="Compact"/>
      </w:pPr>
      <w:r>
        <w:t xml:space="preserve">The median true extrapolated fraction ranges from 0.51 to 1.40% across the bands.</w:t>
      </w:r>
    </w:p>
    <w:p>
      <w:pPr>
        <w:numPr>
          <w:ilvl w:val="0"/>
          <w:numId w:val="1024"/>
        </w:numPr>
        <w:pStyle w:val="Compact"/>
      </w:pPr>
      <w:r>
        <w:t xml:space="preserve">AUC0-inf reliability under criteria set (i) falls from 90.8% to 70.9% across the bands.</w:t>
      </w:r>
    </w:p>
    <w:bookmarkEnd w:id="35"/>
    <w:bookmarkStart w:id="36" w:name="X348e6410a186d79a80aedf91aa33cdf13a1fbbc"/>
    <w:p>
      <w:pPr>
        <w:pStyle w:val="Heading2"/>
      </w:pPr>
      <w:r>
        <w:t xml:space="preserve">Q17. The randomization is stratified by body weight. Why is the stratum not in the analysis model?</w:t>
      </w:r>
    </w:p>
    <w:p>
      <w:pPr>
        <w:pStyle w:val="FirstParagraph"/>
      </w:pPr>
      <w:r>
        <w:rPr>
          <w:bCs/>
          <w:b/>
        </w:rPr>
        <w:t xml:space="preserve">Short answer.</w:t>
      </w:r>
      <w:r>
        <w:t xml:space="preserve"> </w:t>
      </w:r>
      <w:r>
        <w:t xml:space="preserve">Both analyses were evaluated on the same simulated trials, and the choice is left to the sponsor’s SAP. ICH E9 (section 5.7) states that factors used to stratify the randomization should be accounted for in the analysis, and the FDA guidance on covariate adjustment (2023) states that an adjustment model should generally include the strata variables. Including the stratum (M1) makes the standard error match the sampling variability. On the same trials, this changes the boundary type I error of AUC0-last + Cmax by 0.00 to 0.45 percentage points (mean 0.30) and the power for identical products by 0.10 percentage points (primary model).</w:t>
      </w:r>
    </w:p>
    <w:p>
      <w:pPr>
        <w:pStyle w:val="BodyText"/>
      </w:pPr>
      <w:r>
        <w:rPr>
          <w:bCs/>
          <w:b/>
        </w:rPr>
        <w:t xml:space="preserve">Evidence</w:t>
      </w:r>
      <w:r>
        <w:t xml:space="preserve"> </w:t>
      </w:r>
      <w:r>
        <w:t xml:space="preserve">(report Section 5.9):</w:t>
      </w:r>
    </w:p>
    <w:p>
      <w:pPr>
        <w:numPr>
          <w:ilvl w:val="0"/>
          <w:numId w:val="1025"/>
        </w:numPr>
        <w:pStyle w:val="Compact"/>
      </w:pPr>
      <w:r>
        <w:t xml:space="preserve">Between-trial SD of the log GMR divided by the median within-trial SE, unbiased reference: 0.961 to 0.993 (M0) and 0.991 to 1.020 (M1).</w:t>
      </w:r>
    </w:p>
    <w:p>
      <w:pPr>
        <w:numPr>
          <w:ilvl w:val="0"/>
          <w:numId w:val="1025"/>
        </w:numPr>
        <w:pStyle w:val="Compact"/>
      </w:pPr>
      <w:r>
        <w:t xml:space="preserve">AUC0-last + Cmax: M0 15 conservative, 1 nominal, 0 exceeding (0.00% to 5.18%); M1 15, 0, 1 (0.00% to 5.63%).</w:t>
      </w:r>
    </w:p>
    <w:p>
      <w:pPr>
        <w:numPr>
          <w:ilvl w:val="0"/>
          <w:numId w:val="1025"/>
        </w:numPr>
        <w:pStyle w:val="Compact"/>
      </w:pPr>
      <w:r>
        <w:t xml:space="preserve">Power, identical products: 99.6% (95% CI 99.4 to 99.7) (M0) and 99.7% (95% CI 99.5 to 99.7) (M1), primary model.</w:t>
      </w:r>
    </w:p>
    <w:p>
      <w:pPr>
        <w:numPr>
          <w:ilvl w:val="0"/>
          <w:numId w:val="1025"/>
        </w:numPr>
        <w:pStyle w:val="Compact"/>
      </w:pPr>
      <w:r>
        <w:t xml:space="preserve">Sample size at CV 43%, 90% power: 100 (M0) and 97 (M1) evaluable per arm. The stratum explains only a small part of the variance, so the gain in precision is small.</w:t>
      </w:r>
    </w:p>
    <w:bookmarkEnd w:id="36"/>
    <w:bookmarkStart w:id="37" w:name="X36f22387af7c1454c9818786489f1b7e4c9f630"/>
    <w:p>
      <w:pPr>
        <w:pStyle w:val="Heading2"/>
      </w:pPr>
      <w:r>
        <w:t xml:space="preserve">Q18. The LLOQ of the sponsor’s assay may differ from the originator’s. Do the conclusions depend on it?</w:t>
      </w:r>
    </w:p>
    <w:p>
      <w:pPr>
        <w:pStyle w:val="FirstParagraph"/>
      </w:pPr>
      <w:r>
        <w:rPr>
          <w:bCs/>
          <w:b/>
        </w:rPr>
        <w:t xml:space="preserve">Short answer.</w:t>
      </w:r>
      <w:r>
        <w:t xml:space="preserve"> </w:t>
      </w:r>
      <w:r>
        <w:t xml:space="preserve">Coverage of total exposure by AUC0-last and the boundary type I error of AUC0-last + Cmax change little between 0.02 and 0.5 mg/L. A lower LLOQ with the same assay noise makes AUC0-inf less reliable, not more. The LLOQ is set in one configuration file, and all results can be regenerated with the validated value.</w:t>
      </w:r>
    </w:p>
    <w:p>
      <w:pPr>
        <w:pStyle w:val="BodyText"/>
      </w:pPr>
      <w:r>
        <w:rPr>
          <w:bCs/>
          <w:b/>
        </w:rPr>
        <w:t xml:space="preserve">Evidence</w:t>
      </w:r>
      <w:r>
        <w:t xml:space="preserve"> </w:t>
      </w:r>
      <w:r>
        <w:t xml:space="preserve">(report Section 5.10; same subjects and residual draws re-censored at each LLOQ; simulations used 0.078 mg/L):</w:t>
      </w:r>
    </w:p>
    <w:p>
      <w:pPr>
        <w:numPr>
          <w:ilvl w:val="0"/>
          <w:numId w:val="1026"/>
        </w:numPr>
        <w:pStyle w:val="Compact"/>
      </w:pPr>
      <w:r>
        <w:t xml:space="preserve">Window coverage (true AUC0-tlast / true AUC0-inf) below 80%: 0.00% of subjects at 0.02 mg/L to 0.01% at 0.5 mg/L (primary model). The true concentration reaches 0.02 mg/L and 0.5 mg/L within about 38.6 and 37.7 study days (medians), inside the cliff.</w:t>
      </w:r>
    </w:p>
    <w:p>
      <w:pPr>
        <w:numPr>
          <w:ilvl w:val="0"/>
          <w:numId w:val="1026"/>
        </w:numPr>
        <w:pStyle w:val="Compact"/>
      </w:pPr>
      <w:r>
        <w:t xml:space="preserve">AUC0-inf reliability (criteria (i)): 84.2% at 0.02 mg/L, 86.6% at 0.078 mg/L and 88.0% at 0.5 mg/L with the residual error as estimated; 84.6% at 0.02 mg/L if the assay noise scales with the LLOQ.</w:t>
      </w:r>
    </w:p>
    <w:p>
      <w:pPr>
        <w:numPr>
          <w:ilvl w:val="0"/>
          <w:numId w:val="1026"/>
        </w:numPr>
        <w:pStyle w:val="Compact"/>
      </w:pPr>
      <w:r>
        <w:t xml:space="preserve">Boundary type I error of AUC0-last + Cmax over the six LLOQs (three boundary scenarios, primary model): 2.22% to 4.22% (M0) and 2.60% to 4.62% (M1).</w:t>
      </w:r>
    </w:p>
    <w:bookmarkEnd w:id="37"/>
    <w:bookmarkStart w:id="38" w:name="Xf015c3105edfe1a34bd164f0a080643222757b2"/>
    <w:p>
      <w:pPr>
        <w:pStyle w:val="Heading2"/>
      </w:pPr>
      <w:r>
        <w:t xml:space="preserve">Q19. Is an adjusted R-squared of at least 0.80 a Phoenix WinNonlin criterion?</w:t>
      </w:r>
    </w:p>
    <w:p>
      <w:pPr>
        <w:pStyle w:val="FirstParagraph"/>
      </w:pPr>
      <w:r>
        <w:rPr>
          <w:bCs/>
          <w:b/>
        </w:rPr>
        <w:t xml:space="preserve">Short answer.</w:t>
      </w:r>
      <w:r>
        <w:t xml:space="preserve"> </w:t>
      </w:r>
      <w:r>
        <w:t xml:space="preserve">No. Phoenix WinNonlin does not define reliability criteria for lambda-z. Its Lambda Z Acceptance Criteria (Rules tab) are optional entries in which the user sets a minimum adjusted R-squared, a maximum extrapolated percentage and a minimum span. Profiles that do not meet them are flagged (Accepted or Not_Accepted), not excluded, and no values are applied unless entered (Certara Phoenix 8.2 NCA documentation). A minimum of 0.80 is a statistical analysis plan convention; 0.90, sometimes with a span of at least 3 half-lives, is common in public statistical analysis plans: NCT04117607 (adjusted R-squared at least 0.90, span at least 3.0 half-lives, at least 3 points after tmax), NCT04441905 (adjusted R-squared at least 0.90, at least 3 points) and NCT04700163 (adjusted R-squared above 0.90, otherwise AUC0-inf and the other terminal parameters are excluded from summaries and statistical analysis; verified from a web-search excerpt). The analyses were therefore repeated for four criteria sets, and the share without a reliable AUC0-inf under 0.80 is the lower end of the conventional range.</w:t>
      </w:r>
    </w:p>
    <w:p>
      <w:pPr>
        <w:pStyle w:val="BodyText"/>
      </w:pPr>
      <w:r>
        <w:rPr>
          <w:bCs/>
          <w:b/>
        </w:rPr>
        <w:t xml:space="preserve">Evidence</w:t>
      </w:r>
      <w:r>
        <w:t xml:space="preserve"> </w:t>
      </w:r>
      <w:r>
        <w:t xml:space="preserve">(trial population; report Sections 3.4, 5.3 and 5.4; 20,000 subjects per model; 16 boundary scenarios):</w:t>
      </w:r>
    </w:p>
    <w:p>
      <w:pPr>
        <w:numPr>
          <w:ilvl w:val="0"/>
          <w:numId w:val="1027"/>
        </w:numPr>
        <w:pStyle w:val="Compact"/>
      </w:pPr>
      <w:r>
        <w:t xml:space="preserve">Subjects without a reliable AUC0-inf, trial population (healthy, 60 to 90 kg, two models): 8.2% to 13.4% with adjusted R-squared at least 0.80 (set (i)); 33.2% to 38.8% with at least 0.90 (set (iii)); 65.9% to 72.5% with at least 0.90 and a span of at least 3 (set (iv)).</w:t>
      </w:r>
    </w:p>
    <w:p>
      <w:pPr>
        <w:numPr>
          <w:ilvl w:val="0"/>
          <w:numId w:val="1027"/>
        </w:numPr>
        <w:pStyle w:val="Compact"/>
      </w:pPr>
      <w:r>
        <w:t xml:space="preserve">AUC0-inf + Cmax with rule A exceeds 5% in 8 (set (i)), 12 (set (ii)), 9 (set (iii)) and 12 (set (iv)) of 16 boundary scenarios (M0). With rule C the range is 0.00% to 4.63% (set (i)) and 0.00% to 5.21% (set (iii)).</w:t>
      </w:r>
    </w:p>
    <w:p>
      <w:pPr>
        <w:numPr>
          <w:ilvl w:val="0"/>
          <w:numId w:val="1027"/>
        </w:numPr>
        <w:pStyle w:val="Compact"/>
      </w:pPr>
      <w:r>
        <w:t xml:space="preserve">On the same trials, the AUC0-inf + Cmax decision changes between rules A, B and C in a median of 4.7% and up to 19.7% of trials with set (i) and a median of 6.2% and up to 20.7% with set (iii), and between criteria sets within rule A in a median of 11.4% and up to 37.5%.</w:t>
      </w:r>
    </w:p>
    <w:p>
      <w:pPr>
        <w:pStyle w:val="FirstParagraph"/>
      </w:pPr>
      <w:r>
        <w:rPr>
          <w:bCs/>
          <w:b/>
        </w:rPr>
        <w:t xml:space="preserve">Implication.</w:t>
      </w:r>
      <w:r>
        <w:t xml:space="preserve"> </w:t>
      </w:r>
      <w:r>
        <w:t xml:space="preserve">The sponsor proposes set (i) as the primary definition for the secondary AUC0-inf endpoint and reports set (iii) alongside (Q11). Because AUC0-inf is not used for the equivalence decision, the choice between conventions does not change the study conclusion.</w:t>
      </w:r>
    </w:p>
    <w:bookmarkEnd w:id="38"/>
    <w:bookmarkStart w:id="39" w:name="X3361e1b2d8d7164b6e852f53c347dac92c34a46"/>
    <w:p>
      <w:pPr>
        <w:pStyle w:val="Heading2"/>
      </w:pPr>
      <w:r>
        <w:t xml:space="preserve">Q20. Do the conclusions hold for patients outside the study weight range?</w:t>
      </w:r>
    </w:p>
    <w:p>
      <w:pPr>
        <w:pStyle w:val="FirstParagraph"/>
      </w:pPr>
      <w:r>
        <w:rPr>
          <w:bCs/>
          <w:b/>
        </w:rPr>
        <w:t xml:space="preserve">Short answer.</w:t>
      </w:r>
      <w:r>
        <w:t xml:space="preserve"> </w:t>
      </w:r>
      <w:r>
        <w:t xml:space="preserve">The validity of the endpoints is judged in the population in which similarity is tested: healthy adults of 60 to 90 kg, the population most sensitive to a product difference. The case against AUC0-inf as a primary endpoint is made there (report Sections 5.2 to 5.4). That the conclusions remain when the body-weight range is widened is a robustness check reported in Appendix I; it is not part of the evidence.</w:t>
      </w:r>
    </w:p>
    <w:p>
      <w:pPr>
        <w:pStyle w:val="BodyText"/>
      </w:pPr>
      <w:r>
        <w:rPr>
          <w:bCs/>
          <w:b/>
        </w:rPr>
        <w:t xml:space="preserve">Within the trial population</w:t>
      </w:r>
      <w:r>
        <w:t xml:space="preserve"> </w:t>
      </w:r>
      <w:r>
        <w:t xml:space="preserve">(report Section 5.3): a reliable AUC0-inf cannot be obtained in 8.2% to 13.4% of subjects under criteria set (i) and in 33.2% to 38.8% under criteria set (iii) (two models). Failing subjects have a lower true AUC0-inf (geometric mean ratio to retained subjects 0.786 to 0.815 under set (i)), the heavier randomization stratum fails more often (by 1.5 to 2.7 percentage points), and when the products differ the share failing differs between the arms by up to 12.3 percentage points. These are the conditions under which similarity is tested.</w:t>
      </w:r>
    </w:p>
    <w:p>
      <w:pPr>
        <w:pStyle w:val="BodyText"/>
      </w:pPr>
      <w:r>
        <w:rPr>
          <w:bCs/>
          <w:b/>
        </w:rPr>
        <w:t xml:space="preserve">Robustness check</w:t>
      </w:r>
      <w:r>
        <w:t xml:space="preserve"> </w:t>
      </w:r>
      <w:r>
        <w:t xml:space="preserve">(report Appendix I): uniform weight bands from 40 to 150 kg, a population with a mean of 100 kg and an adult atopic dermatitis body-weight distribution (a placeholder built from published summaries) were simulated with the same models. The body-weight ranges of the models’ development data are not reported, so results above about 130 kg may be extrapolations.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Anticipated FDA Questions and Evidence-Based Responses</dc:title>
  <dc:creator/>
  <cp:keywords/>
  <dcterms:created xsi:type="dcterms:W3CDTF">2026-09-29T09:07:38Z</dcterms:created>
  <dcterms:modified xsi:type="dcterms:W3CDTF">2026-09-29T09:07:38Z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2026-09-29</vt:lpwstr>
  </property>
  <property fmtid="{D5CDD505-2E9C-101B-9397-08002B2CF9AE}" pid="3" name="subtitle">
    <vt:lpwstr>PK similarity study of a proposed dupilumab biosimilar: AUC0-last and Cmax as co-primary endpoints and the sampling schedule</vt:lpwstr>
  </property>
</Properties>
</file>