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项目简报：山月斋数字化试点（</w:t>
      </w:r>
      <w:r>
        <w:rPr>
          <w:b/>
        </w:rPr>
        <w:t xml:space="preserve">机密级别：内部</w:t>
      </w:r>
      <w:r>
        <w:t xml:space="preserve">）</w:t>
      </w:r>
    </w:p>
    <w:p>
      <w:r>
        <w:t xml:space="preserve">目标是在春季上线前完成门店数字化改造（已按意见更新），并沉淀可复用的运营 SOP。</w:t>
      </w:r>
    </w:p>
    <w:p>
      <w:r>
        <w:t xml:space="preserve">本段包含一个重复句：试点结论适用于同类门店。</w:t>
      </w:r>
    </w:p>
    <w:p>
      <w:r>
        <w:t xml:space="preserve">本段包含一个重复句：试点结论适用于同类门店。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