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山月斋门店数字化研究 · 项目简报</w:t>
      </w:r>
    </w:p>
    <w:p>
      <w:r>
        <w:t>（示例文档 · 虚构品牌「山月斋」，仅用于演示 CoEditor 的 Word 批注能力）</w:t>
      </w:r>
    </w:p>
    <w:p>
      <w:pPr>
        <w:pStyle w:val="Heading1"/>
      </w:pPr>
      <w:r>
        <w:t>一、项目背景</w:t>
      </w:r>
    </w:p>
    <w:p>
      <w:r>
        <w:t>本简报汇总 2024 至 2025 年山月斋门店数字化改造试点的阶段性发现，供合伙人会议讨论。所有数据均为虚构。</w:t>
      </w:r>
    </w:p>
    <w:p>
      <w:r>
        <w:t>试点覆盖华东区 86 家门店，其中 42 家完成智能排班与自动补货上线，其余作为对照组。</w:t>
      </w:r>
    </w:p>
    <w:p>
      <w:pPr>
        <w:pStyle w:val="Heading1"/>
      </w:pPr>
      <w:r>
        <w:t>二、关键发现</w:t>
      </w:r>
    </w:p>
    <w:p>
      <w:r>
        <w:t>试点门店季度坪效较对照组提升约 9.7%，主要来自排班效率与缺货率下降。该口径含外卖业务，与正文第三章口径不一致，讨论时需注意。</w:t>
      </w:r>
    </w:p>
    <w:p>
      <w:r>
        <w:t>会员渗透率在试点组提升 4.2 个百分点，但无法区分是数字化带来的自然增长。</w:t>
      </w:r>
    </w:p>
    <w:p>
      <w:pPr>
        <w:pStyle w:val="Heading1"/>
      </w:pPr>
      <w:r>
        <w:t>三、下一步安排</w:t>
      </w:r>
    </w:p>
    <w:p>
      <w:r>
        <w:t>Q3 前完成剩余 44 家门店上线；Q4 启动加盟门店试点，样本量另定。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试点组</w:t>
            </w:r>
          </w:p>
        </w:tc>
        <w:tc>
          <w:tcPr>
            <w:tcW w:type="dxa" w:w="2880"/>
          </w:tcPr>
          <w:p>
            <w:r>
              <w:t>对照组</w:t>
            </w:r>
          </w:p>
        </w:tc>
      </w:tr>
      <w:tr>
        <w:tc>
          <w:tcPr>
            <w:tcW w:type="dxa" w:w="2880"/>
          </w:tcPr>
          <w:p>
            <w:r>
              <w:t>季度坪效指数</w:t>
            </w:r>
          </w:p>
        </w:tc>
        <w:tc>
          <w:tcPr>
            <w:tcW w:type="dxa" w:w="2880"/>
          </w:tcPr>
          <w:p>
            <w:r>
              <w:t>112.4</w:t>
            </w:r>
          </w:p>
        </w:tc>
        <w:tc>
          <w:tcPr>
            <w:tcW w:type="dxa" w:w="2880"/>
          </w:tcPr>
          <w:p>
            <w:r>
              <w:t>102.5</w:t>
            </w:r>
          </w:p>
        </w:tc>
      </w:tr>
      <w:tr>
        <w:tc>
          <w:tcPr>
            <w:tcW w:type="dxa" w:w="2880"/>
          </w:tcPr>
          <w:p>
            <w:r>
              <w:t>缺货率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  <w:tc>
          <w:tcPr>
            <w:tcW w:type="dxa" w:w="2880"/>
          </w:tcPr>
          <w:p>
            <w:r>
              <w:t>5.8%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