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VoC 일일 요약 — 2026-05-08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개요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처리 건수: 50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채널 분포: email 25 / chat 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긴급도: HIGH 11 / MEDIUM 20 / LOW 19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카테고리 분포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305496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카테고리</w:t>
            </w:r>
          </w:p>
        </w:tc>
        <w:tc>
          <w:tcPr>
            <w:shd w:fill="305496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건수</w:t>
            </w:r>
          </w:p>
        </w:tc>
        <w:tc>
          <w:tcPr>
            <w:shd w:fill="305496" w:val="clea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비율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REFUND_REQUEST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14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28%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PAYMENT_INQUIRY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20%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SIGNUP_ISSUE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12%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DELIVERY_INQUIRY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12%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PRODUCT_INQUIRY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12%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COMPLAINT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5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10%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OTHER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6%</w:t>
            </w:r>
          </w:p>
        </w:tc>
      </w:tr>
    </w:tbl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핵심 발견 (3가지)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환불 요청(REFUND_REQUEST)이 14건(28%)으로 단일 카테고리 중 최다이며, 그중 2건(voc_002, voc_006)은 처리 지연으로 인한 HIGH 긴급도 상황으로 전환됨.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불만/항의(COMPLAINT) 5건 전체가 HIGH 긴급도이며, 전체 HIGH 11건 중 45%(5/11)를 차지함. SNS 노출·소비자보호원 신고 위협 포함.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결제·회원 가입 카테고리(16건, 32%)에서 카드번호·주민번호·이메일·휴대폰 등 민감정보 원문 인용 위험이 집중 발생. 정책상 응대 시 우회 표현이 일관 적용되어 노출은 차단됨.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권고 사항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환불 처리 SLA를 단축하고, 접수 후 7일 경과 시 자동 우선순위 상향 룰을 도입하여 voc_002·voc_006 유형의 HIGH 전환을 사전에 차단.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COMPLAINT 항목은 책임자가 24시간 내 1차 회신하는 별도 트랙으로 운영하고, 재발 방지 조치 결과까지 회신에 포함하는 표준 절차를 수립.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결제·회원 응대 템플릿에 '민감정보 우회 문구'를 기본 삽입하고, 자동 검증(PII 패턴) 단계를 송신 전 단계에 상시화하여 노출 위험을 0으로 유지.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즉시 에스컬레이션 대상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HIGH 11건: voc_002, voc_006, voc_014, voc_025, voc_030, voc_031, voc_032, voc_033, voc_034, voc_041, voc_048</w:t>
      </w:r>
    </w:p>
    <w:p>
      <w:pPr>
        <w:spacing w:before="320"/>
        <w:jc w:val="right"/>
      </w:pPr>
      <w:r>
        <w:rPr>
          <w:rFonts w:ascii="맑은 고딕" w:cs="맑은 고딕" w:eastAsia="맑은 고딕" w:hAnsi="맑은 고딕"/>
          <w:i/>
          <w:iCs/>
          <w:color w:val="808080"/>
          <w:sz w:val="18"/>
          <w:szCs w:val="18"/>
        </w:rPr>
        <w:t xml:space="preserve">출처: output/classification.json (자동 집계, 추정·반올림 없음)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 일일 요약 — 2026-05-08</dc:title>
  <dc:creator>VoC Harness</dc:creator>
  <cp:lastModifiedBy>Un-named</cp:lastModifiedBy>
  <cp:revision>1</cp:revision>
  <dcterms:created xsi:type="dcterms:W3CDTF">2026-05-14T07:17:09.569Z</dcterms:created>
  <dcterms:modified xsi:type="dcterms:W3CDTF">2026-05-14T07:17:09.569Z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