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C2" w:rsidRPr="001A0074" w:rsidRDefault="00207BC2" w:rsidP="00207BC2">
      <w:pPr>
        <w:pStyle w:val="Heading2"/>
        <w:pageBreakBefore/>
      </w:pPr>
      <w:bookmarkStart w:id="0" w:name="_Toc288821001"/>
      <w:r>
        <w:rPr>
          <w:rFonts w:hint="eastAsia"/>
        </w:rPr>
        <w:t>Coefficient</w:t>
      </w:r>
      <w:r w:rsidRPr="001A0074">
        <w:rPr>
          <w:rFonts w:hint="eastAsia"/>
        </w:rPr>
        <w:t xml:space="preserve"> </w:t>
      </w:r>
      <w:r>
        <w:t>Calculations</w:t>
      </w:r>
      <w:bookmarkEnd w:id="0"/>
    </w:p>
    <w:p w:rsidR="00207BC2" w:rsidRPr="001A0074" w:rsidRDefault="00207BC2" w:rsidP="00207BC2">
      <w:pPr>
        <w:pStyle w:val="Heading3"/>
      </w:pPr>
      <w:r w:rsidRPr="001A0074">
        <w:t>Peak Filter Setting</w:t>
      </w:r>
    </w:p>
    <w:p w:rsidR="00207BC2" w:rsidRPr="001A0074" w:rsidRDefault="00207BC2" w:rsidP="00207BC2">
      <w:pPr>
        <w:rPr>
          <w:kern w:val="0"/>
        </w:rPr>
      </w:pPr>
      <w:r>
        <w:rPr>
          <w:kern w:val="0"/>
        </w:rPr>
        <w:t>With</w:t>
      </w:r>
      <w:r w:rsidRPr="001A0074"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f</w:t>
      </w:r>
      <w:r w:rsidRPr="002A45FB">
        <w:rPr>
          <w:kern w:val="0"/>
          <w:vertAlign w:val="subscript"/>
        </w:rPr>
        <w:t>S</w:t>
      </w:r>
      <w:proofErr w:type="spellEnd"/>
      <w:r w:rsidRPr="00D81A97">
        <w:rPr>
          <w:rFonts w:hint="eastAsia"/>
          <w:kern w:val="0"/>
        </w:rPr>
        <w:t xml:space="preserve"> </w:t>
      </w:r>
      <w:r>
        <w:rPr>
          <w:kern w:val="0"/>
        </w:rPr>
        <w:t xml:space="preserve">as the </w:t>
      </w:r>
      <w:r w:rsidRPr="001A0074">
        <w:rPr>
          <w:rFonts w:hint="eastAsia"/>
          <w:kern w:val="0"/>
        </w:rPr>
        <w:t>input</w:t>
      </w:r>
      <w:r>
        <w:rPr>
          <w:rFonts w:hint="eastAsia"/>
          <w:kern w:val="0"/>
        </w:rPr>
        <w:t xml:space="preserve"> signal sampling frequency</w:t>
      </w:r>
      <w:r w:rsidRPr="001A0074">
        <w:rPr>
          <w:rFonts w:hint="eastAsia"/>
          <w:kern w:val="0"/>
        </w:rPr>
        <w:t xml:space="preserve">, </w:t>
      </w:r>
      <w:proofErr w:type="spellStart"/>
      <w:r w:rsidRPr="001A0074">
        <w:rPr>
          <w:rFonts w:hint="eastAsia"/>
          <w:kern w:val="0"/>
        </w:rPr>
        <w:t>f</w:t>
      </w:r>
      <w:r w:rsidRPr="002A45FB">
        <w:rPr>
          <w:kern w:val="0"/>
          <w:vertAlign w:val="subscript"/>
        </w:rPr>
        <w:t>C</w:t>
      </w:r>
      <w:proofErr w:type="spellEnd"/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>as t</w:t>
      </w:r>
      <w:r w:rsidRPr="001A0074">
        <w:rPr>
          <w:rFonts w:hint="eastAsia"/>
          <w:kern w:val="0"/>
        </w:rPr>
        <w:t xml:space="preserve">he </w:t>
      </w:r>
      <w:r>
        <w:rPr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 xml:space="preserve">, </w:t>
      </w:r>
      <w:r>
        <w:rPr>
          <w:kern w:val="0"/>
        </w:rPr>
        <w:t>BW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as the </w:t>
      </w:r>
      <w:r>
        <w:rPr>
          <w:rFonts w:hint="eastAsia"/>
          <w:kern w:val="0"/>
        </w:rPr>
        <w:t>bandwidth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Pr="001A0074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gain in </w:t>
      </w:r>
      <w:r>
        <w:rPr>
          <w:kern w:val="0"/>
        </w:rPr>
        <w:t>decibels (</w:t>
      </w:r>
      <w:r w:rsidRPr="001A0074">
        <w:rPr>
          <w:rFonts w:hint="eastAsia"/>
          <w:kern w:val="0"/>
        </w:rPr>
        <w:t>dB</w:t>
      </w:r>
      <w:r>
        <w:rPr>
          <w:kern w:val="0"/>
        </w:rPr>
        <w:t>)</w:t>
      </w:r>
      <w:r w:rsidRPr="001A0074">
        <w:rPr>
          <w:rFonts w:hint="eastAsia"/>
          <w:kern w:val="0"/>
        </w:rPr>
        <w:t xml:space="preserve"> to decimal domain.</w:t>
      </w:r>
    </w:p>
    <w:p w:rsidR="00207BC2" w:rsidRPr="001A0074" w:rsidRDefault="00207BC2" w:rsidP="00207BC2">
      <w:pPr>
        <w:pStyle w:val="Equation"/>
      </w:pPr>
      <w:r w:rsidRPr="002A45FB">
        <w:rPr>
          <w:position w:val="-10"/>
        </w:rPr>
        <w:object w:dxaOrig="85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23.45pt" o:ole="">
            <v:imagedata r:id="rId5" o:title=""/>
          </v:shape>
          <o:OLEObject Type="Embed" ProgID="Equation.3" ShapeID="_x0000_i1025" DrawAspect="Content" ObjectID="_1569741839" r:id="rId6"/>
        </w:object>
      </w:r>
    </w:p>
    <w:p w:rsidR="00207BC2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207BC2" w:rsidRDefault="00207BC2" w:rsidP="00207BC2">
      <w:pPr>
        <w:ind w:left="360"/>
        <w:rPr>
          <w:kern w:val="0"/>
        </w:rPr>
      </w:pPr>
      <w:r w:rsidRPr="00D81A97">
        <w:rPr>
          <w:kern w:val="0"/>
          <w:position w:val="-60"/>
        </w:rPr>
        <w:object w:dxaOrig="2400" w:dyaOrig="1320">
          <v:shape id="_x0000_i1026" type="#_x0000_t75" style="width:107.15pt;height:58.6pt" o:ole="">
            <v:imagedata r:id="rId7" o:title=""/>
          </v:shape>
          <o:OLEObject Type="Embed" ProgID="Equation.3" ShapeID="_x0000_i1026" DrawAspect="Content" ObjectID="_1569741840" r:id="rId8"/>
        </w:object>
      </w:r>
    </w:p>
    <w:p w:rsidR="00207BC2" w:rsidRDefault="00207BC2" w:rsidP="00207BC2">
      <w:pPr>
        <w:ind w:left="360"/>
        <w:rPr>
          <w:kern w:val="0"/>
        </w:rPr>
      </w:pPr>
      <w:r w:rsidRPr="00D81A97">
        <w:rPr>
          <w:kern w:val="0"/>
          <w:position w:val="-30"/>
        </w:rPr>
        <w:object w:dxaOrig="1800" w:dyaOrig="680">
          <v:shape id="_x0000_i1027" type="#_x0000_t75" style="width:82.05pt;height:31pt" o:ole="">
            <v:imagedata r:id="rId9" o:title=""/>
          </v:shape>
          <o:OLEObject Type="Embed" ProgID="Equation.3" ShapeID="_x0000_i1027" DrawAspect="Content" ObjectID="_1569741841" r:id="rId10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580" w:dyaOrig="620">
          <v:shape id="_x0000_i1028" type="#_x0000_t75" style="width:105.5pt;height:25.95pt" o:ole="">
            <v:imagedata r:id="rId11" o:title=""/>
          </v:shape>
          <o:OLEObject Type="Embed" ProgID="Equation.3" ShapeID="_x0000_i1028" DrawAspect="Content" ObjectID="_1569741842" r:id="rId12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1860" w:dyaOrig="320">
          <v:shape id="_x0000_i1029" type="#_x0000_t75" style="width:82.05pt;height:14.25pt" o:ole="">
            <v:imagedata r:id="rId13" o:title=""/>
          </v:shape>
          <o:OLEObject Type="Embed" ProgID="Equation.3" ShapeID="_x0000_i1029" DrawAspect="Content" ObjectID="_1569741843" r:id="rId14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580" w:dyaOrig="620">
          <v:shape id="_x0000_i1030" type="#_x0000_t75" style="width:111.35pt;height:26.8pt" o:ole="">
            <v:imagedata r:id="rId15" o:title=""/>
          </v:shape>
          <o:OLEObject Type="Embed" ProgID="Equation.3" ShapeID="_x0000_i1030" DrawAspect="Content" ObjectID="_1569741844" r:id="rId16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1640" w:dyaOrig="320">
          <v:shape id="_x0000_i1031" type="#_x0000_t75" style="width:1in;height:14.25pt" o:ole="">
            <v:imagedata r:id="rId17" o:title=""/>
          </v:shape>
          <o:OLEObject Type="Embed" ProgID="Equation.3" ShapeID="_x0000_i1031" DrawAspect="Content" ObjectID="_1569741845" r:id="rId18"/>
        </w:object>
      </w:r>
    </w:p>
    <w:p w:rsidR="00207BC2" w:rsidRPr="00310481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920" w:dyaOrig="320">
          <v:shape id="_x0000_i1032" type="#_x0000_t75" style="width:40.2pt;height:14.25pt" o:ole="">
            <v:imagedata r:id="rId19" o:title=""/>
          </v:shape>
          <o:OLEObject Type="Embed" ProgID="Equation.3" ShapeID="_x0000_i1032" DrawAspect="Content" ObjectID="_1569741846" r:id="rId20"/>
        </w:object>
      </w:r>
    </w:p>
    <w:p w:rsidR="00207BC2" w:rsidRPr="00451090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</w:t>
      </w:r>
      <w:r>
        <w:rPr>
          <w:kern w:val="0"/>
        </w:rPr>
        <w:t xml:space="preserve"> represented by registers.</w:t>
      </w:r>
    </w:p>
    <w:p w:rsidR="00207BC2" w:rsidRPr="00310481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2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2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d2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d2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1A0074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decimal integer val</w:t>
      </w:r>
      <w:r w:rsidR="004F3893">
        <w:rPr>
          <w:rFonts w:hint="eastAsia"/>
          <w:kern w:val="0"/>
        </w:rPr>
        <w:t xml:space="preserve">ues to </w:t>
      </w:r>
      <w:r w:rsidR="004F3893">
        <w:rPr>
          <w:rFonts w:hint="eastAsia"/>
          <w:kern w:val="0"/>
          <w:lang w:eastAsia="zh-CN"/>
        </w:rPr>
        <w:t>26</w:t>
      </w:r>
      <w:r>
        <w:rPr>
          <w:kern w:val="0"/>
        </w:rPr>
        <w:t>-</w:t>
      </w:r>
      <w:r>
        <w:rPr>
          <w:rFonts w:hint="eastAsia"/>
          <w:kern w:val="0"/>
        </w:rPr>
        <w:t>bit</w:t>
      </w:r>
      <w:r>
        <w:rPr>
          <w:kern w:val="0"/>
        </w:rPr>
        <w:t>, twos</w:t>
      </w:r>
      <w:r w:rsidRPr="001A0074">
        <w:rPr>
          <w:rFonts w:hint="eastAsia"/>
          <w:kern w:val="0"/>
        </w:rPr>
        <w:t xml:space="preserve"> complement hex values.</w:t>
      </w:r>
    </w:p>
    <w:p w:rsidR="00207BC2" w:rsidRPr="001A0074" w:rsidRDefault="00207BC2" w:rsidP="00207BC2">
      <w:pPr>
        <w:pStyle w:val="Heading3"/>
      </w:pPr>
      <w:r>
        <w:rPr>
          <w:rFonts w:hint="eastAsia"/>
        </w:rPr>
        <w:t>Low</w:t>
      </w:r>
      <w:r>
        <w:t>-P</w:t>
      </w:r>
      <w:r>
        <w:rPr>
          <w:rFonts w:hint="eastAsia"/>
        </w:rPr>
        <w:t xml:space="preserve">ass </w:t>
      </w:r>
      <w:r>
        <w:t>S</w:t>
      </w:r>
      <w:r>
        <w:rPr>
          <w:rFonts w:hint="eastAsia"/>
        </w:rPr>
        <w:t xml:space="preserve">helving </w:t>
      </w:r>
      <w:r>
        <w:t>F</w:t>
      </w:r>
      <w:r w:rsidRPr="001A0074">
        <w:rPr>
          <w:rFonts w:hint="eastAsia"/>
        </w:rPr>
        <w:t>ilter</w:t>
      </w:r>
    </w:p>
    <w:p w:rsidR="00207BC2" w:rsidRPr="001A0074" w:rsidRDefault="00207BC2" w:rsidP="00207BC2">
      <w:pPr>
        <w:rPr>
          <w:kern w:val="0"/>
        </w:rPr>
      </w:pPr>
      <w:r w:rsidRPr="001A0074">
        <w:rPr>
          <w:rFonts w:hint="eastAsia"/>
          <w:kern w:val="0"/>
        </w:rPr>
        <w:t>The low-pass shelving filter transfer function is</w:t>
      </w:r>
    </w:p>
    <w:p w:rsidR="00207BC2" w:rsidRPr="001A0074" w:rsidRDefault="00207BC2" w:rsidP="00207BC2">
      <w:pPr>
        <w:pStyle w:val="Equation"/>
      </w:pPr>
      <w:r w:rsidRPr="002A45FB">
        <w:rPr>
          <w:position w:val="-30"/>
        </w:rPr>
        <w:object w:dxaOrig="2120" w:dyaOrig="720">
          <v:shape id="_x0000_i1033" type="#_x0000_t75" style="width:95.45pt;height:32.65pt" o:ole="">
            <v:imagedata r:id="rId21" o:title=""/>
          </v:shape>
          <o:OLEObject Type="Embed" ProgID="Equation.3" ShapeID="_x0000_i1033" DrawAspect="Content" ObjectID="_1569741847" r:id="rId22"/>
        </w:object>
      </w:r>
    </w:p>
    <w:p w:rsidR="00207BC2" w:rsidRPr="001A0074" w:rsidRDefault="00207BC2" w:rsidP="00207BC2">
      <w:pPr>
        <w:rPr>
          <w:kern w:val="0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Pr="001A0074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gain in </w:t>
      </w:r>
      <w:r>
        <w:rPr>
          <w:kern w:val="0"/>
        </w:rPr>
        <w:t>decibels (</w:t>
      </w:r>
      <w:r w:rsidRPr="001A0074">
        <w:rPr>
          <w:rFonts w:hint="eastAsia"/>
          <w:kern w:val="0"/>
        </w:rPr>
        <w:t>dB</w:t>
      </w:r>
      <w:r>
        <w:rPr>
          <w:kern w:val="0"/>
        </w:rPr>
        <w:t>)</w:t>
      </w:r>
      <w:r w:rsidRPr="001A0074">
        <w:rPr>
          <w:rFonts w:hint="eastAsia"/>
          <w:kern w:val="0"/>
        </w:rPr>
        <w:t xml:space="preserve"> to decimal domain.</w:t>
      </w:r>
    </w:p>
    <w:p w:rsidR="00207BC2" w:rsidRDefault="00207BC2" w:rsidP="00207BC2">
      <w:pPr>
        <w:pStyle w:val="Equation"/>
      </w:pPr>
      <w:r w:rsidRPr="002A45FB">
        <w:rPr>
          <w:position w:val="-10"/>
        </w:rPr>
        <w:object w:dxaOrig="840" w:dyaOrig="540">
          <v:shape id="_x0000_i1034" type="#_x0000_t75" style="width:36.85pt;height:23.45pt" o:ole="">
            <v:imagedata r:id="rId23" o:title=""/>
          </v:shape>
          <o:OLEObject Type="Embed" ProgID="Equation.3" ShapeID="_x0000_i1034" DrawAspect="Content" ObjectID="_1569741848" r:id="rId24"/>
        </w:object>
      </w:r>
    </w:p>
    <w:p w:rsidR="00207BC2" w:rsidRDefault="00207BC2" w:rsidP="00207BC2"/>
    <w:p w:rsidR="00207BC2" w:rsidRPr="00111D21" w:rsidRDefault="00207BC2" w:rsidP="00207BC2"/>
    <w:p w:rsidR="00207BC2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207BC2" w:rsidRDefault="00207BC2" w:rsidP="00207BC2">
      <w:pPr>
        <w:pStyle w:val="Equation"/>
      </w:pPr>
      <w:r w:rsidRPr="00D81A97">
        <w:rPr>
          <w:position w:val="-60"/>
        </w:rPr>
        <w:object w:dxaOrig="2240" w:dyaOrig="1320">
          <v:shape id="_x0000_i1035" type="#_x0000_t75" style="width:96.3pt;height:56.1pt" o:ole="">
            <v:imagedata r:id="rId25" o:title=""/>
          </v:shape>
          <o:OLEObject Type="Embed" ProgID="Equation.3" ShapeID="_x0000_i1035" DrawAspect="Content" ObjectID="_1569741849" r:id="rId26"/>
        </w:object>
      </w:r>
    </w:p>
    <w:p w:rsidR="00207BC2" w:rsidRDefault="00207BC2" w:rsidP="00207BC2">
      <w:pPr>
        <w:pStyle w:val="Equation"/>
      </w:pPr>
      <w:r w:rsidRPr="00310481">
        <w:rPr>
          <w:position w:val="-24"/>
        </w:rPr>
        <w:object w:dxaOrig="2580" w:dyaOrig="620">
          <v:shape id="_x0000_i1036" type="#_x0000_t75" style="width:102.15pt;height:25.1pt" o:ole="">
            <v:imagedata r:id="rId11" o:title=""/>
          </v:shape>
          <o:OLEObject Type="Embed" ProgID="Equation.3" ShapeID="_x0000_i1036" DrawAspect="Content" ObjectID="_1569741850" r:id="rId27"/>
        </w:object>
      </w:r>
    </w:p>
    <w:p w:rsidR="00207BC2" w:rsidRDefault="00207BC2" w:rsidP="00207BC2">
      <w:pPr>
        <w:pStyle w:val="Equation"/>
      </w:pPr>
      <w:r w:rsidRPr="00310481">
        <w:rPr>
          <w:position w:val="-24"/>
        </w:rPr>
        <w:object w:dxaOrig="2460" w:dyaOrig="620">
          <v:shape id="_x0000_i1037" type="#_x0000_t75" style="width:103pt;height:26.8pt" o:ole="">
            <v:imagedata r:id="rId28" o:title=""/>
          </v:shape>
          <o:OLEObject Type="Embed" ProgID="Equation.3" ShapeID="_x0000_i1037" DrawAspect="Content" ObjectID="_1569741851" r:id="rId29"/>
        </w:object>
      </w:r>
    </w:p>
    <w:p w:rsidR="00207BC2" w:rsidRPr="00854C72" w:rsidRDefault="00207BC2" w:rsidP="00207BC2">
      <w:pPr>
        <w:pStyle w:val="Equation"/>
      </w:pPr>
      <w:r w:rsidRPr="00310481">
        <w:rPr>
          <w:position w:val="-10"/>
        </w:rPr>
        <w:object w:dxaOrig="700" w:dyaOrig="320">
          <v:shape id="_x0000_i1038" type="#_x0000_t75" style="width:31pt;height:14.25pt" o:ole="">
            <v:imagedata r:id="rId30" o:title=""/>
          </v:shape>
          <o:OLEObject Type="Embed" ProgID="Equation.3" ShapeID="_x0000_i1038" DrawAspect="Content" ObjectID="_1569741852" r:id="rId31"/>
        </w:object>
      </w:r>
    </w:p>
    <w:p w:rsidR="00207BC2" w:rsidRPr="00854C72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 represent</w:t>
      </w:r>
      <w:r>
        <w:rPr>
          <w:kern w:val="0"/>
        </w:rPr>
        <w:t>ed</w:t>
      </w:r>
      <w:r w:rsidRPr="001A0074">
        <w:rPr>
          <w:rFonts w:hint="eastAsia"/>
          <w:kern w:val="0"/>
        </w:rPr>
        <w:t xml:space="preserve"> by registers</w:t>
      </w:r>
      <w:r>
        <w:rPr>
          <w:kern w:val="0"/>
        </w:rPr>
        <w:t>.</w:t>
      </w:r>
    </w:p>
    <w:p w:rsidR="00207BC2" w:rsidRPr="00854C72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1A0074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decimal integer values to </w:t>
      </w:r>
      <w:r w:rsidR="004F3893">
        <w:rPr>
          <w:rFonts w:hint="eastAsia"/>
          <w:kern w:val="0"/>
          <w:lang w:eastAsia="zh-CN"/>
        </w:rPr>
        <w:t xml:space="preserve">26-bit </w:t>
      </w:r>
      <w:r>
        <w:rPr>
          <w:kern w:val="0"/>
        </w:rPr>
        <w:t>twos</w:t>
      </w:r>
      <w:r w:rsidRPr="001A0074">
        <w:rPr>
          <w:rFonts w:hint="eastAsia"/>
          <w:kern w:val="0"/>
        </w:rPr>
        <w:t xml:space="preserve"> complement hex values.</w:t>
      </w:r>
    </w:p>
    <w:p w:rsidR="00207BC2" w:rsidRPr="001A0074" w:rsidRDefault="00207BC2" w:rsidP="00207BC2">
      <w:pPr>
        <w:pStyle w:val="Heading3"/>
      </w:pPr>
      <w:r>
        <w:rPr>
          <w:rFonts w:hint="eastAsia"/>
        </w:rPr>
        <w:t>High</w:t>
      </w:r>
      <w:r>
        <w:t>-P</w:t>
      </w:r>
      <w:r>
        <w:rPr>
          <w:rFonts w:hint="eastAsia"/>
        </w:rPr>
        <w:t xml:space="preserve">ass </w:t>
      </w:r>
      <w:r>
        <w:t>S</w:t>
      </w:r>
      <w:r>
        <w:rPr>
          <w:rFonts w:hint="eastAsia"/>
        </w:rPr>
        <w:t xml:space="preserve">helving </w:t>
      </w:r>
      <w:r>
        <w:t>F</w:t>
      </w:r>
      <w:r w:rsidRPr="001A0074">
        <w:rPr>
          <w:rFonts w:hint="eastAsia"/>
        </w:rPr>
        <w:t>ilter</w:t>
      </w:r>
    </w:p>
    <w:p w:rsidR="00207BC2" w:rsidRPr="001A0074" w:rsidRDefault="00207BC2" w:rsidP="00207BC2">
      <w:pPr>
        <w:rPr>
          <w:kern w:val="0"/>
        </w:rPr>
      </w:pPr>
      <w:r w:rsidRPr="001A0074">
        <w:rPr>
          <w:rFonts w:hint="eastAsia"/>
          <w:kern w:val="0"/>
        </w:rPr>
        <w:t>The high-pass shelv</w:t>
      </w:r>
      <w:r>
        <w:rPr>
          <w:rFonts w:hint="eastAsia"/>
          <w:kern w:val="0"/>
        </w:rPr>
        <w:t>ing filter transfer function is</w:t>
      </w:r>
    </w:p>
    <w:p w:rsidR="00207BC2" w:rsidRPr="001A0074" w:rsidRDefault="00207BC2" w:rsidP="00207BC2">
      <w:pPr>
        <w:pStyle w:val="Equation"/>
      </w:pPr>
      <w:r w:rsidRPr="002A45FB">
        <w:rPr>
          <w:position w:val="-30"/>
        </w:rPr>
        <w:object w:dxaOrig="2120" w:dyaOrig="720">
          <v:shape id="_x0000_i1039" type="#_x0000_t75" style="width:89.6pt;height:31pt" o:ole="">
            <v:imagedata r:id="rId21" o:title=""/>
          </v:shape>
          <o:OLEObject Type="Embed" ProgID="Equation.3" ShapeID="_x0000_i1039" DrawAspect="Content" ObjectID="_1569741853" r:id="rId32"/>
        </w:object>
      </w:r>
    </w:p>
    <w:p w:rsidR="00207BC2" w:rsidRPr="001A0074" w:rsidRDefault="00207BC2" w:rsidP="00207BC2">
      <w:pPr>
        <w:rPr>
          <w:kern w:val="0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Pr="001A0074" w:rsidRDefault="00207BC2" w:rsidP="00207BC2">
      <w:pPr>
        <w:numPr>
          <w:ilvl w:val="0"/>
          <w:numId w:val="3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gain in </w:t>
      </w:r>
      <w:r>
        <w:rPr>
          <w:kern w:val="0"/>
        </w:rPr>
        <w:t>decibels (</w:t>
      </w:r>
      <w:r w:rsidRPr="001A0074">
        <w:rPr>
          <w:rFonts w:hint="eastAsia"/>
          <w:kern w:val="0"/>
        </w:rPr>
        <w:t>dB</w:t>
      </w:r>
      <w:r>
        <w:rPr>
          <w:kern w:val="0"/>
        </w:rPr>
        <w:t>)</w:t>
      </w:r>
      <w:r w:rsidRPr="001A0074">
        <w:rPr>
          <w:rFonts w:hint="eastAsia"/>
          <w:kern w:val="0"/>
        </w:rPr>
        <w:t xml:space="preserve"> to decimal domain.</w:t>
      </w:r>
    </w:p>
    <w:p w:rsidR="00207BC2" w:rsidRPr="001A0074" w:rsidRDefault="00207BC2" w:rsidP="00207BC2">
      <w:pPr>
        <w:pStyle w:val="Equation"/>
        <w:rPr>
          <w:sz w:val="16"/>
        </w:rPr>
      </w:pPr>
      <w:r w:rsidRPr="002A45FB">
        <w:rPr>
          <w:position w:val="-10"/>
        </w:rPr>
        <w:object w:dxaOrig="859" w:dyaOrig="540">
          <v:shape id="_x0000_i1040" type="#_x0000_t75" style="width:36.85pt;height:23.45pt" o:ole="">
            <v:imagedata r:id="rId5" o:title=""/>
          </v:shape>
          <o:OLEObject Type="Embed" ProgID="Equation.3" ShapeID="_x0000_i1040" DrawAspect="Content" ObjectID="_1569741854" r:id="rId33"/>
        </w:object>
      </w:r>
    </w:p>
    <w:p w:rsidR="00207BC2" w:rsidRDefault="00207BC2" w:rsidP="00207BC2">
      <w:pPr>
        <w:numPr>
          <w:ilvl w:val="0"/>
          <w:numId w:val="3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207BC2" w:rsidRDefault="00207BC2" w:rsidP="00207BC2">
      <w:pPr>
        <w:ind w:left="360"/>
      </w:pPr>
      <w:r w:rsidRPr="00D81A97">
        <w:rPr>
          <w:position w:val="-60"/>
        </w:rPr>
        <w:object w:dxaOrig="2240" w:dyaOrig="1320">
          <v:shape id="_x0000_i1041" type="#_x0000_t75" style="width:103pt;height:60.3pt" o:ole="">
            <v:imagedata r:id="rId25" o:title=""/>
          </v:shape>
          <o:OLEObject Type="Embed" ProgID="Equation.3" ShapeID="_x0000_i1041" DrawAspect="Content" ObjectID="_1569741855" r:id="rId34"/>
        </w:object>
      </w:r>
    </w:p>
    <w:p w:rsidR="00207BC2" w:rsidRDefault="00207BC2" w:rsidP="00207BC2">
      <w:pPr>
        <w:ind w:left="360"/>
      </w:pPr>
      <w:r w:rsidRPr="00310481">
        <w:rPr>
          <w:position w:val="-24"/>
        </w:rPr>
        <w:object w:dxaOrig="2520" w:dyaOrig="620">
          <v:shape id="_x0000_i1042" type="#_x0000_t75" style="width:105.5pt;height:26.8pt" o:ole="">
            <v:imagedata r:id="rId35" o:title=""/>
          </v:shape>
          <o:OLEObject Type="Embed" ProgID="Equation.3" ShapeID="_x0000_i1042" DrawAspect="Content" ObjectID="_1569741856" r:id="rId36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460" w:dyaOrig="620">
          <v:shape id="_x0000_i1043" type="#_x0000_t75" style="width:105.5pt;height:26.8pt" o:ole="">
            <v:imagedata r:id="rId37" o:title=""/>
          </v:shape>
          <o:OLEObject Type="Embed" ProgID="Equation.3" ShapeID="_x0000_i1043" DrawAspect="Content" ObjectID="_1569741857" r:id="rId38"/>
        </w:object>
      </w:r>
    </w:p>
    <w:p w:rsidR="00207BC2" w:rsidRPr="00111D21" w:rsidRDefault="00207BC2" w:rsidP="00207BC2">
      <w:pPr>
        <w:ind w:left="360"/>
        <w:rPr>
          <w:kern w:val="0"/>
        </w:rPr>
      </w:pPr>
      <w:r w:rsidRPr="00310481">
        <w:rPr>
          <w:position w:val="-10"/>
        </w:rPr>
        <w:object w:dxaOrig="700" w:dyaOrig="320">
          <v:shape id="_x0000_i1044" type="#_x0000_t75" style="width:31pt;height:14.25pt" o:ole="">
            <v:imagedata r:id="rId30" o:title=""/>
          </v:shape>
          <o:OLEObject Type="Embed" ProgID="Equation.3" ShapeID="_x0000_i1044" DrawAspect="Content" ObjectID="_1569741858" r:id="rId39"/>
        </w:object>
      </w:r>
    </w:p>
    <w:p w:rsidR="00207BC2" w:rsidRDefault="00207BC2" w:rsidP="00207BC2">
      <w:pPr>
        <w:numPr>
          <w:ilvl w:val="0"/>
          <w:numId w:val="4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 represent</w:t>
      </w:r>
      <w:r>
        <w:rPr>
          <w:kern w:val="0"/>
        </w:rPr>
        <w:t>ed</w:t>
      </w:r>
      <w:r w:rsidRPr="001A0074">
        <w:rPr>
          <w:rFonts w:hint="eastAsia"/>
          <w:kern w:val="0"/>
        </w:rPr>
        <w:t xml:space="preserve"> by registers</w:t>
      </w:r>
      <w:r>
        <w:rPr>
          <w:kern w:val="0"/>
        </w:rPr>
        <w:t>.</w:t>
      </w:r>
    </w:p>
    <w:p w:rsidR="00207BC2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Default="00207BC2" w:rsidP="00207BC2">
      <w:pPr>
        <w:pStyle w:val="Equation"/>
      </w:pP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854C72" w:rsidRDefault="00207BC2" w:rsidP="00207BC2">
      <w:pPr>
        <w:pStyle w:val="Equation"/>
      </w:pPr>
      <w:r>
        <w:rPr>
          <w:i/>
          <w:iCs/>
        </w:rPr>
        <w:lastRenderedPageBreak/>
        <w:t>d1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>
        <w:rPr>
          <w:i/>
          <w:iCs/>
        </w:rPr>
        <w:t>d1</w:t>
      </w:r>
      <w:r>
        <w:t xml:space="preserve"> ×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4D673F" w:rsidRDefault="00207BC2" w:rsidP="00207BC2">
      <w:pPr>
        <w:numPr>
          <w:ilvl w:val="0"/>
          <w:numId w:val="4"/>
        </w:numPr>
        <w:ind w:left="360"/>
      </w:pPr>
      <w:r w:rsidRPr="004D673F">
        <w:rPr>
          <w:rFonts w:hint="eastAsia"/>
        </w:rPr>
        <w:t xml:space="preserve">Transfer the decimal integer values to </w:t>
      </w:r>
      <w:r w:rsidR="004F3893">
        <w:rPr>
          <w:rFonts w:hint="eastAsia"/>
          <w:lang w:eastAsia="zh-CN"/>
        </w:rPr>
        <w:t xml:space="preserve">26-bit </w:t>
      </w:r>
      <w:r>
        <w:t>twos</w:t>
      </w:r>
      <w:r w:rsidRPr="004D673F">
        <w:rPr>
          <w:rFonts w:hint="eastAsia"/>
        </w:rPr>
        <w:t xml:space="preserve"> complement hex</w:t>
      </w:r>
      <w:r>
        <w:t>adecimal</w:t>
      </w:r>
      <w:r w:rsidRPr="004D673F">
        <w:rPr>
          <w:rFonts w:hint="eastAsia"/>
        </w:rPr>
        <w:t xml:space="preserve"> values.</w:t>
      </w:r>
    </w:p>
    <w:p w:rsidR="00486AD7" w:rsidRDefault="00486AD7"/>
    <w:sectPr w:rsidR="00486AD7" w:rsidSect="0084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F1CBD"/>
    <w:multiLevelType w:val="hybridMultilevel"/>
    <w:tmpl w:val="7E842EBA"/>
    <w:lvl w:ilvl="0" w:tplc="346C72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6BCD"/>
    <w:multiLevelType w:val="hybridMultilevel"/>
    <w:tmpl w:val="9E64EAFC"/>
    <w:lvl w:ilvl="0" w:tplc="F71A4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1404F"/>
    <w:multiLevelType w:val="hybridMultilevel"/>
    <w:tmpl w:val="57C0F8BA"/>
    <w:lvl w:ilvl="0" w:tplc="6D32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D5E8A"/>
    <w:multiLevelType w:val="hybridMultilevel"/>
    <w:tmpl w:val="8EF6EE8A"/>
    <w:lvl w:ilvl="0" w:tplc="7C287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BC2"/>
    <w:rsid w:val="00207BC2"/>
    <w:rsid w:val="00486AD7"/>
    <w:rsid w:val="004F3893"/>
    <w:rsid w:val="008419F4"/>
    <w:rsid w:val="00D1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C2"/>
    <w:pPr>
      <w:spacing w:before="80" w:after="80"/>
    </w:pPr>
    <w:rPr>
      <w:rFonts w:ascii="Minion Pro" w:eastAsia="宋体" w:hAnsi="Minion Pro" w:cs="Times New Roman"/>
      <w:kern w:val="18"/>
      <w:sz w:val="19"/>
      <w:szCs w:val="19"/>
      <w:lang w:eastAsia="en-US"/>
    </w:rPr>
  </w:style>
  <w:style w:type="paragraph" w:styleId="Heading2">
    <w:name w:val="heading 2"/>
    <w:next w:val="Normal"/>
    <w:link w:val="Heading2Char"/>
    <w:qFormat/>
    <w:rsid w:val="00207BC2"/>
    <w:pPr>
      <w:keepNext/>
      <w:widowControl w:val="0"/>
      <w:spacing w:before="60"/>
      <w:outlineLvl w:val="1"/>
    </w:pPr>
    <w:rPr>
      <w:rFonts w:ascii="Myriad Pro" w:eastAsia="宋体" w:hAnsi="Myriad Pro" w:cs="Arial"/>
      <w:b/>
      <w:caps/>
      <w:kern w:val="0"/>
      <w:sz w:val="22"/>
      <w:lang w:eastAsia="en-US"/>
    </w:rPr>
  </w:style>
  <w:style w:type="paragraph" w:styleId="Heading3">
    <w:name w:val="heading 3"/>
    <w:next w:val="Normal"/>
    <w:link w:val="Heading3Char"/>
    <w:qFormat/>
    <w:rsid w:val="00207BC2"/>
    <w:pPr>
      <w:keepNext/>
      <w:widowControl w:val="0"/>
      <w:spacing w:before="60"/>
      <w:outlineLvl w:val="2"/>
    </w:pPr>
    <w:rPr>
      <w:rFonts w:ascii="Myriad Pro" w:eastAsia="宋体" w:hAnsi="Myriad Pro" w:cs="Times New Roman"/>
      <w:b/>
      <w:bCs/>
      <w:i/>
      <w:kern w:val="0"/>
      <w:sz w:val="20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07BC2"/>
    <w:rPr>
      <w:rFonts w:ascii="Myriad Pro" w:eastAsia="宋体" w:hAnsi="Myriad Pro" w:cs="Arial"/>
      <w:b/>
      <w:caps/>
      <w:kern w:val="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07BC2"/>
    <w:rPr>
      <w:rFonts w:ascii="Myriad Pro" w:eastAsia="宋体" w:hAnsi="Myriad Pro" w:cs="Times New Roman"/>
      <w:b/>
      <w:bCs/>
      <w:i/>
      <w:kern w:val="0"/>
      <w:sz w:val="20"/>
      <w:szCs w:val="19"/>
      <w:lang w:eastAsia="en-US"/>
    </w:rPr>
  </w:style>
  <w:style w:type="paragraph" w:customStyle="1" w:styleId="Equation">
    <w:name w:val="Equation"/>
    <w:next w:val="Normal"/>
    <w:rsid w:val="00207BC2"/>
    <w:pPr>
      <w:tabs>
        <w:tab w:val="right" w:pos="4867"/>
      </w:tabs>
      <w:spacing w:after="80"/>
      <w:ind w:left="360"/>
    </w:pPr>
    <w:rPr>
      <w:rFonts w:ascii="Minion Pro" w:eastAsia="宋体" w:hAnsi="Minion Pro" w:cs="Minion Pro"/>
      <w:kern w:val="0"/>
      <w:sz w:val="19"/>
      <w:szCs w:val="19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7BC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7BC2"/>
    <w:rPr>
      <w:rFonts w:ascii="Tahoma" w:eastAsia="宋体" w:hAnsi="Tahoma" w:cs="Tahoma"/>
      <w:kern w:val="18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</dc:creator>
  <cp:keywords/>
  <dc:description/>
  <cp:lastModifiedBy>audio</cp:lastModifiedBy>
  <cp:revision>4</cp:revision>
  <dcterms:created xsi:type="dcterms:W3CDTF">2017-08-02T05:39:00Z</dcterms:created>
  <dcterms:modified xsi:type="dcterms:W3CDTF">2017-10-17T02:37:00Z</dcterms:modified>
</cp:coreProperties>
</file>