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Benefits Policy</w:t>
      </w:r>
    </w:p>
    <w:p>
      <w:pPr>
        <w:pStyle w:val="Heading2"/>
      </w:pPr>
      <w:r>
        <w:t>Health Insurance</w:t>
      </w:r>
    </w:p>
    <w:p>
      <w:r>
        <w:t>Employees are eligible for company health insurance after completing probation.</w:t>
      </w:r>
    </w:p>
    <w:p>
      <w:pPr>
        <w:pStyle w:val="Heading2"/>
      </w:pPr>
      <w:r>
        <w:t>Transport Allowance</w:t>
      </w:r>
    </w:p>
    <w:p>
      <w:r>
        <w:t>Eligible employees can claim up to 100 euros per month.</w:t>
      </w:r>
    </w:p>
    <w:p>
      <w:pPr>
        <w:pStyle w:val="Heading2"/>
      </w:pPr>
      <w:r>
        <w:t>Learning Allowance</w:t>
      </w:r>
    </w:p>
    <w:p>
      <w:r>
        <w:t>Employees can claim up to 500 euros per year for approved training.</w:t>
      </w:r>
    </w:p>
    <w:p>
      <w:pPr>
        <w:pStyle w:val="Heading2"/>
      </w:pPr>
      <w:r>
        <w:t>Employee Wellness</w:t>
      </w:r>
    </w:p>
    <w:p>
      <w:r>
        <w:t>Employees may participate in company wellness activities during working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