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87AAA" w14:textId="77777777" w:rsidR="00F709FF" w:rsidRPr="00140AF9" w:rsidRDefault="00F709FF" w:rsidP="008E11BD">
      <w:pPr>
        <w:spacing w:after="0" w:line="276" w:lineRule="auto"/>
        <w:rPr>
          <w:sz w:val="24"/>
        </w:rPr>
      </w:pPr>
      <w:r w:rsidRPr="00140AF9">
        <w:rPr>
          <w:sz w:val="24"/>
        </w:rPr>
        <w:t xml:space="preserve">To: </w:t>
      </w:r>
      <w:r w:rsidRPr="00140AF9">
        <w:rPr>
          <w:sz w:val="24"/>
        </w:rPr>
        <w:tab/>
        <w:t>Taylor Corbett</w:t>
      </w:r>
      <w:bookmarkStart w:id="0" w:name="_GoBack"/>
      <w:bookmarkEnd w:id="0"/>
    </w:p>
    <w:p w14:paraId="6E067245" w14:textId="77777777" w:rsidR="00F709FF" w:rsidRPr="00140AF9" w:rsidRDefault="00F709FF" w:rsidP="008E11BD">
      <w:pPr>
        <w:spacing w:after="0" w:line="276" w:lineRule="auto"/>
        <w:rPr>
          <w:sz w:val="24"/>
        </w:rPr>
      </w:pPr>
      <w:r w:rsidRPr="00140AF9">
        <w:rPr>
          <w:sz w:val="24"/>
        </w:rPr>
        <w:t xml:space="preserve">From:  </w:t>
      </w:r>
      <w:r w:rsidRPr="00140AF9">
        <w:rPr>
          <w:sz w:val="24"/>
        </w:rPr>
        <w:tab/>
        <w:t>Doug Hummel-Price</w:t>
      </w:r>
    </w:p>
    <w:p w14:paraId="085AA8D9" w14:textId="77777777" w:rsidR="00F709FF" w:rsidRPr="00140AF9" w:rsidRDefault="00F709FF" w:rsidP="008E11BD">
      <w:pPr>
        <w:spacing w:after="0" w:line="276" w:lineRule="auto"/>
        <w:rPr>
          <w:sz w:val="24"/>
        </w:rPr>
      </w:pPr>
      <w:r w:rsidRPr="00140AF9">
        <w:rPr>
          <w:sz w:val="24"/>
        </w:rPr>
        <w:t xml:space="preserve">Date: </w:t>
      </w:r>
      <w:r w:rsidRPr="00140AF9">
        <w:rPr>
          <w:sz w:val="24"/>
        </w:rPr>
        <w:tab/>
      </w:r>
      <w:r>
        <w:rPr>
          <w:sz w:val="24"/>
        </w:rPr>
        <w:t>October</w:t>
      </w:r>
      <w:r w:rsidRPr="00140AF9">
        <w:rPr>
          <w:sz w:val="24"/>
        </w:rPr>
        <w:t xml:space="preserve"> 1</w:t>
      </w:r>
      <w:r w:rsidRPr="00F709FF">
        <w:rPr>
          <w:sz w:val="24"/>
          <w:vertAlign w:val="superscript"/>
        </w:rPr>
        <w:t>st</w:t>
      </w:r>
      <w:r w:rsidRPr="00140AF9">
        <w:rPr>
          <w:sz w:val="24"/>
        </w:rPr>
        <w:t>, 2019</w:t>
      </w:r>
    </w:p>
    <w:p w14:paraId="190C2FFA" w14:textId="77777777" w:rsidR="00F709FF" w:rsidRPr="00140AF9" w:rsidRDefault="00F709FF" w:rsidP="008E11BD">
      <w:pPr>
        <w:pBdr>
          <w:bottom w:val="single" w:sz="6" w:space="1" w:color="auto"/>
        </w:pBdr>
        <w:spacing w:after="0" w:line="276" w:lineRule="auto"/>
        <w:ind w:left="720" w:hanging="720"/>
        <w:rPr>
          <w:sz w:val="24"/>
        </w:rPr>
      </w:pPr>
      <w:r w:rsidRPr="00140AF9">
        <w:rPr>
          <w:sz w:val="24"/>
        </w:rPr>
        <w:t xml:space="preserve">Re: </w:t>
      </w:r>
      <w:r w:rsidRPr="00140AF9">
        <w:rPr>
          <w:sz w:val="24"/>
        </w:rPr>
        <w:tab/>
      </w:r>
      <w:r>
        <w:rPr>
          <w:sz w:val="24"/>
        </w:rPr>
        <w:t>Collecting and Cleaning NASA Contract Expenditures for Fiscal Years 2005 to 2019</w:t>
      </w:r>
    </w:p>
    <w:p w14:paraId="03994491" w14:textId="77777777" w:rsidR="00F709FF" w:rsidRDefault="00F709FF" w:rsidP="00F709FF">
      <w:pPr>
        <w:spacing w:after="0"/>
      </w:pPr>
    </w:p>
    <w:p w14:paraId="29E831BD" w14:textId="77777777" w:rsidR="00F275EA" w:rsidRDefault="00F275EA" w:rsidP="00F275EA">
      <w:pPr>
        <w:spacing w:after="0"/>
        <w:rPr>
          <w:sz w:val="24"/>
        </w:rPr>
      </w:pPr>
      <w:r>
        <w:rPr>
          <w:sz w:val="28"/>
        </w:rPr>
        <w:t xml:space="preserve">Executive Summary </w:t>
      </w:r>
    </w:p>
    <w:p w14:paraId="4BC8E8F1" w14:textId="77777777" w:rsidR="00F275EA" w:rsidRDefault="00F275EA" w:rsidP="00F275EA">
      <w:pPr>
        <w:spacing w:after="0"/>
        <w:rPr>
          <w:rFonts w:cstheme="minorHAnsi"/>
          <w:color w:val="000000"/>
          <w:shd w:val="clear" w:color="auto" w:fill="FFFFFF"/>
        </w:rPr>
      </w:pPr>
      <w:r>
        <w:rPr>
          <w:rFonts w:cstheme="minorHAnsi"/>
          <w:color w:val="000000"/>
          <w:shd w:val="clear" w:color="auto" w:fill="FFFFFF"/>
        </w:rPr>
        <w:t xml:space="preserve">This memo discusses the collection, cleaning, and wrangling of data from NASA regarding the amounts and locations of all its contracts for the fiscal years 2005 through 2019. This document should provide all the necessary information to be obtain and similarly clean the data for your own analyses. </w:t>
      </w:r>
    </w:p>
    <w:p w14:paraId="759D31C0" w14:textId="77777777" w:rsidR="00F275EA" w:rsidRDefault="00F275EA" w:rsidP="00F275EA">
      <w:pPr>
        <w:spacing w:after="0"/>
        <w:rPr>
          <w:sz w:val="28"/>
        </w:rPr>
      </w:pPr>
    </w:p>
    <w:p w14:paraId="2A8A888A" w14:textId="77777777" w:rsidR="00F709FF" w:rsidRDefault="00F709FF" w:rsidP="00F709FF">
      <w:pPr>
        <w:spacing w:after="0"/>
        <w:rPr>
          <w:sz w:val="24"/>
        </w:rPr>
      </w:pPr>
      <w:r>
        <w:rPr>
          <w:sz w:val="28"/>
        </w:rPr>
        <w:t>Source</w:t>
      </w:r>
    </w:p>
    <w:p w14:paraId="1FA4DE4B" w14:textId="77777777" w:rsidR="007429DB" w:rsidRPr="00F709FF" w:rsidRDefault="007429DB" w:rsidP="008E11BD">
      <w:pPr>
        <w:spacing w:after="0" w:line="276" w:lineRule="auto"/>
        <w:rPr>
          <w:sz w:val="24"/>
        </w:rPr>
      </w:pPr>
      <w:r w:rsidRPr="007163F0">
        <w:rPr>
          <w:rFonts w:cstheme="minorHAnsi"/>
          <w:color w:val="000000"/>
          <w:shd w:val="clear" w:color="auto" w:fill="FFFFFF"/>
        </w:rPr>
        <w:t xml:space="preserve">I obtained the data </w:t>
      </w:r>
      <w:r w:rsidR="00F709FF">
        <w:rPr>
          <w:rFonts w:cstheme="minorHAnsi"/>
          <w:color w:val="000000"/>
          <w:shd w:val="clear" w:color="auto" w:fill="FFFFFF"/>
        </w:rPr>
        <w:t xml:space="preserve">sets </w:t>
      </w:r>
      <w:r w:rsidRPr="007163F0">
        <w:rPr>
          <w:rFonts w:cstheme="minorHAnsi"/>
          <w:color w:val="000000"/>
          <w:shd w:val="clear" w:color="auto" w:fill="FFFFFF"/>
        </w:rPr>
        <w:t>from the NASA Procurement Data View</w:t>
      </w:r>
      <w:r w:rsidR="008E11BD">
        <w:rPr>
          <w:rFonts w:cstheme="minorHAnsi"/>
          <w:color w:val="000000"/>
          <w:shd w:val="clear" w:color="auto" w:fill="FFFFFF"/>
        </w:rPr>
        <w:t xml:space="preserve"> (“NPDV”)</w:t>
      </w:r>
      <w:r w:rsidRPr="007163F0">
        <w:rPr>
          <w:rFonts w:cstheme="minorHAnsi"/>
          <w:color w:val="000000"/>
          <w:shd w:val="clear" w:color="auto" w:fill="FFFFFF"/>
        </w:rPr>
        <w:t>.</w:t>
      </w:r>
      <w:r w:rsidRPr="007163F0">
        <w:rPr>
          <w:rStyle w:val="FootnoteReference"/>
          <w:rFonts w:cstheme="minorHAnsi"/>
          <w:color w:val="000000"/>
          <w:shd w:val="clear" w:color="auto" w:fill="FFFFFF"/>
        </w:rPr>
        <w:footnoteReference w:id="1"/>
      </w:r>
      <w:r w:rsidRPr="007163F0">
        <w:rPr>
          <w:rFonts w:cstheme="minorHAnsi"/>
          <w:color w:val="000000"/>
          <w:shd w:val="clear" w:color="auto" w:fill="FFFFFF"/>
        </w:rPr>
        <w:t xml:space="preserve"> By selecting </w:t>
      </w:r>
      <w:r w:rsidR="008E11BD">
        <w:rPr>
          <w:rFonts w:cstheme="minorHAnsi"/>
          <w:color w:val="000000"/>
          <w:shd w:val="clear" w:color="auto" w:fill="FFFFFF"/>
        </w:rPr>
        <w:t>a single</w:t>
      </w:r>
      <w:r w:rsidRPr="007163F0">
        <w:rPr>
          <w:rFonts w:cstheme="minorHAnsi"/>
          <w:color w:val="000000"/>
          <w:shd w:val="clear" w:color="auto" w:fill="FFFFFF"/>
        </w:rPr>
        <w:t xml:space="preserve"> fiscal year</w:t>
      </w:r>
      <w:r w:rsidR="00F709FF">
        <w:rPr>
          <w:rFonts w:cstheme="minorHAnsi"/>
          <w:color w:val="000000"/>
          <w:shd w:val="clear" w:color="auto" w:fill="FFFFFF"/>
        </w:rPr>
        <w:t xml:space="preserve">, </w:t>
      </w:r>
      <w:r w:rsidRPr="007163F0">
        <w:rPr>
          <w:rFonts w:cstheme="minorHAnsi"/>
          <w:color w:val="000000"/>
          <w:shd w:val="clear" w:color="auto" w:fill="FFFFFF"/>
        </w:rPr>
        <w:t xml:space="preserve">leaving all other options at their most general level (usually "All"), and submitting the query, </w:t>
      </w:r>
      <w:r w:rsidR="008E11BD">
        <w:rPr>
          <w:rFonts w:cstheme="minorHAnsi"/>
          <w:color w:val="000000"/>
          <w:shd w:val="clear" w:color="auto" w:fill="FFFFFF"/>
        </w:rPr>
        <w:t>a user can d</w:t>
      </w:r>
      <w:r w:rsidRPr="007163F0">
        <w:rPr>
          <w:rFonts w:cstheme="minorHAnsi"/>
          <w:color w:val="000000"/>
          <w:shd w:val="clear" w:color="auto" w:fill="FFFFFF"/>
        </w:rPr>
        <w:t>ownload</w:t>
      </w:r>
      <w:r w:rsidR="008E11BD">
        <w:rPr>
          <w:rFonts w:cstheme="minorHAnsi"/>
          <w:color w:val="000000"/>
          <w:shd w:val="clear" w:color="auto" w:fill="FFFFFF"/>
        </w:rPr>
        <w:t xml:space="preserve"> an .</w:t>
      </w:r>
      <w:proofErr w:type="spellStart"/>
      <w:r w:rsidR="008E11BD">
        <w:rPr>
          <w:rFonts w:cstheme="minorHAnsi"/>
          <w:color w:val="000000"/>
          <w:shd w:val="clear" w:color="auto" w:fill="FFFFFF"/>
        </w:rPr>
        <w:t>xls</w:t>
      </w:r>
      <w:proofErr w:type="spellEnd"/>
      <w:r w:rsidR="008E11BD">
        <w:rPr>
          <w:rFonts w:cstheme="minorHAnsi"/>
          <w:color w:val="000000"/>
          <w:shd w:val="clear" w:color="auto" w:fill="FFFFFF"/>
        </w:rPr>
        <w:t xml:space="preserve"> file containing NASA data from that fiscal year</w:t>
      </w:r>
      <w:r w:rsidRPr="007163F0">
        <w:rPr>
          <w:rFonts w:cstheme="minorHAnsi"/>
          <w:color w:val="000000"/>
          <w:shd w:val="clear" w:color="auto" w:fill="FFFFFF"/>
        </w:rPr>
        <w:t>. I did this for each of the 15 Fiscal Years available</w:t>
      </w:r>
      <w:r w:rsidR="00BC58E8">
        <w:rPr>
          <w:rFonts w:cstheme="minorHAnsi"/>
          <w:color w:val="000000"/>
          <w:shd w:val="clear" w:color="auto" w:fill="FFFFFF"/>
        </w:rPr>
        <w:t>,</w:t>
      </w:r>
      <w:r w:rsidRPr="007163F0">
        <w:rPr>
          <w:rFonts w:cstheme="minorHAnsi"/>
          <w:color w:val="000000"/>
          <w:shd w:val="clear" w:color="auto" w:fill="FFFFFF"/>
        </w:rPr>
        <w:t xml:space="preserve"> FY05</w:t>
      </w:r>
      <w:r w:rsidR="00BC58E8">
        <w:rPr>
          <w:rFonts w:cstheme="minorHAnsi"/>
          <w:color w:val="000000"/>
          <w:shd w:val="clear" w:color="auto" w:fill="FFFFFF"/>
        </w:rPr>
        <w:t xml:space="preserve"> </w:t>
      </w:r>
      <w:r w:rsidRPr="007163F0">
        <w:rPr>
          <w:rFonts w:cstheme="minorHAnsi"/>
          <w:color w:val="000000"/>
          <w:shd w:val="clear" w:color="auto" w:fill="FFFFFF"/>
        </w:rPr>
        <w:t>-</w:t>
      </w:r>
      <w:r w:rsidR="00BC58E8">
        <w:rPr>
          <w:rFonts w:cstheme="minorHAnsi"/>
          <w:color w:val="000000"/>
          <w:shd w:val="clear" w:color="auto" w:fill="FFFFFF"/>
        </w:rPr>
        <w:t xml:space="preserve"> </w:t>
      </w:r>
      <w:r w:rsidRPr="007163F0">
        <w:rPr>
          <w:rFonts w:cstheme="minorHAnsi"/>
          <w:color w:val="000000"/>
          <w:shd w:val="clear" w:color="auto" w:fill="FFFFFF"/>
        </w:rPr>
        <w:t xml:space="preserve">FY19. </w:t>
      </w:r>
      <w:r w:rsidR="007163F0">
        <w:rPr>
          <w:rFonts w:cstheme="minorHAnsi"/>
          <w:color w:val="000000"/>
          <w:shd w:val="clear" w:color="auto" w:fill="FFFFFF"/>
        </w:rPr>
        <w:t xml:space="preserve">NB: </w:t>
      </w:r>
      <w:r w:rsidR="00954B86" w:rsidRPr="007163F0">
        <w:rPr>
          <w:rFonts w:cstheme="minorHAnsi"/>
          <w:color w:val="000000"/>
          <w:shd w:val="clear" w:color="auto" w:fill="FFFFFF"/>
        </w:rPr>
        <w:t xml:space="preserve">it takes anywhere from 5 to 30 seconds for the page to populate correctly. Wait until the number of contracts is shown before downloading </w:t>
      </w:r>
      <w:r w:rsidR="007163F0" w:rsidRPr="007163F0">
        <w:rPr>
          <w:rFonts w:cstheme="minorHAnsi"/>
          <w:color w:val="000000"/>
          <w:shd w:val="clear" w:color="auto" w:fill="FFFFFF"/>
        </w:rPr>
        <w:t>the Excel file; otherwise, the dataset will be missing significant numbers of contracts</w:t>
      </w:r>
      <w:r w:rsidR="007163F0">
        <w:rPr>
          <w:rFonts w:cstheme="minorHAnsi"/>
          <w:color w:val="000000"/>
          <w:shd w:val="clear" w:color="auto" w:fill="FFFFFF"/>
        </w:rPr>
        <w:t xml:space="preserve">. Further, the webpage includes several caveats that delineate the specific types of data included. </w:t>
      </w:r>
    </w:p>
    <w:p w14:paraId="12F093A7" w14:textId="77777777" w:rsidR="00F204A0" w:rsidRDefault="00F204A0" w:rsidP="00F204A0">
      <w:pPr>
        <w:spacing w:after="0"/>
        <w:rPr>
          <w:sz w:val="28"/>
        </w:rPr>
      </w:pPr>
    </w:p>
    <w:p w14:paraId="325D2E2F" w14:textId="77777777" w:rsidR="00F204A0" w:rsidRDefault="00F204A0" w:rsidP="00F204A0">
      <w:pPr>
        <w:spacing w:after="0" w:line="276" w:lineRule="auto"/>
        <w:rPr>
          <w:rFonts w:ascii="Helvetica" w:eastAsia="Times New Roman" w:hAnsi="Helvetica" w:cs="Helvetica"/>
          <w:color w:val="2D3B45"/>
          <w:sz w:val="24"/>
          <w:szCs w:val="24"/>
        </w:rPr>
      </w:pPr>
      <w:r>
        <w:rPr>
          <w:sz w:val="28"/>
        </w:rPr>
        <w:t>License</w:t>
      </w:r>
    </w:p>
    <w:p w14:paraId="3BC1839C" w14:textId="77777777" w:rsidR="008E11BD" w:rsidRPr="00F204A0" w:rsidRDefault="008E11BD" w:rsidP="00F204A0">
      <w:pPr>
        <w:spacing w:after="0" w:line="276" w:lineRule="auto"/>
        <w:rPr>
          <w:rFonts w:ascii="Helvetica" w:eastAsia="Times New Roman" w:hAnsi="Helvetica" w:cs="Helvetica"/>
          <w:color w:val="2D3B45"/>
          <w:sz w:val="24"/>
          <w:szCs w:val="24"/>
        </w:rPr>
      </w:pPr>
      <w:r>
        <w:rPr>
          <w:rFonts w:eastAsia="Times New Roman" w:cstheme="minorHAnsi"/>
        </w:rPr>
        <w:t>The NPDV site contained the following language:</w:t>
      </w:r>
    </w:p>
    <w:p w14:paraId="09E2DCE7" w14:textId="77777777" w:rsidR="006C19CB" w:rsidRDefault="006C19CB" w:rsidP="008E11BD">
      <w:pPr>
        <w:shd w:val="clear" w:color="auto" w:fill="FFFFFF"/>
        <w:spacing w:before="100" w:beforeAutospacing="1" w:after="100" w:afterAutospacing="1" w:line="240" w:lineRule="auto"/>
        <w:ind w:left="720" w:right="720"/>
        <w:rPr>
          <w:rFonts w:eastAsia="Times New Roman" w:cstheme="minorHAnsi"/>
          <w:sz w:val="21"/>
          <w:szCs w:val="21"/>
        </w:rPr>
      </w:pPr>
      <w:r w:rsidRPr="008E11BD">
        <w:rPr>
          <w:rFonts w:eastAsia="Times New Roman" w:cstheme="minorHAnsi"/>
          <w:sz w:val="21"/>
          <w:szCs w:val="21"/>
        </w:rPr>
        <w:t>Individuals using archive data agree by virtue of downloading this information that they will not misrepresent the data provided. Misrepresentation of the data includes both intentional and accidental omission of rules, processes, exclusions or other guidance that is used to generate legitimate information. A few examples of misrepresenting data include creating a report that purports to show socio-economic information but which contains none of the requisite Small Business Administration rules and exclusions or identifying a vendor as being small or large without benefit of the business process and rules regarding size determination, vendor representations, vendor certifications, etc.</w:t>
      </w:r>
    </w:p>
    <w:p w14:paraId="5F414C9A" w14:textId="77777777" w:rsidR="008E11BD" w:rsidRDefault="008E11BD" w:rsidP="00F204A0">
      <w:pPr>
        <w:shd w:val="clear" w:color="auto" w:fill="FFFFFF"/>
        <w:spacing w:before="100" w:beforeAutospacing="1" w:after="100" w:afterAutospacing="1" w:line="240" w:lineRule="auto"/>
        <w:rPr>
          <w:rFonts w:eastAsia="Times New Roman" w:cstheme="minorHAnsi"/>
        </w:rPr>
      </w:pPr>
      <w:r>
        <w:rPr>
          <w:rFonts w:eastAsia="Times New Roman" w:cstheme="minorHAnsi"/>
        </w:rPr>
        <w:t>I interpret that language, combined with the fact that the data is budgetary federal data that is by definition for public use</w:t>
      </w:r>
      <w:r w:rsidR="00FF097C">
        <w:rPr>
          <w:rFonts w:eastAsia="Times New Roman" w:cstheme="minorHAnsi"/>
        </w:rPr>
        <w:t>, to mean that the data can be used freely for any non-fraudulent purpose.</w:t>
      </w:r>
      <w:r>
        <w:rPr>
          <w:rStyle w:val="FootnoteReference"/>
          <w:rFonts w:eastAsia="Times New Roman" w:cstheme="minorHAnsi"/>
        </w:rPr>
        <w:footnoteReference w:id="2"/>
      </w:r>
    </w:p>
    <w:p w14:paraId="6724A31C" w14:textId="77777777" w:rsidR="00F275EA" w:rsidRDefault="00F275EA" w:rsidP="00F275EA">
      <w:pPr>
        <w:spacing w:after="0" w:line="276" w:lineRule="auto"/>
        <w:rPr>
          <w:sz w:val="28"/>
        </w:rPr>
      </w:pPr>
      <w:r>
        <w:rPr>
          <w:sz w:val="28"/>
        </w:rPr>
        <w:t>Collection Methods</w:t>
      </w:r>
    </w:p>
    <w:p w14:paraId="039249FC" w14:textId="77777777" w:rsidR="00DF156E" w:rsidRPr="00DF156E" w:rsidRDefault="00DF156E" w:rsidP="00F275EA">
      <w:pPr>
        <w:spacing w:after="0" w:line="276" w:lineRule="auto"/>
        <w:rPr>
          <w:rFonts w:eastAsia="Times New Roman" w:cstheme="minorHAnsi"/>
        </w:rPr>
      </w:pPr>
      <w:r w:rsidRPr="00DF156E">
        <w:rPr>
          <w:rFonts w:eastAsia="Times New Roman" w:cstheme="minorHAnsi"/>
        </w:rPr>
        <w:t>The source website said the following regarding the collection mechanism:</w:t>
      </w:r>
    </w:p>
    <w:p w14:paraId="1E2CEFBD" w14:textId="77777777" w:rsidR="00DF156E" w:rsidRPr="00DF156E" w:rsidRDefault="00DF156E" w:rsidP="00DF156E">
      <w:pPr>
        <w:shd w:val="clear" w:color="auto" w:fill="FFFFFF"/>
        <w:spacing w:before="100" w:beforeAutospacing="1" w:after="100" w:afterAutospacing="1" w:line="240" w:lineRule="auto"/>
        <w:ind w:left="720" w:right="720"/>
        <w:rPr>
          <w:rFonts w:eastAsia="Times New Roman" w:cstheme="minorHAnsi"/>
          <w:sz w:val="21"/>
          <w:szCs w:val="21"/>
        </w:rPr>
      </w:pPr>
      <w:r w:rsidRPr="00DF156E">
        <w:rPr>
          <w:rFonts w:eastAsia="Times New Roman" w:cstheme="minorHAnsi"/>
          <w:sz w:val="21"/>
          <w:szCs w:val="21"/>
        </w:rPr>
        <w:lastRenderedPageBreak/>
        <w:t>Government agencies are responsible for collecting and reporting data on federal procurements through the Federal Procurement Data System–Next Generation (FPDS-NG).</w:t>
      </w:r>
    </w:p>
    <w:p w14:paraId="3CF5D910" w14:textId="77777777" w:rsidR="009351F8" w:rsidRDefault="00DF156E" w:rsidP="00DF156E">
      <w:pPr>
        <w:shd w:val="clear" w:color="auto" w:fill="FFFFFF"/>
        <w:spacing w:before="100" w:beforeAutospacing="1" w:after="100" w:afterAutospacing="1" w:line="240" w:lineRule="auto"/>
        <w:ind w:left="720" w:right="720"/>
        <w:rPr>
          <w:rFonts w:eastAsia="Times New Roman" w:cstheme="minorHAnsi"/>
          <w:sz w:val="21"/>
          <w:szCs w:val="21"/>
        </w:rPr>
      </w:pPr>
      <w:r w:rsidRPr="00DF156E">
        <w:rPr>
          <w:rFonts w:eastAsia="Times New Roman" w:cstheme="minorHAnsi"/>
          <w:sz w:val="21"/>
          <w:szCs w:val="21"/>
        </w:rPr>
        <w:t>Contracting Officers (COs) must submit complete reports on all contract actions, as required by the Federal Acquisition Regulation (FAR).</w:t>
      </w:r>
    </w:p>
    <w:p w14:paraId="3E950584" w14:textId="77777777" w:rsidR="00F275EA" w:rsidRDefault="00F275EA" w:rsidP="00F275EA">
      <w:pPr>
        <w:spacing w:after="0" w:line="276" w:lineRule="auto"/>
        <w:rPr>
          <w:sz w:val="28"/>
        </w:rPr>
      </w:pPr>
      <w:r>
        <w:rPr>
          <w:sz w:val="28"/>
        </w:rPr>
        <w:t>Bias/Sampling</w:t>
      </w:r>
    </w:p>
    <w:p w14:paraId="76017676" w14:textId="77777777" w:rsidR="00545B9D" w:rsidRPr="00F275EA" w:rsidRDefault="00F204A0" w:rsidP="00F275EA">
      <w:pPr>
        <w:spacing w:after="0" w:line="276" w:lineRule="auto"/>
        <w:rPr>
          <w:sz w:val="28"/>
        </w:rPr>
      </w:pPr>
      <w:r>
        <w:rPr>
          <w:rFonts w:eastAsia="Times New Roman" w:cstheme="minorHAnsi"/>
        </w:rPr>
        <w:t>There is no reason to believe that the data suffer from any particularly obvious biases or sampling issues. Given the collection mechanism, there likely is a small but potentially significant amount of error in the data from misreporting due to human error.</w:t>
      </w:r>
      <w:r>
        <w:rPr>
          <w:rStyle w:val="FootnoteReference"/>
          <w:rFonts w:eastAsia="Times New Roman" w:cstheme="minorHAnsi"/>
        </w:rPr>
        <w:footnoteReference w:id="3"/>
      </w:r>
      <w:r w:rsidR="00F275EA">
        <w:rPr>
          <w:rFonts w:eastAsia="Times New Roman" w:cstheme="minorHAnsi"/>
        </w:rPr>
        <w:t xml:space="preserve"> </w:t>
      </w:r>
    </w:p>
    <w:p w14:paraId="312A8115" w14:textId="77777777" w:rsidR="00F275EA" w:rsidRDefault="00F275EA" w:rsidP="00F275EA">
      <w:pPr>
        <w:spacing w:after="0" w:line="276" w:lineRule="auto"/>
        <w:rPr>
          <w:sz w:val="28"/>
        </w:rPr>
      </w:pPr>
    </w:p>
    <w:p w14:paraId="46A6D1FA" w14:textId="77777777" w:rsidR="00F275EA" w:rsidRDefault="00F275EA" w:rsidP="00F275EA">
      <w:pPr>
        <w:spacing w:after="0" w:line="276" w:lineRule="auto"/>
        <w:rPr>
          <w:sz w:val="28"/>
        </w:rPr>
      </w:pPr>
      <w:r>
        <w:rPr>
          <w:sz w:val="28"/>
        </w:rPr>
        <w:t>Data Cleaning Method and Identified Issues</w:t>
      </w:r>
    </w:p>
    <w:p w14:paraId="08D24B60" w14:textId="77777777" w:rsidR="003A59A3" w:rsidRDefault="00545B9D" w:rsidP="00F275EA">
      <w:pPr>
        <w:spacing w:after="0" w:line="276" w:lineRule="auto"/>
        <w:rPr>
          <w:rFonts w:eastAsia="Times New Roman" w:cs="Helvetica"/>
        </w:rPr>
      </w:pPr>
      <w:r w:rsidRPr="00F55E45">
        <w:rPr>
          <w:rFonts w:eastAsia="Times New Roman" w:cs="Helvetica"/>
        </w:rPr>
        <w:t>The original data files were not easily read into Python. I solved this by manually opening each file in</w:t>
      </w:r>
      <w:r w:rsidR="00F275EA">
        <w:rPr>
          <w:rFonts w:eastAsia="Times New Roman" w:cs="Helvetica"/>
        </w:rPr>
        <w:t xml:space="preserve"> E</w:t>
      </w:r>
      <w:r w:rsidRPr="00F55E45">
        <w:rPr>
          <w:rFonts w:eastAsia="Times New Roman" w:cs="Helvetica"/>
        </w:rPr>
        <w:t>xcel and resaving it explicitly as a .csv file, which fixed the problem. I cycled through each csv, dropping all unneeded variables,</w:t>
      </w:r>
      <w:r>
        <w:rPr>
          <w:rFonts w:eastAsia="Times New Roman" w:cs="Helvetica"/>
        </w:rPr>
        <w:t xml:space="preserve"> adding a fiscal year variable,</w:t>
      </w:r>
      <w:r w:rsidRPr="00F55E45">
        <w:rPr>
          <w:rFonts w:eastAsia="Times New Roman" w:cs="Helvetica"/>
        </w:rPr>
        <w:t xml:space="preserve"> and then saving the remaining data to a master data frame that will include all 15 Fiscal Years</w:t>
      </w:r>
      <w:r w:rsidR="0054266F">
        <w:rPr>
          <w:rFonts w:eastAsia="Times New Roman" w:cs="Helvetica"/>
        </w:rPr>
        <w:t>. Minor cleaning and wrangling included shortening variable names, dropping rows with missing values, converting the award strings into floats, and creating a State-District variable</w:t>
      </w:r>
      <w:r w:rsidR="003A59A3">
        <w:rPr>
          <w:rFonts w:eastAsia="Times New Roman" w:cs="Helvetica"/>
        </w:rPr>
        <w:t>.</w:t>
      </w:r>
    </w:p>
    <w:p w14:paraId="06A25667" w14:textId="77777777" w:rsidR="003A59A3" w:rsidRDefault="003A59A3" w:rsidP="00F275EA">
      <w:pPr>
        <w:spacing w:after="0" w:line="276" w:lineRule="auto"/>
        <w:rPr>
          <w:rFonts w:eastAsia="Times New Roman" w:cs="Helvetica"/>
        </w:rPr>
      </w:pPr>
    </w:p>
    <w:p w14:paraId="1CD96D8F" w14:textId="77777777" w:rsidR="003A59A3" w:rsidRDefault="003A59A3" w:rsidP="00F275EA">
      <w:pPr>
        <w:spacing w:after="0" w:line="276" w:lineRule="auto"/>
        <w:rPr>
          <w:rFonts w:eastAsia="Times New Roman" w:cs="Helvetica"/>
        </w:rPr>
      </w:pPr>
      <w:r>
        <w:rPr>
          <w:rFonts w:eastAsia="Times New Roman" w:cs="Helvetica"/>
        </w:rPr>
        <w:t xml:space="preserve">I looked at the following diagnostic plots to identify any issues. </w:t>
      </w:r>
      <w:r w:rsidR="00B521F5">
        <w:rPr>
          <w:rFonts w:eastAsia="Times New Roman" w:cs="Helvetica"/>
        </w:rPr>
        <w:t xml:space="preserve">Award amount is the only quantitative variable, so scatterplots are not possible. </w:t>
      </w:r>
      <w:r>
        <w:rPr>
          <w:rFonts w:eastAsia="Times New Roman" w:cs="Helvetica"/>
        </w:rPr>
        <w:t xml:space="preserve">The Year variable is purposefully kept categorical to avoid </w:t>
      </w:r>
      <w:r w:rsidR="00B521F5">
        <w:rPr>
          <w:rFonts w:eastAsia="Times New Roman" w:cs="Helvetica"/>
        </w:rPr>
        <w:t xml:space="preserve">inadvertently </w:t>
      </w:r>
      <w:r>
        <w:rPr>
          <w:rFonts w:eastAsia="Times New Roman" w:cs="Helvetica"/>
        </w:rPr>
        <w:t>applying continuous regressions or ML techniques. The Total Amounts by Fiscal Year bar graph shows that total contract awards peaked in 2012 and have been declining since. This does not immediately strike me as a problem, though deeper domain knowledge is required to be certain.</w:t>
      </w:r>
    </w:p>
    <w:p w14:paraId="5C4CCD01" w14:textId="77777777" w:rsidR="007708D8" w:rsidRPr="003A59A3" w:rsidRDefault="007708D8" w:rsidP="00F275EA">
      <w:pPr>
        <w:spacing w:after="0" w:line="276" w:lineRule="auto"/>
        <w:rPr>
          <w:rFonts w:eastAsia="Times New Roman" w:cs="Helvetica"/>
        </w:rPr>
      </w:pPr>
    </w:p>
    <w:p w14:paraId="09619933" w14:textId="77777777" w:rsidR="007334DF" w:rsidRDefault="007334DF" w:rsidP="007334DF">
      <w:pPr>
        <w:spacing w:after="0" w:line="276" w:lineRule="auto"/>
        <w:jc w:val="center"/>
        <w:rPr>
          <w:sz w:val="28"/>
        </w:rPr>
      </w:pPr>
      <w:r>
        <w:rPr>
          <w:noProof/>
          <w:sz w:val="28"/>
        </w:rPr>
        <w:drawing>
          <wp:inline distT="0" distB="0" distL="0" distR="0" wp14:anchorId="7DF87203" wp14:editId="3F3AE383">
            <wp:extent cx="5943600" cy="2321560"/>
            <wp:effectExtent l="0" t="0" r="0" b="2540"/>
            <wp:docPr id="1" name="Picture 1" descr="C:\Users\Dfresh32\AppData\Local\Microsoft\Windows\INetCache\Content.MSO\2690B7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fresh32\AppData\Local\Microsoft\Windows\INetCache\Content.MSO\2690B7A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003EFA58" w14:textId="77777777" w:rsidR="003A59A3" w:rsidRPr="007708D8" w:rsidRDefault="003A59A3" w:rsidP="007708D8">
      <w:pPr>
        <w:spacing w:after="0" w:line="276" w:lineRule="auto"/>
        <w:jc w:val="both"/>
      </w:pPr>
      <w:r w:rsidRPr="007708D8">
        <w:lastRenderedPageBreak/>
        <w:t>Note: I also looked at this as a line chart, but the year labels disappeared from the x-axis. As the purpose of this plot is diagnostic, I opted for</w:t>
      </w:r>
      <w:r w:rsidR="007708D8" w:rsidRPr="007708D8">
        <w:t xml:space="preserve"> a bar chart that explicitly labeled the years. </w:t>
      </w:r>
    </w:p>
    <w:p w14:paraId="0B16BA05" w14:textId="77777777" w:rsidR="003A59A3" w:rsidRPr="003A59A3" w:rsidRDefault="003A59A3" w:rsidP="003A59A3">
      <w:pPr>
        <w:spacing w:after="0" w:line="276" w:lineRule="auto"/>
        <w:rPr>
          <w:sz w:val="20"/>
          <w:szCs w:val="20"/>
        </w:rPr>
      </w:pPr>
    </w:p>
    <w:p w14:paraId="01EB0034" w14:textId="77777777" w:rsidR="00B521F5" w:rsidRDefault="00B521F5" w:rsidP="007708D8">
      <w:pPr>
        <w:spacing w:after="0" w:line="276" w:lineRule="auto"/>
        <w:rPr>
          <w:rFonts w:eastAsia="Times New Roman" w:cs="Helvetica"/>
        </w:rPr>
      </w:pPr>
    </w:p>
    <w:p w14:paraId="2F737717" w14:textId="77777777" w:rsidR="007708D8" w:rsidRPr="00B521F5" w:rsidRDefault="007708D8" w:rsidP="007708D8">
      <w:pPr>
        <w:spacing w:after="0" w:line="276" w:lineRule="auto"/>
        <w:rPr>
          <w:rFonts w:eastAsia="Times New Roman" w:cs="Helvetica"/>
        </w:rPr>
      </w:pPr>
      <w:r>
        <w:rPr>
          <w:rFonts w:eastAsia="Times New Roman" w:cs="Helvetica"/>
        </w:rPr>
        <w:t>I looked at the following plot,</w:t>
      </w:r>
      <w:r w:rsidR="00B521F5">
        <w:rPr>
          <w:rFonts w:eastAsia="Times New Roman" w:cs="Helvetica"/>
        </w:rPr>
        <w:t xml:space="preserve"> award amounts </w:t>
      </w:r>
      <w:r>
        <w:rPr>
          <w:rFonts w:eastAsia="Times New Roman" w:cs="Helvetica"/>
        </w:rPr>
        <w:t>grouped by state to identify any issues that may make themselves known:</w:t>
      </w:r>
    </w:p>
    <w:p w14:paraId="7BAC7E61" w14:textId="77777777" w:rsidR="002E6F84" w:rsidRDefault="002E6F84" w:rsidP="007334DF">
      <w:pPr>
        <w:spacing w:after="0" w:line="276" w:lineRule="auto"/>
        <w:jc w:val="center"/>
        <w:rPr>
          <w:sz w:val="28"/>
        </w:rPr>
      </w:pPr>
      <w:r>
        <w:rPr>
          <w:noProof/>
          <w:sz w:val="28"/>
        </w:rPr>
        <w:drawing>
          <wp:inline distT="0" distB="0" distL="0" distR="0" wp14:anchorId="5136ED55" wp14:editId="433BC06D">
            <wp:extent cx="5943600" cy="2319655"/>
            <wp:effectExtent l="0" t="0" r="0" b="4445"/>
            <wp:docPr id="2" name="Picture 2" descr="C:\Users\Dfresh32\AppData\Local\Microsoft\Windows\INetCache\Content.MSO\19D87B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fresh32\AppData\Local\Microsoft\Windows\INetCache\Content.MSO\19D87B5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p>
    <w:p w14:paraId="23795510" w14:textId="77777777" w:rsidR="007708D8" w:rsidRDefault="007708D8" w:rsidP="007708D8">
      <w:pPr>
        <w:spacing w:after="0" w:line="276" w:lineRule="auto"/>
        <w:rPr>
          <w:rFonts w:eastAsia="Times New Roman" w:cs="Helvetica"/>
        </w:rPr>
      </w:pPr>
      <w:r>
        <w:rPr>
          <w:rFonts w:eastAsia="Times New Roman" w:cs="Helvetica"/>
        </w:rPr>
        <w:t>The plot shows significant disproportionate spending in Texas, California, Virginia, Maryland, Alabama, Florida, and Colorado. Given the locations of NASA facilities across the country, these numbers make sense.</w:t>
      </w:r>
    </w:p>
    <w:p w14:paraId="00C10A2D" w14:textId="77777777" w:rsidR="007708D8" w:rsidRDefault="007708D8" w:rsidP="007708D8">
      <w:pPr>
        <w:spacing w:after="0" w:line="276" w:lineRule="auto"/>
        <w:rPr>
          <w:rFonts w:eastAsia="Times New Roman" w:cs="Helvetica"/>
        </w:rPr>
      </w:pPr>
    </w:p>
    <w:p w14:paraId="08B01F24" w14:textId="77777777" w:rsidR="007708D8" w:rsidRDefault="007708D8" w:rsidP="007708D8">
      <w:pPr>
        <w:spacing w:after="0" w:line="276" w:lineRule="auto"/>
        <w:rPr>
          <w:rFonts w:eastAsia="Times New Roman" w:cs="Helvetica"/>
        </w:rPr>
      </w:pPr>
      <w:r>
        <w:rPr>
          <w:rFonts w:eastAsia="Times New Roman" w:cs="Helvetica"/>
        </w:rPr>
        <w:t>EDA did not identify any significant issues, although several data points appeared to have negative award amounts. I’ll need to do additional research to determine whether these are errant or indicative of paying pack overpayments or something similar. Regardless, these data points will likely be dropped for final analysis.</w:t>
      </w:r>
      <w:r w:rsidR="00221881">
        <w:rPr>
          <w:rFonts w:eastAsia="Times New Roman" w:cs="Helvetica"/>
        </w:rPr>
        <w:t xml:space="preserve"> The max award amount is also suspiciously large at $27 billion- this is possible though highly unlikely since NASA’s entire budget tends to be less than that</w:t>
      </w:r>
      <w:r w:rsidR="00B521F5">
        <w:rPr>
          <w:rFonts w:eastAsia="Times New Roman" w:cs="Helvetica"/>
        </w:rPr>
        <w:t xml:space="preserve">. </w:t>
      </w:r>
    </w:p>
    <w:p w14:paraId="67A763CC" w14:textId="77777777" w:rsidR="00314F27" w:rsidRDefault="00314F27" w:rsidP="007708D8">
      <w:pPr>
        <w:spacing w:after="0" w:line="276" w:lineRule="auto"/>
        <w:rPr>
          <w:sz w:val="28"/>
        </w:rPr>
      </w:pPr>
    </w:p>
    <w:p w14:paraId="1BAC6589" w14:textId="77777777" w:rsidR="007708D8" w:rsidRDefault="007708D8" w:rsidP="007708D8">
      <w:pPr>
        <w:spacing w:after="0" w:line="276" w:lineRule="auto"/>
        <w:rPr>
          <w:sz w:val="28"/>
        </w:rPr>
      </w:pPr>
      <w:r>
        <w:rPr>
          <w:sz w:val="28"/>
        </w:rPr>
        <w:t>Descriptive Statistics</w:t>
      </w:r>
    </w:p>
    <w:p w14:paraId="3FC00173" w14:textId="77777777" w:rsidR="003748A0" w:rsidRDefault="003748A0" w:rsidP="007708D8">
      <w:pPr>
        <w:spacing w:after="0" w:line="276" w:lineRule="auto"/>
        <w:rPr>
          <w:sz w:val="28"/>
        </w:rPr>
      </w:pPr>
    </w:p>
    <w:p w14:paraId="440479F6" w14:textId="77777777" w:rsidR="00347E55" w:rsidRPr="00F55E45" w:rsidRDefault="001137A7" w:rsidP="00221881">
      <w:pPr>
        <w:shd w:val="clear" w:color="auto" w:fill="FFFFFF"/>
        <w:spacing w:line="276" w:lineRule="auto"/>
        <w:ind w:left="15"/>
        <w:jc w:val="center"/>
        <w:rPr>
          <w:rFonts w:ascii="Helvetica" w:eastAsia="Times New Roman" w:hAnsi="Helvetica" w:cs="Helvetica"/>
          <w:b/>
          <w:color w:val="2D3B45"/>
          <w:sz w:val="24"/>
          <w:szCs w:val="24"/>
        </w:rPr>
      </w:pPr>
      <w:r w:rsidRPr="00F55E45">
        <w:rPr>
          <w:rFonts w:eastAsia="Times New Roman" w:cstheme="minorHAnsi"/>
          <w:b/>
        </w:rPr>
        <w:t>T</w:t>
      </w:r>
      <w:r w:rsidR="00347E55" w:rsidRPr="00F55E45">
        <w:rPr>
          <w:rFonts w:eastAsia="Times New Roman" w:cstheme="minorHAnsi"/>
          <w:b/>
        </w:rPr>
        <w:t xml:space="preserve">he Descriptive Statistics </w:t>
      </w:r>
      <w:r w:rsidRPr="00F55E45">
        <w:rPr>
          <w:rFonts w:eastAsia="Times New Roman" w:cstheme="minorHAnsi"/>
          <w:b/>
        </w:rPr>
        <w:t xml:space="preserve">for </w:t>
      </w:r>
      <w:r w:rsidR="003748A0">
        <w:rPr>
          <w:rFonts w:eastAsia="Times New Roman" w:cstheme="minorHAnsi"/>
          <w:b/>
        </w:rPr>
        <w:t>F</w:t>
      </w:r>
      <w:r w:rsidRPr="00F55E45">
        <w:rPr>
          <w:rFonts w:eastAsia="Times New Roman" w:cstheme="minorHAnsi"/>
          <w:b/>
        </w:rPr>
        <w:t xml:space="preserve">our </w:t>
      </w:r>
      <w:r w:rsidR="003748A0">
        <w:rPr>
          <w:rFonts w:eastAsia="Times New Roman" w:cstheme="minorHAnsi"/>
          <w:b/>
        </w:rPr>
        <w:t>C</w:t>
      </w:r>
      <w:r w:rsidRPr="00F55E45">
        <w:rPr>
          <w:rFonts w:eastAsia="Times New Roman" w:cstheme="minorHAnsi"/>
          <w:b/>
        </w:rPr>
        <w:t xml:space="preserve">ategorical </w:t>
      </w:r>
      <w:r w:rsidR="003748A0">
        <w:rPr>
          <w:rFonts w:eastAsia="Times New Roman" w:cstheme="minorHAnsi"/>
          <w:b/>
        </w:rPr>
        <w:t>V</w:t>
      </w:r>
      <w:r w:rsidRPr="00F55E45">
        <w:rPr>
          <w:rFonts w:eastAsia="Times New Roman" w:cstheme="minorHAnsi"/>
          <w:b/>
        </w:rPr>
        <w:t>ariables</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0"/>
        <w:gridCol w:w="1324"/>
        <w:gridCol w:w="1148"/>
        <w:gridCol w:w="1148"/>
        <w:gridCol w:w="886"/>
      </w:tblGrid>
      <w:tr w:rsidR="001137A7" w:rsidRPr="00347E55" w14:paraId="02B67918" w14:textId="77777777" w:rsidTr="007708D8">
        <w:trPr>
          <w:trHeight w:val="300"/>
          <w:jc w:val="center"/>
        </w:trPr>
        <w:tc>
          <w:tcPr>
            <w:tcW w:w="990" w:type="dxa"/>
            <w:shd w:val="clear" w:color="auto" w:fill="D9E2F3" w:themeFill="accent1" w:themeFillTint="33"/>
            <w:noWrap/>
            <w:hideMark/>
          </w:tcPr>
          <w:p w14:paraId="7AC79C65" w14:textId="77777777" w:rsidR="001137A7" w:rsidRPr="00347E55" w:rsidRDefault="001137A7" w:rsidP="00347E55">
            <w:pPr>
              <w:rPr>
                <w:rFonts w:ascii="Times New Roman" w:eastAsia="Times New Roman" w:hAnsi="Times New Roman" w:cs="Times New Roman"/>
                <w:sz w:val="24"/>
                <w:szCs w:val="24"/>
              </w:rPr>
            </w:pPr>
          </w:p>
        </w:tc>
        <w:tc>
          <w:tcPr>
            <w:tcW w:w="1324" w:type="dxa"/>
            <w:shd w:val="clear" w:color="auto" w:fill="D9E2F3" w:themeFill="accent1" w:themeFillTint="33"/>
            <w:noWrap/>
            <w:hideMark/>
          </w:tcPr>
          <w:p w14:paraId="56C7BA36" w14:textId="77777777"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Contractor</w:t>
            </w:r>
          </w:p>
        </w:tc>
        <w:tc>
          <w:tcPr>
            <w:tcW w:w="1148" w:type="dxa"/>
            <w:shd w:val="clear" w:color="auto" w:fill="D9E2F3" w:themeFill="accent1" w:themeFillTint="33"/>
            <w:noWrap/>
            <w:hideMark/>
          </w:tcPr>
          <w:p w14:paraId="473F9CA2" w14:textId="77777777"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NASA Center</w:t>
            </w:r>
          </w:p>
        </w:tc>
        <w:tc>
          <w:tcPr>
            <w:tcW w:w="1148" w:type="dxa"/>
            <w:shd w:val="clear" w:color="auto" w:fill="D9E2F3" w:themeFill="accent1" w:themeFillTint="33"/>
            <w:noWrap/>
            <w:hideMark/>
          </w:tcPr>
          <w:p w14:paraId="6E68C5B8" w14:textId="77777777"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State</w:t>
            </w:r>
          </w:p>
        </w:tc>
        <w:tc>
          <w:tcPr>
            <w:tcW w:w="886" w:type="dxa"/>
            <w:shd w:val="clear" w:color="auto" w:fill="D9E2F3" w:themeFill="accent1" w:themeFillTint="33"/>
            <w:noWrap/>
            <w:hideMark/>
          </w:tcPr>
          <w:p w14:paraId="44762000" w14:textId="77777777"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State-District</w:t>
            </w:r>
          </w:p>
        </w:tc>
      </w:tr>
      <w:tr w:rsidR="001137A7" w:rsidRPr="00347E55" w14:paraId="6751B4D6" w14:textId="77777777" w:rsidTr="007708D8">
        <w:trPr>
          <w:trHeight w:val="300"/>
          <w:jc w:val="center"/>
        </w:trPr>
        <w:tc>
          <w:tcPr>
            <w:tcW w:w="990" w:type="dxa"/>
            <w:shd w:val="clear" w:color="auto" w:fill="B4C6E7" w:themeFill="accent1" w:themeFillTint="66"/>
            <w:noWrap/>
            <w:hideMark/>
          </w:tcPr>
          <w:p w14:paraId="2D504012" w14:textId="77777777"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count</w:t>
            </w:r>
          </w:p>
        </w:tc>
        <w:tc>
          <w:tcPr>
            <w:tcW w:w="1324" w:type="dxa"/>
            <w:shd w:val="clear" w:color="auto" w:fill="B4C6E7" w:themeFill="accent1" w:themeFillTint="66"/>
            <w:noWrap/>
            <w:hideMark/>
          </w:tcPr>
          <w:p w14:paraId="7AB6CEC6"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406559</w:t>
            </w:r>
          </w:p>
        </w:tc>
        <w:tc>
          <w:tcPr>
            <w:tcW w:w="1148" w:type="dxa"/>
            <w:shd w:val="clear" w:color="auto" w:fill="B4C6E7" w:themeFill="accent1" w:themeFillTint="66"/>
            <w:noWrap/>
            <w:hideMark/>
          </w:tcPr>
          <w:p w14:paraId="522789C6"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406559</w:t>
            </w:r>
          </w:p>
        </w:tc>
        <w:tc>
          <w:tcPr>
            <w:tcW w:w="1148" w:type="dxa"/>
            <w:shd w:val="clear" w:color="auto" w:fill="B4C6E7" w:themeFill="accent1" w:themeFillTint="66"/>
            <w:noWrap/>
            <w:hideMark/>
          </w:tcPr>
          <w:p w14:paraId="51DD56E8"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406559</w:t>
            </w:r>
          </w:p>
        </w:tc>
        <w:tc>
          <w:tcPr>
            <w:tcW w:w="886" w:type="dxa"/>
            <w:shd w:val="clear" w:color="auto" w:fill="B4C6E7" w:themeFill="accent1" w:themeFillTint="66"/>
            <w:noWrap/>
            <w:hideMark/>
          </w:tcPr>
          <w:p w14:paraId="335BE44A"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406559</w:t>
            </w:r>
          </w:p>
        </w:tc>
      </w:tr>
      <w:tr w:rsidR="001137A7" w:rsidRPr="00347E55" w14:paraId="65936D91" w14:textId="77777777" w:rsidTr="007708D8">
        <w:trPr>
          <w:trHeight w:val="300"/>
          <w:jc w:val="center"/>
        </w:trPr>
        <w:tc>
          <w:tcPr>
            <w:tcW w:w="990" w:type="dxa"/>
            <w:shd w:val="clear" w:color="auto" w:fill="D9E2F3" w:themeFill="accent1" w:themeFillTint="33"/>
            <w:noWrap/>
            <w:hideMark/>
          </w:tcPr>
          <w:p w14:paraId="44935A4C" w14:textId="77777777"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unique</w:t>
            </w:r>
          </w:p>
        </w:tc>
        <w:tc>
          <w:tcPr>
            <w:tcW w:w="1324" w:type="dxa"/>
            <w:shd w:val="clear" w:color="auto" w:fill="D9E2F3" w:themeFill="accent1" w:themeFillTint="33"/>
            <w:noWrap/>
            <w:hideMark/>
          </w:tcPr>
          <w:p w14:paraId="63FBE64E"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31846</w:t>
            </w:r>
          </w:p>
        </w:tc>
        <w:tc>
          <w:tcPr>
            <w:tcW w:w="1148" w:type="dxa"/>
            <w:shd w:val="clear" w:color="auto" w:fill="D9E2F3" w:themeFill="accent1" w:themeFillTint="33"/>
            <w:noWrap/>
            <w:hideMark/>
          </w:tcPr>
          <w:p w14:paraId="51BF303A"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13</w:t>
            </w:r>
          </w:p>
        </w:tc>
        <w:tc>
          <w:tcPr>
            <w:tcW w:w="1148" w:type="dxa"/>
            <w:shd w:val="clear" w:color="auto" w:fill="D9E2F3" w:themeFill="accent1" w:themeFillTint="33"/>
            <w:noWrap/>
            <w:hideMark/>
          </w:tcPr>
          <w:p w14:paraId="2EA9FE82"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56</w:t>
            </w:r>
          </w:p>
        </w:tc>
        <w:tc>
          <w:tcPr>
            <w:tcW w:w="886" w:type="dxa"/>
            <w:shd w:val="clear" w:color="auto" w:fill="D9E2F3" w:themeFill="accent1" w:themeFillTint="33"/>
            <w:noWrap/>
            <w:hideMark/>
          </w:tcPr>
          <w:p w14:paraId="4A95881C"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513</w:t>
            </w:r>
          </w:p>
        </w:tc>
      </w:tr>
      <w:tr w:rsidR="001137A7" w:rsidRPr="00347E55" w14:paraId="36123F42" w14:textId="77777777" w:rsidTr="007708D8">
        <w:trPr>
          <w:trHeight w:val="300"/>
          <w:jc w:val="center"/>
        </w:trPr>
        <w:tc>
          <w:tcPr>
            <w:tcW w:w="990" w:type="dxa"/>
            <w:shd w:val="clear" w:color="auto" w:fill="B4C6E7" w:themeFill="accent1" w:themeFillTint="66"/>
            <w:noWrap/>
            <w:hideMark/>
          </w:tcPr>
          <w:p w14:paraId="63DF33E2" w14:textId="77777777" w:rsidR="001137A7" w:rsidRPr="00347E55" w:rsidRDefault="001137A7" w:rsidP="00347E55">
            <w:pPr>
              <w:rPr>
                <w:rFonts w:ascii="Calibri" w:eastAsia="Times New Roman" w:hAnsi="Calibri" w:cs="Times New Roman"/>
                <w:b/>
                <w:color w:val="000000"/>
              </w:rPr>
            </w:pPr>
            <w:r w:rsidRPr="00347E55">
              <w:rPr>
                <w:rFonts w:ascii="Calibri" w:eastAsia="Times New Roman" w:hAnsi="Calibri" w:cs="Times New Roman"/>
                <w:b/>
                <w:color w:val="000000"/>
              </w:rPr>
              <w:t>top</w:t>
            </w:r>
          </w:p>
        </w:tc>
        <w:tc>
          <w:tcPr>
            <w:tcW w:w="1324" w:type="dxa"/>
            <w:shd w:val="clear" w:color="auto" w:fill="B4C6E7" w:themeFill="accent1" w:themeFillTint="66"/>
            <w:noWrap/>
            <w:hideMark/>
          </w:tcPr>
          <w:p w14:paraId="04D647A3" w14:textId="77777777" w:rsidR="001137A7" w:rsidRPr="00347E55" w:rsidRDefault="007708D8" w:rsidP="00347E55">
            <w:pPr>
              <w:jc w:val="right"/>
              <w:rPr>
                <w:rFonts w:ascii="Calibri" w:eastAsia="Times New Roman" w:hAnsi="Calibri" w:cs="Times New Roman"/>
                <w:color w:val="000000"/>
              </w:rPr>
            </w:pPr>
            <w:r>
              <w:rPr>
                <w:rFonts w:ascii="Calibri" w:eastAsia="Times New Roman" w:hAnsi="Calibri" w:cs="Times New Roman"/>
                <w:color w:val="000000"/>
              </w:rPr>
              <w:t>Caltech</w:t>
            </w:r>
          </w:p>
        </w:tc>
        <w:tc>
          <w:tcPr>
            <w:tcW w:w="1148" w:type="dxa"/>
            <w:shd w:val="clear" w:color="auto" w:fill="B4C6E7" w:themeFill="accent1" w:themeFillTint="66"/>
            <w:noWrap/>
            <w:hideMark/>
          </w:tcPr>
          <w:p w14:paraId="2B86E639"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 xml:space="preserve">NSSC </w:t>
            </w:r>
          </w:p>
        </w:tc>
        <w:tc>
          <w:tcPr>
            <w:tcW w:w="1148" w:type="dxa"/>
            <w:shd w:val="clear" w:color="auto" w:fill="B4C6E7" w:themeFill="accent1" w:themeFillTint="66"/>
            <w:noWrap/>
            <w:hideMark/>
          </w:tcPr>
          <w:p w14:paraId="713AE069"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CA</w:t>
            </w:r>
          </w:p>
        </w:tc>
        <w:tc>
          <w:tcPr>
            <w:tcW w:w="886" w:type="dxa"/>
            <w:shd w:val="clear" w:color="auto" w:fill="B4C6E7" w:themeFill="accent1" w:themeFillTint="66"/>
            <w:noWrap/>
            <w:hideMark/>
          </w:tcPr>
          <w:p w14:paraId="7AC015D3" w14:textId="77777777" w:rsidR="001137A7" w:rsidRPr="00347E55" w:rsidRDefault="001137A7" w:rsidP="00347E55">
            <w:pPr>
              <w:rPr>
                <w:rFonts w:ascii="Calibri" w:eastAsia="Times New Roman" w:hAnsi="Calibri" w:cs="Times New Roman"/>
                <w:color w:val="000000"/>
              </w:rPr>
            </w:pPr>
            <w:r w:rsidRPr="00347E55">
              <w:rPr>
                <w:rFonts w:ascii="Calibri" w:eastAsia="Times New Roman" w:hAnsi="Calibri" w:cs="Times New Roman"/>
                <w:color w:val="000000"/>
              </w:rPr>
              <w:t>MD</w:t>
            </w:r>
            <w:r w:rsidR="0054266F">
              <w:rPr>
                <w:rFonts w:ascii="Calibri" w:eastAsia="Times New Roman" w:hAnsi="Calibri" w:cs="Times New Roman"/>
                <w:color w:val="000000"/>
              </w:rPr>
              <w:t>-</w:t>
            </w:r>
            <w:r w:rsidRPr="00347E55">
              <w:rPr>
                <w:rFonts w:ascii="Calibri" w:eastAsia="Times New Roman" w:hAnsi="Calibri" w:cs="Times New Roman"/>
                <w:color w:val="000000"/>
              </w:rPr>
              <w:t>05</w:t>
            </w:r>
          </w:p>
        </w:tc>
      </w:tr>
      <w:tr w:rsidR="001137A7" w:rsidRPr="00347E55" w14:paraId="6E9D16B5" w14:textId="77777777" w:rsidTr="007708D8">
        <w:trPr>
          <w:trHeight w:val="300"/>
          <w:jc w:val="center"/>
        </w:trPr>
        <w:tc>
          <w:tcPr>
            <w:tcW w:w="990" w:type="dxa"/>
            <w:shd w:val="clear" w:color="auto" w:fill="D9E2F3" w:themeFill="accent1" w:themeFillTint="33"/>
            <w:noWrap/>
            <w:hideMark/>
          </w:tcPr>
          <w:p w14:paraId="75118756" w14:textId="77777777" w:rsidR="001137A7" w:rsidRPr="00347E55" w:rsidRDefault="001137A7" w:rsidP="00347E55">
            <w:pPr>
              <w:rPr>
                <w:rFonts w:ascii="Calibri" w:eastAsia="Times New Roman" w:hAnsi="Calibri" w:cs="Times New Roman"/>
                <w:b/>
                <w:color w:val="000000"/>
              </w:rPr>
            </w:pPr>
            <w:proofErr w:type="spellStart"/>
            <w:r w:rsidRPr="00347E55">
              <w:rPr>
                <w:rFonts w:ascii="Calibri" w:eastAsia="Times New Roman" w:hAnsi="Calibri" w:cs="Times New Roman"/>
                <w:b/>
                <w:color w:val="000000"/>
              </w:rPr>
              <w:t>freq</w:t>
            </w:r>
            <w:proofErr w:type="spellEnd"/>
          </w:p>
        </w:tc>
        <w:tc>
          <w:tcPr>
            <w:tcW w:w="1324" w:type="dxa"/>
            <w:shd w:val="clear" w:color="auto" w:fill="D9E2F3" w:themeFill="accent1" w:themeFillTint="33"/>
            <w:noWrap/>
            <w:hideMark/>
          </w:tcPr>
          <w:p w14:paraId="3C81EF92"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12623</w:t>
            </w:r>
          </w:p>
        </w:tc>
        <w:tc>
          <w:tcPr>
            <w:tcW w:w="1148" w:type="dxa"/>
            <w:shd w:val="clear" w:color="auto" w:fill="D9E2F3" w:themeFill="accent1" w:themeFillTint="33"/>
            <w:noWrap/>
            <w:hideMark/>
          </w:tcPr>
          <w:p w14:paraId="5FD07B4B"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135177</w:t>
            </w:r>
          </w:p>
        </w:tc>
        <w:tc>
          <w:tcPr>
            <w:tcW w:w="1148" w:type="dxa"/>
            <w:shd w:val="clear" w:color="auto" w:fill="D9E2F3" w:themeFill="accent1" w:themeFillTint="33"/>
            <w:noWrap/>
            <w:hideMark/>
          </w:tcPr>
          <w:p w14:paraId="5C16E27B"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76689</w:t>
            </w:r>
          </w:p>
        </w:tc>
        <w:tc>
          <w:tcPr>
            <w:tcW w:w="886" w:type="dxa"/>
            <w:shd w:val="clear" w:color="auto" w:fill="D9E2F3" w:themeFill="accent1" w:themeFillTint="33"/>
            <w:noWrap/>
            <w:hideMark/>
          </w:tcPr>
          <w:p w14:paraId="74FB7AA6" w14:textId="77777777" w:rsidR="001137A7" w:rsidRPr="00347E55" w:rsidRDefault="001137A7" w:rsidP="00347E55">
            <w:pPr>
              <w:jc w:val="right"/>
              <w:rPr>
                <w:rFonts w:ascii="Calibri" w:eastAsia="Times New Roman" w:hAnsi="Calibri" w:cs="Times New Roman"/>
                <w:color w:val="000000"/>
              </w:rPr>
            </w:pPr>
            <w:r w:rsidRPr="00347E55">
              <w:rPr>
                <w:rFonts w:ascii="Calibri" w:eastAsia="Times New Roman" w:hAnsi="Calibri" w:cs="Times New Roman"/>
                <w:color w:val="000000"/>
              </w:rPr>
              <w:t>16756</w:t>
            </w:r>
          </w:p>
        </w:tc>
      </w:tr>
    </w:tbl>
    <w:p w14:paraId="1B7D06E2" w14:textId="77777777" w:rsidR="007708D8" w:rsidRDefault="007708D8" w:rsidP="00FA6E9A">
      <w:pPr>
        <w:shd w:val="clear" w:color="auto" w:fill="FFFFFF"/>
        <w:spacing w:after="0" w:line="276" w:lineRule="auto"/>
        <w:ind w:left="15"/>
        <w:jc w:val="center"/>
        <w:rPr>
          <w:rFonts w:eastAsia="Times New Roman" w:cstheme="minorHAnsi"/>
          <w:b/>
        </w:rPr>
      </w:pPr>
    </w:p>
    <w:p w14:paraId="267DB996" w14:textId="77777777" w:rsidR="003748A0" w:rsidRDefault="003748A0" w:rsidP="00314F27">
      <w:pPr>
        <w:shd w:val="clear" w:color="auto" w:fill="FFFFFF"/>
        <w:spacing w:after="0" w:line="276" w:lineRule="auto"/>
        <w:ind w:left="15"/>
        <w:jc w:val="center"/>
        <w:rPr>
          <w:rFonts w:eastAsia="Times New Roman" w:cstheme="minorHAnsi"/>
          <w:b/>
        </w:rPr>
      </w:pPr>
    </w:p>
    <w:p w14:paraId="40456CC9" w14:textId="77777777" w:rsidR="003748A0" w:rsidRDefault="003748A0">
      <w:pPr>
        <w:rPr>
          <w:rFonts w:eastAsia="Times New Roman" w:cstheme="minorHAnsi"/>
          <w:b/>
        </w:rPr>
      </w:pPr>
      <w:r>
        <w:rPr>
          <w:rFonts w:eastAsia="Times New Roman" w:cstheme="minorHAnsi"/>
          <w:b/>
        </w:rPr>
        <w:br w:type="page"/>
      </w:r>
    </w:p>
    <w:p w14:paraId="426B24D3" w14:textId="77777777" w:rsidR="00221881" w:rsidRDefault="00314F27" w:rsidP="00314F27">
      <w:pPr>
        <w:shd w:val="clear" w:color="auto" w:fill="FFFFFF"/>
        <w:spacing w:after="0" w:line="276" w:lineRule="auto"/>
        <w:ind w:left="15"/>
        <w:jc w:val="center"/>
        <w:rPr>
          <w:rFonts w:eastAsia="Times New Roman" w:cstheme="minorHAnsi"/>
          <w:b/>
        </w:rPr>
      </w:pPr>
      <w:r w:rsidRPr="00F55E45">
        <w:rPr>
          <w:rFonts w:eastAsia="Times New Roman" w:cstheme="minorHAnsi"/>
          <w:b/>
        </w:rPr>
        <w:lastRenderedPageBreak/>
        <w:t>The Descriptive Statistics for</w:t>
      </w:r>
    </w:p>
    <w:p w14:paraId="23708946" w14:textId="77777777" w:rsidR="00314F27" w:rsidRPr="00F55E45" w:rsidRDefault="00314F27" w:rsidP="00314F27">
      <w:pPr>
        <w:shd w:val="clear" w:color="auto" w:fill="FFFFFF"/>
        <w:spacing w:after="0" w:line="276" w:lineRule="auto"/>
        <w:ind w:left="15"/>
        <w:jc w:val="center"/>
        <w:rPr>
          <w:rFonts w:ascii="Helvetica" w:eastAsia="Times New Roman" w:hAnsi="Helvetica" w:cs="Helvetica"/>
          <w:b/>
          <w:color w:val="2D3B45"/>
          <w:sz w:val="24"/>
          <w:szCs w:val="24"/>
        </w:rPr>
      </w:pPr>
      <w:r w:rsidRPr="00F55E45">
        <w:rPr>
          <w:rFonts w:eastAsia="Times New Roman" w:cstheme="minorHAnsi"/>
          <w:b/>
        </w:rPr>
        <w:t xml:space="preserve"> </w:t>
      </w:r>
      <w:r>
        <w:rPr>
          <w:rFonts w:eastAsia="Times New Roman" w:cstheme="minorHAnsi"/>
          <w:b/>
        </w:rPr>
        <w:t>Contract Awards in Thousands of Dollars</w:t>
      </w:r>
    </w:p>
    <w:tbl>
      <w:tblPr>
        <w:tblStyle w:val="TableGrid"/>
        <w:tblW w:w="0" w:type="auto"/>
        <w:tblInd w:w="36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0"/>
        <w:gridCol w:w="1330"/>
      </w:tblGrid>
      <w:tr w:rsidR="00314F27" w:rsidRPr="00FA6E9A" w14:paraId="1B2AF158" w14:textId="77777777" w:rsidTr="005F3DEB">
        <w:trPr>
          <w:trHeight w:val="300"/>
        </w:trPr>
        <w:tc>
          <w:tcPr>
            <w:tcW w:w="990" w:type="dxa"/>
            <w:shd w:val="clear" w:color="auto" w:fill="D9E2F3" w:themeFill="accent1" w:themeFillTint="33"/>
            <w:noWrap/>
            <w:hideMark/>
          </w:tcPr>
          <w:p w14:paraId="2F4EF502" w14:textId="77777777" w:rsidR="00314F27" w:rsidRPr="00FA6E9A" w:rsidRDefault="00314F27" w:rsidP="005F3DEB">
            <w:pPr>
              <w:rPr>
                <w:rFonts w:ascii="Times New Roman" w:eastAsia="Times New Roman" w:hAnsi="Times New Roman" w:cs="Times New Roman"/>
                <w:sz w:val="24"/>
                <w:szCs w:val="24"/>
              </w:rPr>
            </w:pPr>
          </w:p>
        </w:tc>
        <w:tc>
          <w:tcPr>
            <w:tcW w:w="1330" w:type="dxa"/>
            <w:shd w:val="clear" w:color="auto" w:fill="D9E2F3" w:themeFill="accent1" w:themeFillTint="33"/>
            <w:noWrap/>
            <w:hideMark/>
          </w:tcPr>
          <w:p w14:paraId="031A1882" w14:textId="77777777"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Award</w:t>
            </w:r>
            <w:r>
              <w:rPr>
                <w:rFonts w:ascii="Calibri" w:eastAsia="Times New Roman" w:hAnsi="Calibri" w:cs="Times New Roman"/>
                <w:b/>
                <w:color w:val="000000"/>
              </w:rPr>
              <w:t xml:space="preserve"> </w:t>
            </w:r>
          </w:p>
        </w:tc>
      </w:tr>
      <w:tr w:rsidR="00314F27" w:rsidRPr="00FA6E9A" w14:paraId="50635234" w14:textId="77777777" w:rsidTr="005F3DEB">
        <w:trPr>
          <w:trHeight w:val="300"/>
        </w:trPr>
        <w:tc>
          <w:tcPr>
            <w:tcW w:w="990" w:type="dxa"/>
            <w:shd w:val="clear" w:color="auto" w:fill="B4C6E7" w:themeFill="accent1" w:themeFillTint="66"/>
            <w:noWrap/>
            <w:hideMark/>
          </w:tcPr>
          <w:p w14:paraId="597986B3" w14:textId="77777777"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mean</w:t>
            </w:r>
          </w:p>
        </w:tc>
        <w:tc>
          <w:tcPr>
            <w:tcW w:w="1330" w:type="dxa"/>
            <w:shd w:val="clear" w:color="auto" w:fill="B4C6E7" w:themeFill="accent1" w:themeFillTint="66"/>
            <w:noWrap/>
            <w:vAlign w:val="bottom"/>
            <w:hideMark/>
          </w:tcPr>
          <w:p w14:paraId="263167AE" w14:textId="77777777" w:rsidR="00314F27" w:rsidRDefault="004421FB" w:rsidP="005F3DEB">
            <w:pPr>
              <w:jc w:val="right"/>
              <w:rPr>
                <w:rFonts w:ascii="Calibri" w:hAnsi="Calibri"/>
                <w:color w:val="000000"/>
              </w:rPr>
            </w:pPr>
            <w:r>
              <w:rPr>
                <w:rFonts w:ascii="Calibri" w:hAnsi="Calibri"/>
                <w:color w:val="000000"/>
              </w:rPr>
              <w:t>$</w:t>
            </w:r>
            <w:r w:rsidR="00314F27">
              <w:rPr>
                <w:rFonts w:ascii="Calibri" w:hAnsi="Calibri"/>
                <w:color w:val="000000"/>
              </w:rPr>
              <w:t>7,682</w:t>
            </w:r>
          </w:p>
        </w:tc>
      </w:tr>
      <w:tr w:rsidR="00314F27" w:rsidRPr="00FA6E9A" w14:paraId="325EAC0A" w14:textId="77777777" w:rsidTr="005F3DEB">
        <w:trPr>
          <w:trHeight w:val="300"/>
        </w:trPr>
        <w:tc>
          <w:tcPr>
            <w:tcW w:w="990" w:type="dxa"/>
            <w:shd w:val="clear" w:color="auto" w:fill="D9E2F3" w:themeFill="accent1" w:themeFillTint="33"/>
            <w:noWrap/>
            <w:hideMark/>
          </w:tcPr>
          <w:p w14:paraId="0D55867C" w14:textId="77777777"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std</w:t>
            </w:r>
          </w:p>
        </w:tc>
        <w:tc>
          <w:tcPr>
            <w:tcW w:w="1330" w:type="dxa"/>
            <w:shd w:val="clear" w:color="auto" w:fill="D9E2F3" w:themeFill="accent1" w:themeFillTint="33"/>
            <w:noWrap/>
            <w:vAlign w:val="bottom"/>
            <w:hideMark/>
          </w:tcPr>
          <w:p w14:paraId="2515049C" w14:textId="77777777" w:rsidR="00314F27" w:rsidRDefault="00314F27" w:rsidP="005F3DEB">
            <w:pPr>
              <w:jc w:val="right"/>
              <w:rPr>
                <w:rFonts w:ascii="Calibri" w:hAnsi="Calibri"/>
                <w:color w:val="000000"/>
              </w:rPr>
            </w:pPr>
            <w:r>
              <w:rPr>
                <w:rFonts w:ascii="Calibri" w:hAnsi="Calibri"/>
                <w:color w:val="000000"/>
              </w:rPr>
              <w:t>$232,905</w:t>
            </w:r>
          </w:p>
        </w:tc>
      </w:tr>
      <w:tr w:rsidR="00314F27" w:rsidRPr="00FA6E9A" w14:paraId="577FA577" w14:textId="77777777" w:rsidTr="005F3DEB">
        <w:trPr>
          <w:trHeight w:val="300"/>
        </w:trPr>
        <w:tc>
          <w:tcPr>
            <w:tcW w:w="990" w:type="dxa"/>
            <w:shd w:val="clear" w:color="auto" w:fill="B4C6E7" w:themeFill="accent1" w:themeFillTint="66"/>
            <w:noWrap/>
            <w:hideMark/>
          </w:tcPr>
          <w:p w14:paraId="74FACD87" w14:textId="77777777"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min</w:t>
            </w:r>
          </w:p>
        </w:tc>
        <w:tc>
          <w:tcPr>
            <w:tcW w:w="1330" w:type="dxa"/>
            <w:shd w:val="clear" w:color="auto" w:fill="B4C6E7" w:themeFill="accent1" w:themeFillTint="66"/>
            <w:noWrap/>
            <w:vAlign w:val="bottom"/>
            <w:hideMark/>
          </w:tcPr>
          <w:p w14:paraId="54ABA256" w14:textId="77777777" w:rsidR="00314F27" w:rsidRDefault="00314F27" w:rsidP="005F3DEB">
            <w:pPr>
              <w:jc w:val="right"/>
              <w:rPr>
                <w:rFonts w:ascii="Calibri" w:hAnsi="Calibri"/>
                <w:color w:val="000000"/>
              </w:rPr>
            </w:pPr>
            <w:r>
              <w:rPr>
                <w:rFonts w:ascii="Calibri" w:hAnsi="Calibri"/>
                <w:color w:val="000000"/>
              </w:rPr>
              <w:t>-</w:t>
            </w:r>
            <w:r w:rsidR="004421FB">
              <w:rPr>
                <w:rFonts w:ascii="Calibri" w:hAnsi="Calibri"/>
                <w:color w:val="000000"/>
              </w:rPr>
              <w:t>$</w:t>
            </w:r>
            <w:r>
              <w:rPr>
                <w:rFonts w:ascii="Calibri" w:hAnsi="Calibri"/>
                <w:color w:val="000000"/>
              </w:rPr>
              <w:t>33</w:t>
            </w:r>
          </w:p>
        </w:tc>
      </w:tr>
      <w:tr w:rsidR="00314F27" w:rsidRPr="00FA6E9A" w14:paraId="353EBDF1" w14:textId="77777777" w:rsidTr="005F3DEB">
        <w:trPr>
          <w:trHeight w:val="300"/>
        </w:trPr>
        <w:tc>
          <w:tcPr>
            <w:tcW w:w="990" w:type="dxa"/>
            <w:shd w:val="clear" w:color="auto" w:fill="D9E2F3" w:themeFill="accent1" w:themeFillTint="33"/>
            <w:noWrap/>
            <w:hideMark/>
          </w:tcPr>
          <w:p w14:paraId="56FBB978" w14:textId="77777777" w:rsidR="00314F27" w:rsidRPr="00FA6E9A" w:rsidRDefault="00314F27" w:rsidP="005F3DEB">
            <w:pPr>
              <w:jc w:val="right"/>
              <w:rPr>
                <w:rFonts w:ascii="Calibri" w:eastAsia="Times New Roman" w:hAnsi="Calibri" w:cs="Times New Roman"/>
                <w:b/>
                <w:color w:val="000000"/>
              </w:rPr>
            </w:pPr>
            <w:r w:rsidRPr="00FA6E9A">
              <w:rPr>
                <w:rFonts w:ascii="Calibri" w:eastAsia="Times New Roman" w:hAnsi="Calibri" w:cs="Times New Roman"/>
                <w:b/>
                <w:color w:val="000000"/>
              </w:rPr>
              <w:t>25%</w:t>
            </w:r>
          </w:p>
        </w:tc>
        <w:tc>
          <w:tcPr>
            <w:tcW w:w="1330" w:type="dxa"/>
            <w:shd w:val="clear" w:color="auto" w:fill="D9E2F3" w:themeFill="accent1" w:themeFillTint="33"/>
            <w:noWrap/>
            <w:vAlign w:val="bottom"/>
            <w:hideMark/>
          </w:tcPr>
          <w:p w14:paraId="1207185F" w14:textId="77777777" w:rsidR="00314F27" w:rsidRDefault="004421FB" w:rsidP="005F3DEB">
            <w:pPr>
              <w:jc w:val="right"/>
              <w:rPr>
                <w:rFonts w:ascii="Calibri" w:hAnsi="Calibri"/>
                <w:color w:val="000000"/>
              </w:rPr>
            </w:pPr>
            <w:r>
              <w:rPr>
                <w:rFonts w:ascii="Calibri" w:hAnsi="Calibri"/>
                <w:color w:val="000000"/>
              </w:rPr>
              <w:t>$</w:t>
            </w:r>
            <w:r w:rsidR="00314F27">
              <w:rPr>
                <w:rFonts w:ascii="Calibri" w:hAnsi="Calibri"/>
                <w:color w:val="000000"/>
              </w:rPr>
              <w:t>16</w:t>
            </w:r>
          </w:p>
        </w:tc>
      </w:tr>
      <w:tr w:rsidR="00314F27" w:rsidRPr="00FA6E9A" w14:paraId="6B82F6F3" w14:textId="77777777" w:rsidTr="005F3DEB">
        <w:trPr>
          <w:trHeight w:val="300"/>
        </w:trPr>
        <w:tc>
          <w:tcPr>
            <w:tcW w:w="990" w:type="dxa"/>
            <w:shd w:val="clear" w:color="auto" w:fill="B4C6E7" w:themeFill="accent1" w:themeFillTint="66"/>
            <w:noWrap/>
            <w:hideMark/>
          </w:tcPr>
          <w:p w14:paraId="4309A0B1" w14:textId="77777777" w:rsidR="00314F27" w:rsidRPr="00FA6E9A" w:rsidRDefault="00314F27" w:rsidP="005F3DEB">
            <w:pPr>
              <w:jc w:val="right"/>
              <w:rPr>
                <w:rFonts w:ascii="Calibri" w:eastAsia="Times New Roman" w:hAnsi="Calibri" w:cs="Times New Roman"/>
                <w:b/>
                <w:color w:val="000000"/>
              </w:rPr>
            </w:pPr>
            <w:r w:rsidRPr="00FA6E9A">
              <w:rPr>
                <w:rFonts w:ascii="Calibri" w:eastAsia="Times New Roman" w:hAnsi="Calibri" w:cs="Times New Roman"/>
                <w:b/>
                <w:color w:val="000000"/>
              </w:rPr>
              <w:t>50%</w:t>
            </w:r>
          </w:p>
        </w:tc>
        <w:tc>
          <w:tcPr>
            <w:tcW w:w="1330" w:type="dxa"/>
            <w:shd w:val="clear" w:color="auto" w:fill="B4C6E7" w:themeFill="accent1" w:themeFillTint="66"/>
            <w:noWrap/>
            <w:vAlign w:val="bottom"/>
            <w:hideMark/>
          </w:tcPr>
          <w:p w14:paraId="63666D7B" w14:textId="77777777" w:rsidR="00314F27" w:rsidRDefault="004421FB" w:rsidP="005F3DEB">
            <w:pPr>
              <w:jc w:val="right"/>
              <w:rPr>
                <w:rFonts w:ascii="Calibri" w:hAnsi="Calibri"/>
                <w:color w:val="000000"/>
              </w:rPr>
            </w:pPr>
            <w:r>
              <w:rPr>
                <w:rFonts w:ascii="Calibri" w:hAnsi="Calibri"/>
                <w:color w:val="000000"/>
              </w:rPr>
              <w:t>$</w:t>
            </w:r>
            <w:r w:rsidR="00314F27">
              <w:rPr>
                <w:rFonts w:ascii="Calibri" w:hAnsi="Calibri"/>
                <w:color w:val="000000"/>
              </w:rPr>
              <w:t>90</w:t>
            </w:r>
          </w:p>
        </w:tc>
      </w:tr>
      <w:tr w:rsidR="00314F27" w:rsidRPr="00FA6E9A" w14:paraId="089FED36" w14:textId="77777777" w:rsidTr="005F3DEB">
        <w:trPr>
          <w:trHeight w:val="300"/>
        </w:trPr>
        <w:tc>
          <w:tcPr>
            <w:tcW w:w="990" w:type="dxa"/>
            <w:shd w:val="clear" w:color="auto" w:fill="D9E2F3" w:themeFill="accent1" w:themeFillTint="33"/>
            <w:noWrap/>
            <w:hideMark/>
          </w:tcPr>
          <w:p w14:paraId="1A48BE5E" w14:textId="77777777" w:rsidR="00314F27" w:rsidRPr="00FA6E9A" w:rsidRDefault="00314F27" w:rsidP="005F3DEB">
            <w:pPr>
              <w:jc w:val="right"/>
              <w:rPr>
                <w:rFonts w:ascii="Calibri" w:eastAsia="Times New Roman" w:hAnsi="Calibri" w:cs="Times New Roman"/>
                <w:b/>
                <w:color w:val="000000"/>
              </w:rPr>
            </w:pPr>
            <w:r w:rsidRPr="00FA6E9A">
              <w:rPr>
                <w:rFonts w:ascii="Calibri" w:eastAsia="Times New Roman" w:hAnsi="Calibri" w:cs="Times New Roman"/>
                <w:b/>
                <w:color w:val="000000"/>
              </w:rPr>
              <w:t>75%</w:t>
            </w:r>
          </w:p>
        </w:tc>
        <w:tc>
          <w:tcPr>
            <w:tcW w:w="1330" w:type="dxa"/>
            <w:shd w:val="clear" w:color="auto" w:fill="D9E2F3" w:themeFill="accent1" w:themeFillTint="33"/>
            <w:noWrap/>
            <w:vAlign w:val="bottom"/>
            <w:hideMark/>
          </w:tcPr>
          <w:p w14:paraId="73BBD9D0" w14:textId="77777777" w:rsidR="00314F27" w:rsidRDefault="004421FB" w:rsidP="005F3DEB">
            <w:pPr>
              <w:jc w:val="right"/>
              <w:rPr>
                <w:rFonts w:ascii="Calibri" w:hAnsi="Calibri"/>
                <w:color w:val="000000"/>
              </w:rPr>
            </w:pPr>
            <w:r>
              <w:rPr>
                <w:rFonts w:ascii="Calibri" w:hAnsi="Calibri"/>
                <w:color w:val="000000"/>
              </w:rPr>
              <w:t>$</w:t>
            </w:r>
            <w:r w:rsidR="00314F27">
              <w:rPr>
                <w:rFonts w:ascii="Calibri" w:hAnsi="Calibri"/>
                <w:color w:val="000000"/>
              </w:rPr>
              <w:t>404</w:t>
            </w:r>
          </w:p>
        </w:tc>
      </w:tr>
      <w:tr w:rsidR="00314F27" w:rsidRPr="00FA6E9A" w14:paraId="53316E70" w14:textId="77777777" w:rsidTr="005F3DEB">
        <w:trPr>
          <w:trHeight w:val="300"/>
        </w:trPr>
        <w:tc>
          <w:tcPr>
            <w:tcW w:w="990" w:type="dxa"/>
            <w:shd w:val="clear" w:color="auto" w:fill="B4C6E7" w:themeFill="accent1" w:themeFillTint="66"/>
            <w:noWrap/>
            <w:hideMark/>
          </w:tcPr>
          <w:p w14:paraId="7A5BF2C7" w14:textId="77777777" w:rsidR="00314F27" w:rsidRPr="00FA6E9A" w:rsidRDefault="00314F27" w:rsidP="005F3DEB">
            <w:pPr>
              <w:rPr>
                <w:rFonts w:ascii="Calibri" w:eastAsia="Times New Roman" w:hAnsi="Calibri" w:cs="Times New Roman"/>
                <w:b/>
                <w:color w:val="000000"/>
              </w:rPr>
            </w:pPr>
            <w:r w:rsidRPr="00FA6E9A">
              <w:rPr>
                <w:rFonts w:ascii="Calibri" w:eastAsia="Times New Roman" w:hAnsi="Calibri" w:cs="Times New Roman"/>
                <w:b/>
                <w:color w:val="000000"/>
              </w:rPr>
              <w:t>max</w:t>
            </w:r>
          </w:p>
        </w:tc>
        <w:tc>
          <w:tcPr>
            <w:tcW w:w="1330" w:type="dxa"/>
            <w:shd w:val="clear" w:color="auto" w:fill="B4C6E7" w:themeFill="accent1" w:themeFillTint="66"/>
            <w:noWrap/>
            <w:vAlign w:val="bottom"/>
            <w:hideMark/>
          </w:tcPr>
          <w:p w14:paraId="347DA50B" w14:textId="77777777" w:rsidR="00314F27" w:rsidRDefault="00314F27" w:rsidP="005F3DEB">
            <w:pPr>
              <w:jc w:val="right"/>
              <w:rPr>
                <w:rFonts w:ascii="Calibri" w:hAnsi="Calibri"/>
                <w:color w:val="000000"/>
              </w:rPr>
            </w:pPr>
            <w:r>
              <w:rPr>
                <w:rFonts w:ascii="Calibri" w:hAnsi="Calibri"/>
                <w:color w:val="000000"/>
              </w:rPr>
              <w:t>$27,378,658</w:t>
            </w:r>
          </w:p>
        </w:tc>
      </w:tr>
    </w:tbl>
    <w:p w14:paraId="2A66978E" w14:textId="77777777" w:rsidR="00221881" w:rsidRDefault="00221881" w:rsidP="003748A0">
      <w:pPr>
        <w:spacing w:after="0" w:line="276" w:lineRule="auto"/>
        <w:rPr>
          <w:sz w:val="28"/>
        </w:rPr>
      </w:pPr>
    </w:p>
    <w:p w14:paraId="3CD0E666" w14:textId="77777777" w:rsidR="003748A0" w:rsidRDefault="003748A0" w:rsidP="003748A0">
      <w:pPr>
        <w:spacing w:after="0" w:line="276" w:lineRule="auto"/>
        <w:rPr>
          <w:sz w:val="28"/>
        </w:rPr>
      </w:pPr>
      <w:r>
        <w:rPr>
          <w:sz w:val="28"/>
        </w:rPr>
        <w:t>Data Dictionary</w:t>
      </w:r>
    </w:p>
    <w:p w14:paraId="3523994B" w14:textId="77777777" w:rsidR="003748A0" w:rsidRDefault="003748A0" w:rsidP="003748A0">
      <w:pPr>
        <w:spacing w:after="0" w:line="276" w:lineRule="auto"/>
      </w:pPr>
      <w:r w:rsidRPr="003748A0">
        <w:rPr>
          <w:b/>
        </w:rPr>
        <w:t xml:space="preserve">Award </w:t>
      </w:r>
      <w:r>
        <w:t>– The total contract amount award for the given contract. The number is provided in US Dollars.</w:t>
      </w:r>
    </w:p>
    <w:p w14:paraId="31BC9B9A" w14:textId="77777777" w:rsidR="003748A0" w:rsidRDefault="003748A0" w:rsidP="003748A0">
      <w:pPr>
        <w:spacing w:after="0" w:line="276" w:lineRule="auto"/>
      </w:pPr>
    </w:p>
    <w:p w14:paraId="2BAA361E" w14:textId="77777777" w:rsidR="003748A0" w:rsidRDefault="003748A0" w:rsidP="003748A0">
      <w:pPr>
        <w:spacing w:after="0" w:line="276" w:lineRule="auto"/>
      </w:pPr>
      <w:r w:rsidRPr="003748A0">
        <w:rPr>
          <w:b/>
        </w:rPr>
        <w:t>Fiscal Year</w:t>
      </w:r>
      <w:r>
        <w:t xml:space="preserve">- </w:t>
      </w:r>
      <w:r w:rsidRPr="003748A0">
        <w:t>The US Federal Government Fiscal Year encompasses October 1st through September 30th. E.g., Fiscal Year ’19 is from October 1st, 2018 through September 30, 2019.</w:t>
      </w:r>
      <w:r w:rsidR="00221881">
        <w:t xml:space="preserve"> Possible values are 2005-2019, inclusive. </w:t>
      </w:r>
    </w:p>
    <w:p w14:paraId="3BEAE834" w14:textId="77777777" w:rsidR="003748A0" w:rsidRDefault="003748A0" w:rsidP="003748A0">
      <w:pPr>
        <w:spacing w:after="0" w:line="276" w:lineRule="auto"/>
      </w:pPr>
    </w:p>
    <w:p w14:paraId="3DDADB6C" w14:textId="77777777" w:rsidR="003748A0" w:rsidRDefault="003748A0" w:rsidP="003748A0">
      <w:pPr>
        <w:spacing w:after="0" w:line="276" w:lineRule="auto"/>
      </w:pPr>
      <w:r w:rsidRPr="003748A0">
        <w:rPr>
          <w:b/>
        </w:rPr>
        <w:t>Contractor-</w:t>
      </w:r>
      <w:r>
        <w:rPr>
          <w:b/>
        </w:rPr>
        <w:t xml:space="preserve"> </w:t>
      </w:r>
      <w:r>
        <w:t xml:space="preserve">The name of the business awarded the contract, with the city and state in brackets at the end. </w:t>
      </w:r>
    </w:p>
    <w:p w14:paraId="1020917C" w14:textId="77777777" w:rsidR="003748A0" w:rsidRDefault="003748A0" w:rsidP="003748A0">
      <w:pPr>
        <w:spacing w:after="0" w:line="276" w:lineRule="auto"/>
      </w:pPr>
    </w:p>
    <w:p w14:paraId="4C79EDF4" w14:textId="77777777" w:rsidR="00221881" w:rsidRDefault="003748A0" w:rsidP="00221881">
      <w:pPr>
        <w:spacing w:after="0" w:line="276" w:lineRule="auto"/>
      </w:pPr>
      <w:r w:rsidRPr="003748A0">
        <w:rPr>
          <w:b/>
        </w:rPr>
        <w:t>N</w:t>
      </w:r>
      <w:r>
        <w:rPr>
          <w:b/>
        </w:rPr>
        <w:t>ASA</w:t>
      </w:r>
      <w:r w:rsidRPr="003748A0">
        <w:rPr>
          <w:b/>
        </w:rPr>
        <w:t xml:space="preserve"> Center- </w:t>
      </w:r>
      <w:r>
        <w:t>The NASA location that is associated with the contract award</w:t>
      </w:r>
      <w:r w:rsidR="00221881">
        <w:t xml:space="preserve">. </w:t>
      </w:r>
    </w:p>
    <w:p w14:paraId="7CAA9469" w14:textId="77777777" w:rsidR="00221881" w:rsidRDefault="00221881" w:rsidP="00221881">
      <w:pPr>
        <w:spacing w:after="0" w:line="276" w:lineRule="auto"/>
      </w:pPr>
      <w:r>
        <w:t>Possible Values:</w:t>
      </w:r>
    </w:p>
    <w:p w14:paraId="370C7A21" w14:textId="77777777" w:rsidR="00221881" w:rsidRDefault="00221881" w:rsidP="00221881">
      <w:pPr>
        <w:spacing w:after="0" w:line="276" w:lineRule="auto"/>
      </w:pPr>
      <w:r>
        <w:t>'KSC - Kennedy Space Flight Center',</w:t>
      </w:r>
    </w:p>
    <w:p w14:paraId="74B612BC" w14:textId="77777777" w:rsidR="00221881" w:rsidRDefault="00221881" w:rsidP="00221881">
      <w:pPr>
        <w:spacing w:after="0" w:line="276" w:lineRule="auto"/>
      </w:pPr>
      <w:r>
        <w:t>'AFRC - Armstrong Flight Research Center',</w:t>
      </w:r>
    </w:p>
    <w:p w14:paraId="07F9B2D5" w14:textId="77777777" w:rsidR="004421FB" w:rsidRDefault="00221881" w:rsidP="00221881">
      <w:pPr>
        <w:spacing w:after="0" w:line="276" w:lineRule="auto"/>
      </w:pPr>
      <w:r>
        <w:t>'</w:t>
      </w:r>
      <w:proofErr w:type="spellStart"/>
      <w:r>
        <w:t>LaRC</w:t>
      </w:r>
      <w:proofErr w:type="spellEnd"/>
      <w:r>
        <w:t xml:space="preserve"> - Langley Research Center', </w:t>
      </w:r>
    </w:p>
    <w:p w14:paraId="114E44A9" w14:textId="77777777" w:rsidR="00221881" w:rsidRDefault="00221881" w:rsidP="00221881">
      <w:pPr>
        <w:spacing w:after="0" w:line="276" w:lineRule="auto"/>
      </w:pPr>
      <w:r>
        <w:t>'GRC - Glenn Research Center',</w:t>
      </w:r>
    </w:p>
    <w:p w14:paraId="02ACD27A" w14:textId="77777777" w:rsidR="00221881" w:rsidRDefault="00221881" w:rsidP="00221881">
      <w:pPr>
        <w:spacing w:after="0" w:line="276" w:lineRule="auto"/>
      </w:pPr>
      <w:r>
        <w:t>'GSFC - Goddard Space Flight Center',</w:t>
      </w:r>
    </w:p>
    <w:p w14:paraId="3B1345F2" w14:textId="77777777" w:rsidR="00221881" w:rsidRDefault="00221881" w:rsidP="00221881">
      <w:pPr>
        <w:spacing w:after="0" w:line="276" w:lineRule="auto"/>
      </w:pPr>
      <w:r>
        <w:t>'JSC - Johnson Space Flight Center',</w:t>
      </w:r>
    </w:p>
    <w:p w14:paraId="6D6F3486" w14:textId="77777777" w:rsidR="00221881" w:rsidRDefault="00221881" w:rsidP="00221881">
      <w:pPr>
        <w:spacing w:after="0" w:line="276" w:lineRule="auto"/>
      </w:pPr>
      <w:r>
        <w:t>'MSFC - Marshall Space Flight Center',</w:t>
      </w:r>
    </w:p>
    <w:p w14:paraId="5E3EE0D4" w14:textId="77777777" w:rsidR="00221881" w:rsidRDefault="00221881" w:rsidP="00221881">
      <w:pPr>
        <w:spacing w:after="0" w:line="276" w:lineRule="auto"/>
      </w:pPr>
      <w:r>
        <w:t>'ARC - Ames Research Center', 'SSC - Stennis Space Center',</w:t>
      </w:r>
    </w:p>
    <w:p w14:paraId="2D441170" w14:textId="77777777" w:rsidR="00221881" w:rsidRDefault="00221881" w:rsidP="00221881">
      <w:pPr>
        <w:spacing w:after="0" w:line="276" w:lineRule="auto"/>
      </w:pPr>
      <w:r>
        <w:t>'HQ - Headquarters Acquisition Division',</w:t>
      </w:r>
    </w:p>
    <w:p w14:paraId="275DC929" w14:textId="77777777" w:rsidR="00221881" w:rsidRDefault="00221881" w:rsidP="00221881">
      <w:pPr>
        <w:spacing w:after="0" w:line="276" w:lineRule="auto"/>
      </w:pPr>
      <w:r>
        <w:t>'NSSC - NASA Shared Services Center',</w:t>
      </w:r>
    </w:p>
    <w:p w14:paraId="53FAEAB5" w14:textId="77777777" w:rsidR="00221881" w:rsidRDefault="00221881" w:rsidP="00221881">
      <w:pPr>
        <w:spacing w:after="0" w:line="276" w:lineRule="auto"/>
      </w:pPr>
      <w:r>
        <w:t xml:space="preserve">'NMO - NASA </w:t>
      </w:r>
      <w:proofErr w:type="spellStart"/>
      <w:r>
        <w:t>Mgmt</w:t>
      </w:r>
      <w:proofErr w:type="spellEnd"/>
      <w:r>
        <w:t xml:space="preserve"> Office at JPL',</w:t>
      </w:r>
    </w:p>
    <w:p w14:paraId="5C0B002A" w14:textId="77777777" w:rsidR="003748A0" w:rsidRDefault="00221881" w:rsidP="00221881">
      <w:pPr>
        <w:spacing w:after="0" w:line="276" w:lineRule="auto"/>
      </w:pPr>
      <w:r>
        <w:t>'APL - NASA Management Office at APL'</w:t>
      </w:r>
    </w:p>
    <w:p w14:paraId="2D122001" w14:textId="77777777" w:rsidR="003748A0" w:rsidRPr="003748A0" w:rsidRDefault="003748A0" w:rsidP="003748A0">
      <w:pPr>
        <w:spacing w:after="0" w:line="276" w:lineRule="auto"/>
        <w:rPr>
          <w:b/>
        </w:rPr>
      </w:pPr>
    </w:p>
    <w:p w14:paraId="2B628A8D" w14:textId="77777777" w:rsidR="003748A0" w:rsidRDefault="003748A0" w:rsidP="003748A0">
      <w:pPr>
        <w:spacing w:after="0" w:line="276" w:lineRule="auto"/>
      </w:pPr>
      <w:r w:rsidRPr="003748A0">
        <w:rPr>
          <w:b/>
        </w:rPr>
        <w:t>State</w:t>
      </w:r>
      <w:r>
        <w:t xml:space="preserve">- The state in which the contractor’s business address is located. There are 56 possible states because this includes US Territories like Puerto Rico and Guam. </w:t>
      </w:r>
    </w:p>
    <w:p w14:paraId="7E6A01EF" w14:textId="77777777" w:rsidR="003748A0" w:rsidRDefault="003748A0" w:rsidP="003748A0">
      <w:pPr>
        <w:spacing w:after="0" w:line="276" w:lineRule="auto"/>
      </w:pPr>
    </w:p>
    <w:p w14:paraId="43D92F4D" w14:textId="77777777" w:rsidR="0081334C" w:rsidRPr="00221881" w:rsidRDefault="003748A0" w:rsidP="00221881">
      <w:pPr>
        <w:spacing w:after="0" w:line="276" w:lineRule="auto"/>
      </w:pPr>
      <w:r w:rsidRPr="003748A0">
        <w:rPr>
          <w:b/>
        </w:rPr>
        <w:lastRenderedPageBreak/>
        <w:t>State-District</w:t>
      </w:r>
      <w:r>
        <w:t xml:space="preserve">- The state plus the congressional district in which the contractor’s business address is located. </w:t>
      </w:r>
      <w:r>
        <w:rPr>
          <w:rFonts w:ascii="Helvetica" w:eastAsia="Times New Roman" w:hAnsi="Helvetica" w:cs="Helvetica"/>
          <w:color w:val="2D3B45"/>
          <w:sz w:val="24"/>
          <w:szCs w:val="24"/>
        </w:rPr>
        <w:t xml:space="preserve"> </w:t>
      </w:r>
    </w:p>
    <w:sectPr w:rsidR="0081334C" w:rsidRPr="00221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9EABB" w14:textId="77777777" w:rsidR="00312D86" w:rsidRDefault="00312D86" w:rsidP="004E56A2">
      <w:pPr>
        <w:spacing w:after="0" w:line="240" w:lineRule="auto"/>
      </w:pPr>
      <w:r>
        <w:separator/>
      </w:r>
    </w:p>
  </w:endnote>
  <w:endnote w:type="continuationSeparator" w:id="0">
    <w:p w14:paraId="66A91240" w14:textId="77777777" w:rsidR="00312D86" w:rsidRDefault="00312D86" w:rsidP="004E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51DD8" w14:textId="77777777" w:rsidR="00312D86" w:rsidRDefault="00312D86" w:rsidP="004E56A2">
      <w:pPr>
        <w:spacing w:after="0" w:line="240" w:lineRule="auto"/>
      </w:pPr>
      <w:r>
        <w:separator/>
      </w:r>
    </w:p>
  </w:footnote>
  <w:footnote w:type="continuationSeparator" w:id="0">
    <w:p w14:paraId="1A184F34" w14:textId="77777777" w:rsidR="00312D86" w:rsidRDefault="00312D86" w:rsidP="004E56A2">
      <w:pPr>
        <w:spacing w:after="0" w:line="240" w:lineRule="auto"/>
      </w:pPr>
      <w:r>
        <w:continuationSeparator/>
      </w:r>
    </w:p>
  </w:footnote>
  <w:footnote w:id="1">
    <w:p w14:paraId="15F964D6" w14:textId="77777777" w:rsidR="007429DB" w:rsidRDefault="007429DB">
      <w:pPr>
        <w:pStyle w:val="FootnoteText"/>
      </w:pPr>
      <w:r>
        <w:rPr>
          <w:rStyle w:val="FootnoteReference"/>
        </w:rPr>
        <w:footnoteRef/>
      </w:r>
      <w:r>
        <w:t xml:space="preserve"> </w:t>
      </w:r>
      <w:hyperlink r:id="rId1" w:history="1">
        <w:r w:rsidR="008E11BD" w:rsidRPr="008E11BD">
          <w:rPr>
            <w:rStyle w:val="Hyperlink"/>
          </w:rPr>
          <w:t>https://prod.nais.nasa.gov/cgibin/npdv/adhoc</w:t>
        </w:r>
        <w:r w:rsidRPr="008E11BD">
          <w:rPr>
            <w:rStyle w:val="Hyperlink"/>
          </w:rPr>
          <w:t>.cgi</w:t>
        </w:r>
      </w:hyperlink>
      <w:r w:rsidR="008E11BD" w:rsidRPr="008E11BD">
        <w:t xml:space="preserve">; </w:t>
      </w:r>
      <w:r w:rsidR="008E11BD" w:rsidRPr="008E11BD">
        <w:rPr>
          <w:color w:val="333333"/>
          <w:shd w:val="clear" w:color="auto" w:fill="FFFFFF"/>
        </w:rPr>
        <w:t>The </w:t>
      </w:r>
      <w:hyperlink r:id="rId2" w:anchor="c-ensure-information-stewardship-through-the-use-of-open-licenses" w:history="1">
        <w:r w:rsidR="008E11BD" w:rsidRPr="008E337B">
          <w:rPr>
            <w:rStyle w:val="Hyperlink"/>
            <w:shd w:val="clear" w:color="auto" w:fill="FFFFFF"/>
          </w:rPr>
          <w:t>Federal Open Data Policy </w:t>
        </w:r>
      </w:hyperlink>
      <w:r w:rsidR="008E11BD" w:rsidRPr="008E11BD">
        <w:rPr>
          <w:color w:val="333333"/>
          <w:shd w:val="clear" w:color="auto" w:fill="FFFFFF"/>
        </w:rPr>
        <w:t>states: </w:t>
      </w:r>
      <w:r w:rsidR="008E11BD" w:rsidRPr="008E11BD">
        <w:rPr>
          <w:rStyle w:val="Emphasis"/>
          <w:color w:val="333333"/>
          <w:shd w:val="clear" w:color="auto" w:fill="FFFFFF"/>
        </w:rPr>
        <w:t>“Agencies must apply open licenses, in consultation with the best practices found in Project Open Data, to information as it is collected or created so that if data are made public there are no restrictions on copying, publishing, distributing, transmitting, adapting, or otherwise using the information for non-commercial or for commercial purposes.”</w:t>
      </w:r>
    </w:p>
  </w:footnote>
  <w:footnote w:id="2">
    <w:p w14:paraId="1B9E1BEB" w14:textId="77777777" w:rsidR="008E11BD" w:rsidRDefault="008E11BD">
      <w:pPr>
        <w:pStyle w:val="FootnoteText"/>
      </w:pPr>
      <w:r>
        <w:rPr>
          <w:rStyle w:val="FootnoteReference"/>
        </w:rPr>
        <w:footnoteRef/>
      </w:r>
      <w:r>
        <w:t xml:space="preserve"> </w:t>
      </w:r>
      <w:hyperlink r:id="rId3" w:history="1">
        <w:r>
          <w:rPr>
            <w:rStyle w:val="Hyperlink"/>
          </w:rPr>
          <w:t>https://project-open-data.cio.gov/open-licenses/</w:t>
        </w:r>
      </w:hyperlink>
    </w:p>
  </w:footnote>
  <w:footnote w:id="3">
    <w:p w14:paraId="1BA1C65D" w14:textId="77777777" w:rsidR="00F204A0" w:rsidRDefault="00F204A0">
      <w:pPr>
        <w:pStyle w:val="FootnoteText"/>
      </w:pPr>
      <w:r>
        <w:rPr>
          <w:rStyle w:val="FootnoteReference"/>
        </w:rPr>
        <w:footnoteRef/>
      </w:r>
      <w:r>
        <w:t xml:space="preserve"> The </w:t>
      </w:r>
      <w:hyperlink r:id="rId4" w:history="1">
        <w:r w:rsidRPr="00F204A0">
          <w:rPr>
            <w:rStyle w:val="Hyperlink"/>
          </w:rPr>
          <w:t>OPEN Government Data Act</w:t>
        </w:r>
      </w:hyperlink>
      <w:r>
        <w:t xml:space="preserve">, passed in January 2019 should help reduce the amount of human error due to automation and machine-readability requirements from the Act. This won’t affect these data sets, but future fiscal years might be affected.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43A"/>
    <w:multiLevelType w:val="multilevel"/>
    <w:tmpl w:val="0B0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A2"/>
    <w:rsid w:val="00013B64"/>
    <w:rsid w:val="00037926"/>
    <w:rsid w:val="001137A7"/>
    <w:rsid w:val="00221881"/>
    <w:rsid w:val="002805B1"/>
    <w:rsid w:val="002E6F84"/>
    <w:rsid w:val="00312D86"/>
    <w:rsid w:val="00314F27"/>
    <w:rsid w:val="00347E55"/>
    <w:rsid w:val="003748A0"/>
    <w:rsid w:val="003A59A3"/>
    <w:rsid w:val="003D7A59"/>
    <w:rsid w:val="004421FB"/>
    <w:rsid w:val="004C2A11"/>
    <w:rsid w:val="004E56A2"/>
    <w:rsid w:val="0054266F"/>
    <w:rsid w:val="00545B9D"/>
    <w:rsid w:val="0062224B"/>
    <w:rsid w:val="00644657"/>
    <w:rsid w:val="006C19CB"/>
    <w:rsid w:val="007163F0"/>
    <w:rsid w:val="007334DF"/>
    <w:rsid w:val="007429DB"/>
    <w:rsid w:val="007708D8"/>
    <w:rsid w:val="0081334C"/>
    <w:rsid w:val="008E11BD"/>
    <w:rsid w:val="008E337B"/>
    <w:rsid w:val="008F7330"/>
    <w:rsid w:val="009351F8"/>
    <w:rsid w:val="00954B86"/>
    <w:rsid w:val="00B423D4"/>
    <w:rsid w:val="00B521F5"/>
    <w:rsid w:val="00BA70A9"/>
    <w:rsid w:val="00BC58E8"/>
    <w:rsid w:val="00C53AEB"/>
    <w:rsid w:val="00CE1C30"/>
    <w:rsid w:val="00DF156E"/>
    <w:rsid w:val="00DF7467"/>
    <w:rsid w:val="00E116D5"/>
    <w:rsid w:val="00F204A0"/>
    <w:rsid w:val="00F275EA"/>
    <w:rsid w:val="00F55E45"/>
    <w:rsid w:val="00F709FF"/>
    <w:rsid w:val="00FA6E9A"/>
    <w:rsid w:val="00FE39EB"/>
    <w:rsid w:val="00FF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B6B3"/>
  <w15:chartTrackingRefBased/>
  <w15:docId w15:val="{340D98C1-D091-40F3-AB14-8C3F2E93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6A2"/>
  </w:style>
  <w:style w:type="paragraph" w:styleId="Footer">
    <w:name w:val="footer"/>
    <w:basedOn w:val="Normal"/>
    <w:link w:val="FooterChar"/>
    <w:uiPriority w:val="99"/>
    <w:unhideWhenUsed/>
    <w:rsid w:val="004E5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6A2"/>
  </w:style>
  <w:style w:type="paragraph" w:styleId="NormalWeb">
    <w:name w:val="Normal (Web)"/>
    <w:basedOn w:val="Normal"/>
    <w:uiPriority w:val="99"/>
    <w:semiHidden/>
    <w:unhideWhenUsed/>
    <w:rsid w:val="004E5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6A2"/>
    <w:rPr>
      <w:b/>
      <w:bCs/>
    </w:rPr>
  </w:style>
  <w:style w:type="character" w:styleId="Hyperlink">
    <w:name w:val="Hyperlink"/>
    <w:basedOn w:val="DefaultParagraphFont"/>
    <w:uiPriority w:val="99"/>
    <w:unhideWhenUsed/>
    <w:rsid w:val="007429DB"/>
    <w:rPr>
      <w:color w:val="0000FF"/>
      <w:u w:val="single"/>
    </w:rPr>
  </w:style>
  <w:style w:type="paragraph" w:styleId="FootnoteText">
    <w:name w:val="footnote text"/>
    <w:basedOn w:val="Normal"/>
    <w:link w:val="FootnoteTextChar"/>
    <w:uiPriority w:val="99"/>
    <w:semiHidden/>
    <w:unhideWhenUsed/>
    <w:rsid w:val="00742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DB"/>
    <w:rPr>
      <w:sz w:val="20"/>
      <w:szCs w:val="20"/>
    </w:rPr>
  </w:style>
  <w:style w:type="character" w:styleId="FootnoteReference">
    <w:name w:val="footnote reference"/>
    <w:basedOn w:val="DefaultParagraphFont"/>
    <w:uiPriority w:val="99"/>
    <w:semiHidden/>
    <w:unhideWhenUsed/>
    <w:rsid w:val="007429DB"/>
    <w:rPr>
      <w:vertAlign w:val="superscript"/>
    </w:rPr>
  </w:style>
  <w:style w:type="paragraph" w:styleId="ListParagraph">
    <w:name w:val="List Paragraph"/>
    <w:basedOn w:val="Normal"/>
    <w:uiPriority w:val="34"/>
    <w:qFormat/>
    <w:rsid w:val="006C19CB"/>
    <w:pPr>
      <w:ind w:left="720"/>
      <w:contextualSpacing/>
    </w:pPr>
  </w:style>
  <w:style w:type="character" w:styleId="UnresolvedMention">
    <w:name w:val="Unresolved Mention"/>
    <w:basedOn w:val="DefaultParagraphFont"/>
    <w:uiPriority w:val="99"/>
    <w:semiHidden/>
    <w:unhideWhenUsed/>
    <w:rsid w:val="008E11BD"/>
    <w:rPr>
      <w:color w:val="605E5C"/>
      <w:shd w:val="clear" w:color="auto" w:fill="E1DFDD"/>
    </w:rPr>
  </w:style>
  <w:style w:type="character" w:styleId="Emphasis">
    <w:name w:val="Emphasis"/>
    <w:basedOn w:val="DefaultParagraphFont"/>
    <w:uiPriority w:val="20"/>
    <w:qFormat/>
    <w:rsid w:val="008E11BD"/>
    <w:rPr>
      <w:i/>
      <w:iCs/>
    </w:rPr>
  </w:style>
  <w:style w:type="table" w:styleId="TableGrid">
    <w:name w:val="Table Grid"/>
    <w:basedOn w:val="TableNormal"/>
    <w:uiPriority w:val="39"/>
    <w:rsid w:val="0034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4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4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5371">
      <w:bodyDiv w:val="1"/>
      <w:marLeft w:val="0"/>
      <w:marRight w:val="0"/>
      <w:marTop w:val="0"/>
      <w:marBottom w:val="0"/>
      <w:divBdr>
        <w:top w:val="none" w:sz="0" w:space="0" w:color="auto"/>
        <w:left w:val="none" w:sz="0" w:space="0" w:color="auto"/>
        <w:bottom w:val="none" w:sz="0" w:space="0" w:color="auto"/>
        <w:right w:val="none" w:sz="0" w:space="0" w:color="auto"/>
      </w:divBdr>
    </w:div>
    <w:div w:id="917863068">
      <w:bodyDiv w:val="1"/>
      <w:marLeft w:val="0"/>
      <w:marRight w:val="0"/>
      <w:marTop w:val="0"/>
      <w:marBottom w:val="0"/>
      <w:divBdr>
        <w:top w:val="none" w:sz="0" w:space="0" w:color="auto"/>
        <w:left w:val="none" w:sz="0" w:space="0" w:color="auto"/>
        <w:bottom w:val="none" w:sz="0" w:space="0" w:color="auto"/>
        <w:right w:val="none" w:sz="0" w:space="0" w:color="auto"/>
      </w:divBdr>
    </w:div>
    <w:div w:id="923992607">
      <w:bodyDiv w:val="1"/>
      <w:marLeft w:val="0"/>
      <w:marRight w:val="0"/>
      <w:marTop w:val="0"/>
      <w:marBottom w:val="0"/>
      <w:divBdr>
        <w:top w:val="none" w:sz="0" w:space="0" w:color="auto"/>
        <w:left w:val="none" w:sz="0" w:space="0" w:color="auto"/>
        <w:bottom w:val="none" w:sz="0" w:space="0" w:color="auto"/>
        <w:right w:val="none" w:sz="0" w:space="0" w:color="auto"/>
      </w:divBdr>
    </w:div>
    <w:div w:id="1005018969">
      <w:bodyDiv w:val="1"/>
      <w:marLeft w:val="0"/>
      <w:marRight w:val="0"/>
      <w:marTop w:val="0"/>
      <w:marBottom w:val="0"/>
      <w:divBdr>
        <w:top w:val="none" w:sz="0" w:space="0" w:color="auto"/>
        <w:left w:val="none" w:sz="0" w:space="0" w:color="auto"/>
        <w:bottom w:val="none" w:sz="0" w:space="0" w:color="auto"/>
        <w:right w:val="none" w:sz="0" w:space="0" w:color="auto"/>
      </w:divBdr>
    </w:div>
    <w:div w:id="1071805226">
      <w:bodyDiv w:val="1"/>
      <w:marLeft w:val="0"/>
      <w:marRight w:val="0"/>
      <w:marTop w:val="0"/>
      <w:marBottom w:val="0"/>
      <w:divBdr>
        <w:top w:val="none" w:sz="0" w:space="0" w:color="auto"/>
        <w:left w:val="none" w:sz="0" w:space="0" w:color="auto"/>
        <w:bottom w:val="none" w:sz="0" w:space="0" w:color="auto"/>
        <w:right w:val="none" w:sz="0" w:space="0" w:color="auto"/>
      </w:divBdr>
    </w:div>
    <w:div w:id="1162699293">
      <w:bodyDiv w:val="1"/>
      <w:marLeft w:val="0"/>
      <w:marRight w:val="0"/>
      <w:marTop w:val="0"/>
      <w:marBottom w:val="0"/>
      <w:divBdr>
        <w:top w:val="none" w:sz="0" w:space="0" w:color="auto"/>
        <w:left w:val="none" w:sz="0" w:space="0" w:color="auto"/>
        <w:bottom w:val="none" w:sz="0" w:space="0" w:color="auto"/>
        <w:right w:val="none" w:sz="0" w:space="0" w:color="auto"/>
      </w:divBdr>
    </w:div>
    <w:div w:id="1230261485">
      <w:bodyDiv w:val="1"/>
      <w:marLeft w:val="0"/>
      <w:marRight w:val="0"/>
      <w:marTop w:val="0"/>
      <w:marBottom w:val="0"/>
      <w:divBdr>
        <w:top w:val="none" w:sz="0" w:space="0" w:color="auto"/>
        <w:left w:val="none" w:sz="0" w:space="0" w:color="auto"/>
        <w:bottom w:val="none" w:sz="0" w:space="0" w:color="auto"/>
        <w:right w:val="none" w:sz="0" w:space="0" w:color="auto"/>
      </w:divBdr>
    </w:div>
    <w:div w:id="1230457836">
      <w:bodyDiv w:val="1"/>
      <w:marLeft w:val="0"/>
      <w:marRight w:val="0"/>
      <w:marTop w:val="0"/>
      <w:marBottom w:val="0"/>
      <w:divBdr>
        <w:top w:val="none" w:sz="0" w:space="0" w:color="auto"/>
        <w:left w:val="none" w:sz="0" w:space="0" w:color="auto"/>
        <w:bottom w:val="none" w:sz="0" w:space="0" w:color="auto"/>
        <w:right w:val="none" w:sz="0" w:space="0" w:color="auto"/>
      </w:divBdr>
    </w:div>
    <w:div w:id="1372683034">
      <w:bodyDiv w:val="1"/>
      <w:marLeft w:val="0"/>
      <w:marRight w:val="0"/>
      <w:marTop w:val="0"/>
      <w:marBottom w:val="0"/>
      <w:divBdr>
        <w:top w:val="none" w:sz="0" w:space="0" w:color="auto"/>
        <w:left w:val="none" w:sz="0" w:space="0" w:color="auto"/>
        <w:bottom w:val="none" w:sz="0" w:space="0" w:color="auto"/>
        <w:right w:val="none" w:sz="0" w:space="0" w:color="auto"/>
      </w:divBdr>
    </w:div>
    <w:div w:id="1422531819">
      <w:bodyDiv w:val="1"/>
      <w:marLeft w:val="0"/>
      <w:marRight w:val="0"/>
      <w:marTop w:val="0"/>
      <w:marBottom w:val="0"/>
      <w:divBdr>
        <w:top w:val="none" w:sz="0" w:space="0" w:color="auto"/>
        <w:left w:val="none" w:sz="0" w:space="0" w:color="auto"/>
        <w:bottom w:val="none" w:sz="0" w:space="0" w:color="auto"/>
        <w:right w:val="none" w:sz="0" w:space="0" w:color="auto"/>
      </w:divBdr>
    </w:div>
    <w:div w:id="1943416909">
      <w:bodyDiv w:val="1"/>
      <w:marLeft w:val="0"/>
      <w:marRight w:val="0"/>
      <w:marTop w:val="0"/>
      <w:marBottom w:val="0"/>
      <w:divBdr>
        <w:top w:val="none" w:sz="0" w:space="0" w:color="auto"/>
        <w:left w:val="none" w:sz="0" w:space="0" w:color="auto"/>
        <w:bottom w:val="none" w:sz="0" w:space="0" w:color="auto"/>
        <w:right w:val="none" w:sz="0" w:space="0" w:color="auto"/>
      </w:divBdr>
    </w:div>
    <w:div w:id="19893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project-open-data.cio.gov/open-licenses/" TargetMode="External"/><Relationship Id="rId2" Type="http://schemas.openxmlformats.org/officeDocument/2006/relationships/hyperlink" Target="https://project-open-data.cio.gov/policy-memo/" TargetMode="External"/><Relationship Id="rId1" Type="http://schemas.openxmlformats.org/officeDocument/2006/relationships/hyperlink" Target="https://prod.nais.nasa.gov/cgibin/npdv/adhoc.cgi" TargetMode="External"/><Relationship Id="rId4" Type="http://schemas.openxmlformats.org/officeDocument/2006/relationships/hyperlink" Target="https://www.datacoalition.org/policy-issues/open-data/open-government-data-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DCB33-6F8E-4FA3-AF55-877CB3BB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Hummel-Price</dc:creator>
  <cp:keywords/>
  <dc:description/>
  <cp:lastModifiedBy>Doug Hummel-Price</cp:lastModifiedBy>
  <cp:revision>2</cp:revision>
  <dcterms:created xsi:type="dcterms:W3CDTF">2019-11-19T00:03:00Z</dcterms:created>
  <dcterms:modified xsi:type="dcterms:W3CDTF">2019-11-19T00:03:00Z</dcterms:modified>
</cp:coreProperties>
</file>