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C5F" w:rsidRDefault="002F3B6D" w:rsidP="0000697C">
      <w:pPr>
        <w:pStyle w:val="Ttulo1"/>
        <w:spacing w:line="360" w:lineRule="auto"/>
        <w:jc w:val="center"/>
      </w:pPr>
      <w:r>
        <w:t>Tablero de procedimientos de adquisiciones</w:t>
      </w:r>
    </w:p>
    <w:p w:rsidR="002F3B6D" w:rsidRDefault="0000697C" w:rsidP="00EF61D9">
      <w:pPr>
        <w:spacing w:line="360" w:lineRule="auto"/>
        <w:jc w:val="both"/>
      </w:pPr>
      <w:r>
        <w:t>¿Có</w:t>
      </w:r>
      <w:r w:rsidR="00155106">
        <w:t>mo acceder al tablero</w:t>
      </w:r>
      <w:r>
        <w:t>?</w:t>
      </w:r>
    </w:p>
    <w:p w:rsidR="0000697C" w:rsidRDefault="0000697C" w:rsidP="00EF61D9">
      <w:pPr>
        <w:spacing w:line="360" w:lineRule="auto"/>
        <w:jc w:val="both"/>
      </w:pPr>
      <w:r>
        <w:t>El tablero se envía semanalmente en forma de archivo adjunto con una extensión html. Para su visualización, es necesario descargar el archivo y abrirlo usando el navegador de internet de su preferencia, aunque no es necesario estar conectado a internet.</w:t>
      </w:r>
    </w:p>
    <w:p w:rsidR="0000697C" w:rsidRDefault="00AC33F4" w:rsidP="0000697C">
      <w:pPr>
        <w:spacing w:line="360" w:lineRule="auto"/>
      </w:pPr>
      <w:r>
        <w:rPr>
          <w:noProof/>
          <w:lang w:eastAsia="es-AR"/>
        </w:rPr>
        <w:drawing>
          <wp:inline distT="0" distB="0" distL="0" distR="0" wp14:anchorId="732F680E" wp14:editId="42B57B35">
            <wp:extent cx="5400040" cy="2438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50" b="7132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106" w:rsidRDefault="00FE51E1" w:rsidP="00EF61D9">
      <w:pPr>
        <w:spacing w:line="360" w:lineRule="auto"/>
        <w:jc w:val="both"/>
      </w:pPr>
      <w:r>
        <w:t>El tablero cuenta con dos solapas:</w:t>
      </w:r>
    </w:p>
    <w:p w:rsidR="00FE51E1" w:rsidRDefault="00AC33F4" w:rsidP="00EF61D9">
      <w:pPr>
        <w:pStyle w:val="Prrafodelista"/>
        <w:numPr>
          <w:ilvl w:val="0"/>
          <w:numId w:val="1"/>
        </w:numPr>
        <w:spacing w:line="360" w:lineRule="auto"/>
        <w:jc w:val="both"/>
      </w:pPr>
      <w:r>
        <w:t>Procesos en curso</w:t>
      </w:r>
    </w:p>
    <w:p w:rsidR="00FE51E1" w:rsidRDefault="00AC33F4" w:rsidP="00EF61D9">
      <w:pPr>
        <w:pStyle w:val="Prrafodelista"/>
        <w:numPr>
          <w:ilvl w:val="0"/>
          <w:numId w:val="1"/>
        </w:numPr>
        <w:spacing w:line="360" w:lineRule="auto"/>
        <w:jc w:val="both"/>
      </w:pPr>
      <w:r>
        <w:t>Adquisiciones en trámite</w:t>
      </w:r>
    </w:p>
    <w:p w:rsidR="00E46949" w:rsidRDefault="00AC33F4" w:rsidP="00E46949">
      <w:pPr>
        <w:pStyle w:val="Ttulo2"/>
      </w:pPr>
      <w:r>
        <w:t>Procesos en curso</w:t>
      </w:r>
    </w:p>
    <w:p w:rsidR="00FE51E1" w:rsidRDefault="00FE51E1" w:rsidP="00EF61D9">
      <w:pPr>
        <w:spacing w:line="360" w:lineRule="auto"/>
        <w:jc w:val="both"/>
      </w:pPr>
      <w:r>
        <w:t xml:space="preserve">En la solapa </w:t>
      </w:r>
      <w:r w:rsidR="00AC33F4">
        <w:t>Procesos en curos</w:t>
      </w:r>
      <w:r>
        <w:t>,</w:t>
      </w:r>
      <w:r w:rsidR="00AC33F4">
        <w:t xml:space="preserve"> se despliegan por Secretaría lo</w:t>
      </w:r>
      <w:r>
        <w:t xml:space="preserve">s procesos </w:t>
      </w:r>
      <w:r w:rsidR="00AC33F4">
        <w:t>de compra que estén cursándose a través de la plataforma de compras electrónicas Comprar.</w:t>
      </w:r>
    </w:p>
    <w:p w:rsidR="00FE51E1" w:rsidRDefault="00FE51E1" w:rsidP="00EF61D9">
      <w:pPr>
        <w:spacing w:line="360" w:lineRule="auto"/>
        <w:jc w:val="both"/>
      </w:pPr>
      <w:r>
        <w:t xml:space="preserve">Para consultar la información de una Secretaría, posicionar </w:t>
      </w:r>
      <w:r w:rsidR="007C34AA">
        <w:t xml:space="preserve">el cursor sobre el botón </w:t>
      </w:r>
      <w:r w:rsidR="00AC33F4">
        <w:t>Procesos en curso, ubicado en la parte superior del tablero y hacer clic. S</w:t>
      </w:r>
      <w:r w:rsidR="007C34AA">
        <w:t>e desplegarán las siglas de las Secretarías de Calidad, Acceso, Equidad y Gestión Administrativa.</w:t>
      </w:r>
    </w:p>
    <w:p w:rsidR="007C34AA" w:rsidRDefault="00AC33F4" w:rsidP="0000697C">
      <w:pPr>
        <w:spacing w:line="360" w:lineRule="auto"/>
      </w:pPr>
      <w:r>
        <w:rPr>
          <w:noProof/>
          <w:lang w:eastAsia="es-AR"/>
        </w:rPr>
        <w:lastRenderedPageBreak/>
        <w:drawing>
          <wp:inline distT="0" distB="0" distL="0" distR="0" wp14:anchorId="313ED1E3" wp14:editId="7EEA1F1E">
            <wp:extent cx="5400040" cy="2428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64" b="7132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F4" w:rsidRDefault="0055113D" w:rsidP="00EF61D9">
      <w:pPr>
        <w:spacing w:line="360" w:lineRule="auto"/>
        <w:jc w:val="both"/>
      </w:pPr>
      <w:r>
        <w:t xml:space="preserve">Al seleccionar una Secretaría se observan los procesos abiertos </w:t>
      </w:r>
      <w:r w:rsidR="006E368B">
        <w:t xml:space="preserve">por estado y los días transcurridos desde </w:t>
      </w:r>
      <w:r w:rsidR="00AC33F4">
        <w:t>el último pase del expediente,</w:t>
      </w:r>
      <w:r w:rsidR="006E368B">
        <w:t xml:space="preserve"> agrupados por programa</w:t>
      </w:r>
      <w:r w:rsidR="00AC33F4">
        <w:t>. Los datos que se despliegan en el tablero son: Programa, nombre del proceso, número de expediente, número de proceso, estado.</w:t>
      </w:r>
    </w:p>
    <w:p w:rsidR="00AC33F4" w:rsidRDefault="00AC33F4" w:rsidP="00EF61D9">
      <w:pPr>
        <w:spacing w:line="360" w:lineRule="auto"/>
        <w:jc w:val="both"/>
      </w:pPr>
      <w:r>
        <w:rPr>
          <w:noProof/>
          <w:lang w:eastAsia="es-AR"/>
        </w:rPr>
        <w:drawing>
          <wp:inline distT="0" distB="0" distL="0" distR="0" wp14:anchorId="63461C96" wp14:editId="18019C30">
            <wp:extent cx="5400040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78" b="5877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334" w:rsidRDefault="00AC33F4" w:rsidP="00EF61D9">
      <w:pPr>
        <w:spacing w:line="360" w:lineRule="auto"/>
        <w:jc w:val="both"/>
      </w:pPr>
      <w:r>
        <w:t>En las primeras dos columnas de la tabla, se listan todos los campos que pueden visualizarse en el informe. Los campos que actualmente se visualizan están en la segunda columna y los que podrían consultarse en la primera.</w:t>
      </w:r>
      <w:r w:rsidR="00410F64">
        <w:t xml:space="preserve"> Para agregar los campos que se desean visualizar a la tabla, es necesario seleccionarlos y arrastrarlos desde la primera columna hacia la segunda.</w:t>
      </w:r>
    </w:p>
    <w:p w:rsidR="00EE3641" w:rsidRDefault="00EF61D9" w:rsidP="00EF61D9">
      <w:pPr>
        <w:spacing w:line="360" w:lineRule="auto"/>
        <w:jc w:val="both"/>
      </w:pPr>
      <w:r>
        <w:t>Ad</w:t>
      </w:r>
      <w:r w:rsidR="00410F64">
        <w:t>icionalmente, todos los botones pueden convertirse en filtros</w:t>
      </w:r>
      <w:r w:rsidR="00EE3641">
        <w:t>.</w:t>
      </w:r>
      <w:r w:rsidR="00410F64">
        <w:t xml:space="preserve"> Para esto, es necesario hacer clic en el botón, seleccionar la opción que se desea visualizar y hacer clic en </w:t>
      </w:r>
      <w:r w:rsidR="00410F64" w:rsidRPr="00410F64">
        <w:rPr>
          <w:b/>
        </w:rPr>
        <w:t>apply</w:t>
      </w:r>
      <w:r w:rsidR="00410F64">
        <w:t>.</w:t>
      </w:r>
      <w:r w:rsidR="00EE3641">
        <w:t xml:space="preserve"> </w:t>
      </w:r>
    </w:p>
    <w:p w:rsidR="00410F64" w:rsidRDefault="00410F64" w:rsidP="00EF61D9">
      <w:pPr>
        <w:spacing w:line="360" w:lineRule="auto"/>
        <w:jc w:val="both"/>
      </w:pPr>
    </w:p>
    <w:p w:rsidR="00774334" w:rsidRDefault="00410F64" w:rsidP="00EF61D9">
      <w:pPr>
        <w:spacing w:line="360" w:lineRule="auto"/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59E09F6" wp14:editId="296AD1D2">
            <wp:extent cx="5400040" cy="2466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50" b="6191"/>
                    <a:stretch/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949" w:rsidRDefault="00410F64" w:rsidP="00E46949">
      <w:pPr>
        <w:pStyle w:val="Ttulo2"/>
      </w:pPr>
      <w:r>
        <w:t>Adquisiciones en trá</w:t>
      </w:r>
      <w:r w:rsidR="00E46949">
        <w:t>mit</w:t>
      </w:r>
      <w:r>
        <w:t>e</w:t>
      </w:r>
    </w:p>
    <w:p w:rsidR="00E46949" w:rsidRDefault="00410F64" w:rsidP="00E46949">
      <w:pPr>
        <w:spacing w:line="360" w:lineRule="auto"/>
        <w:jc w:val="both"/>
      </w:pPr>
      <w:r>
        <w:t>En esta hoja se muestran todos los expedientes de adquisiciones, con estado abierto, caratulados por la Secretaría desde el 01/01/2020 hasta la fecha del reporte.</w:t>
      </w:r>
    </w:p>
    <w:p w:rsidR="00410F64" w:rsidRDefault="00410F64" w:rsidP="00E46949">
      <w:pPr>
        <w:spacing w:line="360" w:lineRule="auto"/>
        <w:jc w:val="both"/>
      </w:pPr>
      <w:r>
        <w:t>El objetivo de esta solapa es darle seguimiento a aquellas solicitudes de contratación que aún no tienen un proceso generado en Comprar o que se van a tramitar por otra modalidad de compra (Financiamiento Internacional / OPS).</w:t>
      </w:r>
    </w:p>
    <w:p w:rsidR="00DC1A88" w:rsidRDefault="00410F64" w:rsidP="00EF61D9">
      <w:pPr>
        <w:spacing w:line="360" w:lineRule="auto"/>
        <w:jc w:val="both"/>
      </w:pPr>
      <w:r>
        <w:t xml:space="preserve">Los expedientes están agrupados por </w:t>
      </w:r>
      <w:r w:rsidR="00DC1A88">
        <w:t>etapa del proceso, la cual se infiere a través del análisis de las actuaciones que componen al expediente, de acuerdo con el siguiente criterio: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Inicial: si tiene carátula o pliego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Publicación o Invitación: si tiene publicación de llamado o convocatoria/invitación a proveedores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Apertura: si tiene acta de apertura de ofertas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Evaluación: si tiene informe de evaluación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Preadjudicación: si tiene dictamen jurídico o proyecto de disposición aprobatoria</w:t>
      </w:r>
    </w:p>
    <w:p w:rsidR="00DC1A88" w:rsidRDefault="00DC1A88" w:rsidP="00DC1A88">
      <w:pPr>
        <w:pStyle w:val="Prrafodelista"/>
        <w:numPr>
          <w:ilvl w:val="0"/>
          <w:numId w:val="3"/>
        </w:numPr>
        <w:spacing w:line="276" w:lineRule="auto"/>
        <w:jc w:val="both"/>
      </w:pPr>
      <w:r>
        <w:t>Adjudicación: si tiene disposición aprobatoria</w:t>
      </w:r>
    </w:p>
    <w:p w:rsidR="00E46949" w:rsidRDefault="00DC1A88" w:rsidP="00EF61D9">
      <w:pPr>
        <w:spacing w:line="360" w:lineRule="auto"/>
        <w:jc w:val="both"/>
      </w:pPr>
      <w:r>
        <w:t>En la segunda columna del informe se describirá el acrónimo de la última actuación encontrada.</w:t>
      </w:r>
    </w:p>
    <w:p w:rsidR="00410F64" w:rsidRDefault="00410F64" w:rsidP="00EF61D9">
      <w:pPr>
        <w:spacing w:line="360" w:lineRule="auto"/>
        <w:jc w:val="both"/>
      </w:pPr>
      <w:r>
        <w:t>En esta hoja pueden consultarse la ubicación actual del expediente, el usuario actual y se muestran los días transcurridos desde el último pase.</w:t>
      </w:r>
    </w:p>
    <w:p w:rsidR="00DC1A88" w:rsidRDefault="00DC1A88" w:rsidP="00EF61D9">
      <w:pPr>
        <w:spacing w:line="360" w:lineRule="auto"/>
        <w:jc w:val="both"/>
      </w:pPr>
      <w:r>
        <w:rPr>
          <w:noProof/>
          <w:lang w:eastAsia="es-AR"/>
        </w:rPr>
        <w:drawing>
          <wp:inline distT="0" distB="0" distL="0" distR="0" wp14:anchorId="1E2EAC88" wp14:editId="75F2D93C">
            <wp:extent cx="5400040" cy="2486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177" b="4936"/>
                    <a:stretch/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F64" w:rsidRDefault="00DC1A88" w:rsidP="00EF61D9">
      <w:pPr>
        <w:spacing w:line="360" w:lineRule="auto"/>
        <w:jc w:val="both"/>
      </w:pPr>
      <w:r>
        <w:rPr>
          <w:noProof/>
          <w:lang w:eastAsia="es-AR"/>
        </w:rPr>
        <w:drawing>
          <wp:inline distT="0" distB="0" distL="0" distR="0" wp14:anchorId="222A9F1A" wp14:editId="67076F4A">
            <wp:extent cx="5400040" cy="2505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50" b="4936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F64" w:rsidRDefault="00410F64" w:rsidP="00EF61D9">
      <w:pPr>
        <w:spacing w:line="360" w:lineRule="auto"/>
        <w:jc w:val="both"/>
      </w:pPr>
      <w:r>
        <w:t>Al igual que con la tabla anterior, las primeras dos columnas de la tabla describen los campos que se visualizan y que se pueden visualizar. Y todos los botones pueden ser filtrados.</w:t>
      </w:r>
    </w:p>
    <w:p w:rsidR="00043FB8" w:rsidRDefault="00DC1A88" w:rsidP="00DC1A88">
      <w:pPr>
        <w:spacing w:line="360" w:lineRule="auto"/>
        <w:jc w:val="both"/>
      </w:pPr>
      <w:r>
        <w:rPr>
          <w:noProof/>
          <w:lang w:eastAsia="es-AR"/>
        </w:rPr>
        <w:drawing>
          <wp:inline distT="0" distB="0" distL="0" distR="0" wp14:anchorId="5D8929AD" wp14:editId="2782044B">
            <wp:extent cx="5400040" cy="2466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50" b="6191"/>
                    <a:stretch/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3D" w:rsidRDefault="0055113D" w:rsidP="0000697C">
      <w:pPr>
        <w:spacing w:line="360" w:lineRule="auto"/>
      </w:pPr>
      <w:bookmarkStart w:id="0" w:name="_GoBack"/>
      <w:bookmarkEnd w:id="0"/>
    </w:p>
    <w:sectPr w:rsidR="0055113D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0EE8" w:rsidRDefault="00DC0EE8" w:rsidP="00DC0EE8">
      <w:pPr>
        <w:spacing w:after="0" w:line="240" w:lineRule="auto"/>
      </w:pPr>
      <w:r>
        <w:separator/>
      </w:r>
    </w:p>
  </w:endnote>
  <w:endnote w:type="continuationSeparator" w:id="0">
    <w:p w:rsidR="00DC0EE8" w:rsidRDefault="00DC0EE8" w:rsidP="00DC0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0EE8" w:rsidRDefault="00DC0EE8" w:rsidP="00DC0EE8">
      <w:pPr>
        <w:spacing w:after="0" w:line="240" w:lineRule="auto"/>
      </w:pPr>
      <w:r>
        <w:separator/>
      </w:r>
    </w:p>
  </w:footnote>
  <w:footnote w:type="continuationSeparator" w:id="0">
    <w:p w:rsidR="00DC0EE8" w:rsidRDefault="00DC0EE8" w:rsidP="00DC0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412497"/>
      <w:docPartObj>
        <w:docPartGallery w:val="Page Numbers (Top of Page)"/>
        <w:docPartUnique/>
      </w:docPartObj>
    </w:sdtPr>
    <w:sdtEndPr/>
    <w:sdtContent>
      <w:p w:rsidR="00DC0EE8" w:rsidRDefault="00DC0EE8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A88" w:rsidRPr="00DC1A88">
          <w:rPr>
            <w:noProof/>
            <w:lang w:val="es-ES"/>
          </w:rPr>
          <w:t>4</w:t>
        </w:r>
        <w:r>
          <w:fldChar w:fldCharType="end"/>
        </w:r>
      </w:p>
    </w:sdtContent>
  </w:sdt>
  <w:p w:rsidR="00DC0EE8" w:rsidRDefault="00DC0EE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45FC"/>
    <w:multiLevelType w:val="hybridMultilevel"/>
    <w:tmpl w:val="48765D3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E52B6"/>
    <w:multiLevelType w:val="hybridMultilevel"/>
    <w:tmpl w:val="C952C9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9B0900"/>
    <w:multiLevelType w:val="hybridMultilevel"/>
    <w:tmpl w:val="DA5451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B6D"/>
    <w:rsid w:val="0000697C"/>
    <w:rsid w:val="00043FB8"/>
    <w:rsid w:val="001236C1"/>
    <w:rsid w:val="00155106"/>
    <w:rsid w:val="002F3B6D"/>
    <w:rsid w:val="00410F64"/>
    <w:rsid w:val="0055113D"/>
    <w:rsid w:val="006E368B"/>
    <w:rsid w:val="00774334"/>
    <w:rsid w:val="007C34AA"/>
    <w:rsid w:val="008751A1"/>
    <w:rsid w:val="00AB60CD"/>
    <w:rsid w:val="00AC33F4"/>
    <w:rsid w:val="00D10108"/>
    <w:rsid w:val="00D34764"/>
    <w:rsid w:val="00DC0EE8"/>
    <w:rsid w:val="00DC1A88"/>
    <w:rsid w:val="00E46949"/>
    <w:rsid w:val="00E93140"/>
    <w:rsid w:val="00EE3641"/>
    <w:rsid w:val="00EF61D9"/>
    <w:rsid w:val="00FC3C85"/>
    <w:rsid w:val="00FE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69F8A1-C4A1-4349-A97A-677878D7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9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9314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469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C0E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0EE8"/>
  </w:style>
  <w:style w:type="paragraph" w:styleId="Piedepgina">
    <w:name w:val="footer"/>
    <w:basedOn w:val="Normal"/>
    <w:link w:val="PiedepginaCar"/>
    <w:uiPriority w:val="99"/>
    <w:unhideWhenUsed/>
    <w:rsid w:val="00DC0E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0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73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472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dcrudo</dc:creator>
  <cp:keywords/>
  <dc:description/>
  <cp:lastModifiedBy>dcrudo</cp:lastModifiedBy>
  <cp:revision>3</cp:revision>
  <dcterms:created xsi:type="dcterms:W3CDTF">2021-03-30T13:30:00Z</dcterms:created>
  <dcterms:modified xsi:type="dcterms:W3CDTF">2021-05-17T13:01:00Z</dcterms:modified>
</cp:coreProperties>
</file>