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DIBYARANJAN NAYAK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Entry-Level Data Analyst | Excel | SQL | Power BI | Google Sheets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Bhubaneswar, Odisha, India  |  +91 9348026657  |  </w:t>
      </w:r>
      <w:r>
        <w:rPr>
          <w:color w:val="444444"/>
          <w:sz w:val="18"/>
          <w:szCs w:val="18"/>
        </w:rPr>
        <w:t xml:space="preserve">LinkedIn: linkedin.com/in/dibyaranjan-nayak-348357292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B.Tech Computer Science Engineering graduate (80%) with practical, project-based experience in Excel, SQL, Google Sheets, and Power BI. Skilled in data cleaning, business analysis, and building interactive dashboards to turn raw data into clear insights. Seeking an entry-level Data Analyst, MIS, or Reporting Analyst role to apply hands-on analytical and reporting skills.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Microsoft Excel: </w:t>
      </w:r>
      <w:r>
        <w:rPr>
          <w:sz w:val="21"/>
          <w:szCs w:val="21"/>
        </w:rPr>
        <w:t xml:space="preserve">Data Cleaning, Data Validation, Sorting &amp; Filtering, Conditional Formatting, Lookup Functions, Pivot Tables, Dashboard Creation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SQL: </w:t>
      </w:r>
      <w:r>
        <w:rPr>
          <w:sz w:val="21"/>
          <w:szCs w:val="21"/>
        </w:rPr>
        <w:t xml:space="preserve">SELECT, WHERE, GROUP BY, ORDER BY, Aggregate Functions, CASE WHEN, JOINs, Data Filtering &amp; Aggregation, Business Analysis Queries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Power BI: </w:t>
      </w:r>
      <w:r>
        <w:rPr>
          <w:sz w:val="21"/>
          <w:szCs w:val="21"/>
        </w:rPr>
        <w:t xml:space="preserve">Data Cleaning &amp; Transformation, Data Modeling, DAX, Measures, Calculated Columns, KPI Cards, Interactive Dashboards, Data Visualization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Google Sheets: </w:t>
      </w:r>
      <w:r>
        <w:rPr>
          <w:sz w:val="21"/>
          <w:szCs w:val="21"/>
        </w:rPr>
        <w:t xml:space="preserve">Data Organization, Data Cleaning, Formulas, Filtering, Analysis, Reporting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1F1F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Category-City Wise Sales Analysis</w:t>
      </w:r>
      <w:r>
        <w:rPr>
          <w:i/>
          <w:iCs/>
          <w:color w:val="333333"/>
          <w:sz w:val="21"/>
          <w:szCs w:val="21"/>
        </w:rPr>
        <w:t xml:space="preserve">  |  Microsoft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Cleaned and organized raw sales data using Excel to prepare it for accurate category-wise and city-wise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Pivot Tables and applied Excel formulas to summarize sales performance across product categories and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Analyzed sales patterns to identify category and city-level trends, presenting findings in an organized, easy-to-read format.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Online Book Store Analysis</w:t>
      </w:r>
      <w:r>
        <w:rPr>
          <w:i/>
          <w:iCs/>
          <w:color w:val="333333"/>
          <w:sz w:val="21"/>
          <w:szCs w:val="21"/>
        </w:rPr>
        <w:t xml:space="preserve">  |  SQL /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Wrote SQL queries using SELECT, WHERE, GROUP BY, and ORDER BY to filter and analyze relational book store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Applied aggregate functions and JOINs to combine data across tables and extract business-relevant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Performed data filtering and aggregation to answer business questions about sales and inventory patterns.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QuickBites – Online Food Delivery Analysis</w:t>
      </w:r>
      <w:r>
        <w:rPr>
          <w:i/>
          <w:iCs/>
          <w:color w:val="333333"/>
          <w:sz w:val="21"/>
          <w:szCs w:val="21"/>
        </w:rPr>
        <w:t xml:space="preserve">  | 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Cleaned and modeled online food delivery data in Power BI, using DAX to build measures and calculated columns for key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 interactive dashboard with KPI cards tracking Revenue (₹656.21K), Total Orders (900), Cancellation Rate (25.56%), Average Rating (3.73), and Average Order Value (₹979).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Identified revenue drops in March and June with recovery in July and August, and found Fast Food as the top revenue category versus Cafe as the weakest.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Analyzed customer segments and found repeat customers generated ₹564.7K in revenue versus ₹91.5K from new customers; also identified April as the peak cancellation month at ~31.93%.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sz w:val="21"/>
          <w:szCs w:val="21"/>
        </w:rPr>
        <w:t xml:space="preserve">B.Tech, Computer Science and Engineering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GITA Autonomous College, Bhubaneswar | Nov 2022 – Apr 2026 | 80%</w:t>
      </w:r>
    </w:p>
    <w:p>
      <w:pPr>
        <w:spacing w:after="10"/>
      </w:pPr>
      <w:r>
        <w:rPr>
          <w:b/>
          <w:bCs/>
          <w:sz w:val="21"/>
          <w:szCs w:val="21"/>
        </w:rPr>
        <w:t xml:space="preserve">Class XII – Science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Ramarani Higher Secondary School of Science and Technology, Balasore | 2020 – 2022 | 84%</w:t>
      </w:r>
    </w:p>
    <w:p>
      <w:pPr>
        <w:spacing w:after="10"/>
      </w:pPr>
      <w:r>
        <w:rPr>
          <w:b/>
          <w:bCs/>
          <w:sz w:val="21"/>
          <w:szCs w:val="21"/>
        </w:rPr>
        <w:t xml:space="preserve">Class X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Panchlingeswar High School | 68%</w:t>
      </w:r>
    </w:p>
    <w:sectPr>
      <w:pgSz w:w="12240" w:h="15840" w:orient="portrait"/>
      <w:pgMar w:top="630" w:right="720" w:bottom="6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2026-09-15T10:40:07.326Z</dcterms:created>
  <dcterms:modified xsi:type="dcterms:W3CDTF">2026-09-15T10:40:07.334Z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