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By looking at the scrawls of each of the potential keyword lengths, I assume that the keyword is of length 3. This is because the line best fits the scrawl of the English alphabet signature.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sample signatures for the two cypertexts are described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sz w:val="24"/>
          <w:szCs w:val="24"/>
          <w:highlight w:val="white"/>
          <w:u w:val="none"/>
        </w:rPr>
      </w:pPr>
      <w:r w:rsidDel="00000000" w:rsidR="00000000" w:rsidRPr="00000000">
        <w:rPr>
          <w:rFonts w:ascii="Georgia" w:cs="Georgia" w:eastAsia="Georgia" w:hAnsi="Georgia"/>
          <w:sz w:val="24"/>
          <w:szCs w:val="24"/>
          <w:highlight w:val="white"/>
          <w:rtl w:val="0"/>
        </w:rPr>
        <w:t xml:space="preserve">a.) GENIUS IS NO MORE THAN CHILDHOOD RECAPTURED AT WILL CHILDHOOD EQUIPPED NOW WITH MANS PHYSICAL MEANS TO EXPRESS ITSELF AND WITH THE ANALYTICAL MIND THAT ENABLES IT TO BRING ORDER IN TO THE SUM OF EXPERIENCE INVOLUNTARILY AMASSED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ab/>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white"/>
          <w:rtl w:val="0"/>
        </w:rPr>
        <w:tab/>
        <w:t xml:space="preserve">b.) Using a Vigenere square, I was able to find that the keyword is ‘NOW’ which is of length 3, as assumed above in Exercise 1. I split the cypertext into 3 columns (representing the keyword length) and used the shift to find the first letters in each column to find the keyword ‘NOW’</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