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days;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switch 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case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dail_rate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dail_rate = 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case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dail_rate = x * 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switch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case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hr_rate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case 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hr_rate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hr_rate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case 1.5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hr_rate =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hr_rate =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case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hr_rate =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case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hr_rate =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case 4.5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hr_rate =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case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hr_rate =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case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hr_rate = 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case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hr_rate = 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otherwise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hr_rate = 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 = dail_rate + hr_rate;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= zeros(3,1536)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%Assume time = 3 x 1536 matrix [days; hours; minutes]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idx = 1:length( time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days = time( 1, idx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hours = time( 2, idx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minutes = time( 3, idx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shortRate = SLC_ShortTerm( days, hours, minutes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longRate = SLC_LongTerm( days, hours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rates( 1, idx ) = shortRate;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rates( 2, idx ) = longRate;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title('Short Term Rate for SLC Airport Parking')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xlabel('time (in 15 minute intervals)')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ylabel('rate (in dollars)')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title('Long Term Rate for SLC Airport Parking')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xlabel('time (in 15 minute intervals)')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ylabel('rate (in dollars)')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