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verage" w:cs="Average" w:eastAsia="Average" w:hAnsi="Average"/>
          <w:sz w:val="26"/>
          <w:szCs w:val="26"/>
          <w:rtl w:val="0"/>
        </w:rPr>
        <w:t xml:space="preserve">Moscow analyse: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Dynamisk justering af solpaneler for maksimal eksponering mod solen (Use Case 1).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Realtidsovervågning af temperatur, luftfugtighed og lysintensitet (Use Case 2).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Et webbaseret dashboard til visualisering af energiproduktion og miljødata (Use Case 3).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Stabil og effektiv strømproduktion fra solpaneler (Use Case 4).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Lokal datalagring som fallback, hvis serveren er utilgængelig (Use Case 2-udvidelse).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Automatisk rekalibrering af panelpositioner hvert 10. sekund.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Sikker dataoverførsel mellem IoT-enheder og webklienten.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Brugergodkendelse for adgang til webclieten.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Integration med cloud-lagring for langvarig dataanalyse.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Advarsler på dashboardet for systemproblemer (f.eks. sensorfejl eller aktuatorfejl).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Mobilapp som supplement til det webbaserede dashboard.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Detaljerede energianalyser, såsom historiske data og trends.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Stemme- eller fjernkommandoer til manuelle systemjusteringer.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Integration med eksterne vejr-API'er til vejrudsigter.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historik (mulighed for fremvisning af tidligere data.)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Won’t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Integration med andre energikilder end solenergi (f.eks. vindmøller).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Offline-tilstand for fuld systemfunktionalitet.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Avancerede prædiktive algoritmer til energiproduktion baseret på vejrmønstre.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