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Work-Cell Decomposition Model</w:t>
      </w:r>
    </w:p>
    <w:p>
      <w:pPr>
        <w:pStyle w:val="Heading1"/>
      </w:pPr>
      <w:r>
        <w:t>Introduction</w:t>
      </w:r>
    </w:p>
    <w:p>
      <w:r>
        <w:t>This document provides a detailed description of the decomposition model developed for the EAFIX project. The goal is to improve AI-generated outputs and to reach definition of done faster by limiting context to well-scoped work cells. The model recognizes that existing canonical modules and process steps are already defined but notes that several modules share entry points and files, making it difficult for an AI to restrict context.</w:t>
        <w:br/>
      </w:r>
    </w:p>
    <w:p>
      <w:pPr>
        <w:pStyle w:val="Heading1"/>
      </w:pPr>
      <w:r>
        <w:t>Governance and Authority</w:t>
      </w:r>
    </w:p>
    <w:p>
      <w:r>
        <w:t>The decomposition model does not replace existing authoritative documents; it derives context routing based on them. Primary sources include the module catalog (module_catalog.json), process step catalog (process_step_catalog.json), aligned process specification (updated_trading_process_aligned.json), communication channels (communication_channels.json), UI catalog (ui_catalog.json), calendar deterministic rules (EAFIX CALENDAR DES RULES.pdf), the MT4 authoritative reference (mt4_authoritative_reference_for_ai.json), file-module mapping (file_module_mapping.csv), and services reference (eafix_services_ai_reference_20260510.json). The routing instructions (eafix_project_knowledge_reference_routing_instructions.json) determine which documents to consult for each task.</w:t>
        <w:br/>
      </w:r>
      <w:r>
        <w:t>The new submodule context catalog introduced in this model is a derived artifact and must not override the canonical sources. It serves only to package context for AI agents.</w:t>
      </w:r>
    </w:p>
    <w:p>
      <w:r>
        <w:t xml:space="preserve">Evidence: </w:t>
      </w:r>
      <w:hyperlink r:id="rId9">
        <w:r>
          <w:rPr>
            <w:u w:val="single"/>
            <w:color w:val="0000FF"/>
          </w:rPr>
          <w:t>[1]</w:t>
        </w:r>
      </w:hyperlink>
    </w:p>
    <w:p>
      <w:pPr>
        <w:pStyle w:val="Heading1"/>
      </w:pPr>
      <w:r>
        <w:t>Hierarchical Decomposition</w:t>
      </w:r>
    </w:p>
    <w:p>
      <w:r>
        <w:t>The model organizes the system into a hierarchy: System → Phase → Canonical Module → Work Cell → Source Files and Artifacts. A work cell (also referred to as a submodule) is the smallest unit of context provided to AI. Each work cell has a unique identifier, a parent canonical module, a defined purpose, input and output contracts, references to relevant source files, tests, allowed dependencies, forbidden dependencies, required documents, and acceptance gates.</w:t>
        <w:br/>
      </w:r>
      <w:r>
        <w:t>For example, a work cell within the calendar normalizer module might be responsible for normalizing timestamps and impact values, while another handles deduplication and assignment of standard calendar identifiers.</w:t>
      </w:r>
    </w:p>
    <w:p>
      <w:r>
        <w:t xml:space="preserve">Evidence: </w:t>
      </w:r>
      <w:hyperlink r:id="rId10">
        <w:r>
          <w:rPr>
            <w:u w:val="single"/>
            <w:color w:val="0000FF"/>
          </w:rPr>
          <w:t>[2]</w:t>
        </w:r>
      </w:hyperlink>
    </w:p>
    <w:p>
      <w:r>
        <w:br/>
        <w:t>Example work cell specification:</w:t>
      </w:r>
    </w:p>
    <w:p>
      <w:pPr>
        <w:pStyle w:val="Quote"/>
      </w:pPr>
      <w:r>
        <w:t>{</w:t>
        <w:br/>
        <w:t xml:space="preserve">  "work_cell_id": "D3.2_CALENDAR_IMPACT_NORMALIZATION",</w:t>
        <w:br/>
        <w:t xml:space="preserve">  "parent_module": "D3_CALENDAR_NORMALIZER",</w:t>
        <w:br/>
        <w:t xml:space="preserve">  "purpose": "Normalize impact values from raw calendar entries into canonical categories.",</w:t>
        <w:br/>
        <w:t xml:space="preserve">  "input_contracts": ["CalendarRaw", "ResolvedConfig"],</w:t>
        <w:br/>
        <w:t xml:space="preserve">  "output_contracts": ["CalendarEvent"],</w:t>
        <w:br/>
        <w:t xml:space="preserve">  "source_files": ["services/calendar-ingestor/src/2099900093260118_main.py"],</w:t>
        <w:br/>
        <w:t xml:space="preserve">  "test_files": [],</w:t>
        <w:br/>
        <w:t xml:space="preserve">  "allowed_dependencies": [],</w:t>
        <w:br/>
        <w:t xml:space="preserve">  "forbidden_dependencies": ["MT4","EA"],</w:t>
        <w:br/>
        <w:t xml:space="preserve">  "required_reference_documents": ["EAFIX CALENDAR DES RULES.pdf"],</w:t>
        <w:br/>
        <w:t xml:space="preserve">  "validation_gates": ["impact in canonical enum", "malformed rows emit NormalizationError"]</w:t>
        <w:br/>
        <w:t>}</w:t>
      </w:r>
    </w:p>
    <w:p>
      <w:pPr>
        <w:pStyle w:val="Heading1"/>
      </w:pPr>
      <w:r>
        <w:t>Calendar Pipeline</w:t>
      </w:r>
    </w:p>
    <w:p>
      <w:r>
        <w:t>Calendar processing currently bundles multiple responsibilities into a single service. The model decomposes this pipeline into four work cells:</w:t>
        <w:br/>
      </w:r>
    </w:p>
    <w:p>
      <w:pPr>
        <w:pStyle w:val="ListBullet"/>
      </w:pPr>
      <w:r>
        <w:rPr>
          <w:b/>
        </w:rPr>
        <w:t xml:space="preserve">D2. Calendar Source Adapter: </w:t>
      </w:r>
      <w:r>
        <w:t>Responsible for source registry handling, endpoint selection, polling remote feeds, raw payload parsing, and error classification.</w:t>
      </w:r>
    </w:p>
    <w:p>
      <w:pPr>
        <w:pStyle w:val="ListBullet"/>
      </w:pPr>
      <w:r>
        <w:rPr>
          <w:b/>
        </w:rPr>
        <w:t xml:space="preserve">D3. Calendar Normalizer: </w:t>
      </w:r>
      <w:r>
        <w:t>Handles timezone normalization, impact normalization, event name sanitization, deduplication key creation, and assignment of standard calendar identifiers (e.g., CAL5/CAL8).</w:t>
      </w:r>
    </w:p>
    <w:p>
      <w:pPr>
        <w:pStyle w:val="ListBullet"/>
      </w:pPr>
      <w:r>
        <w:rPr>
          <w:b/>
        </w:rPr>
        <w:t xml:space="preserve">F2. Event Log: </w:t>
      </w:r>
      <w:r>
        <w:t>Provides an append-only writer for persisting normalized events, including idempotency guards, event stream publishing, and artifact creation such as CSV backups.</w:t>
      </w:r>
    </w:p>
    <w:p>
      <w:pPr>
        <w:pStyle w:val="ListBullet"/>
      </w:pPr>
      <w:r>
        <w:rPr>
          <w:b/>
        </w:rPr>
        <w:t xml:space="preserve">D4. Calendar Trigger Builder: </w:t>
      </w:r>
      <w:r>
        <w:t>Computes anticipation windows, resolves symbol impact, validates freshness and TTL, builds suppression metadata, and emits calendar triggers.</w:t>
      </w:r>
    </w:p>
    <w:p>
      <w:r>
        <w:t xml:space="preserve">Evidence: </w:t>
      </w:r>
      <w:hyperlink r:id="rId11">
        <w:r>
          <w:rPr>
            <w:u w:val="single"/>
            <w:color w:val="0000FF"/>
          </w:rPr>
          <w:t>[3]</w:t>
        </w:r>
      </w:hyperlink>
      <w:hyperlink r:id="rId12">
        <w:r>
          <w:rPr>
            <w:u w:val="single"/>
            <w:color w:val="0000FF"/>
          </w:rPr>
          <w:t>[4]</w:t>
        </w:r>
      </w:hyperlink>
    </w:p>
    <w:p>
      <w:pPr>
        <w:pStyle w:val="Heading1"/>
      </w:pPr>
      <w:r>
        <w:t>MT4 Bridge and Transport</w:t>
      </w:r>
    </w:p>
    <w:p>
      <w:r>
        <w:t>MT4 communication involves multiple transport protocols and files. To reduce context leakage and separate responsibilities, the adapter is divided into three work cells:</w:t>
        <w:br/>
      </w:r>
    </w:p>
    <w:p>
      <w:pPr>
        <w:pStyle w:val="ListBullet"/>
      </w:pPr>
      <w:r>
        <w:rPr>
          <w:b/>
        </w:rPr>
        <w:t xml:space="preserve">B1. MT4 Adapter Transport: </w:t>
      </w:r>
      <w:r>
        <w:t>Serializes broker order envelopes, writes and validates CSVs atomically, implements directory watching and retries, and supports a socket fallback adapter.</w:t>
      </w:r>
    </w:p>
    <w:p>
      <w:pPr>
        <w:pStyle w:val="ListBullet"/>
      </w:pPr>
      <w:r>
        <w:rPr>
          <w:b/>
        </w:rPr>
        <w:t xml:space="preserve">B2. MT4 EA Executor: </w:t>
      </w:r>
      <w:r>
        <w:t>Reads incoming execution requests, validates CSV structure, checks pre-flight conditions, wraps the OrderSend call, handles MT4 error codes, and implements retry or abort policies.</w:t>
      </w:r>
    </w:p>
    <w:p>
      <w:pPr>
        <w:pStyle w:val="ListBullet"/>
      </w:pPr>
      <w:r>
        <w:rPr>
          <w:b/>
        </w:rPr>
        <w:t xml:space="preserve">B3. Execution Event Normalizer: </w:t>
      </w:r>
      <w:r>
        <w:t>Parses feedback CSVs, deduplicates broker events, orders them, and maps results into standard ExecutionReport or PositionSnapshot contracts.</w:t>
      </w:r>
    </w:p>
    <w:p>
      <w:r>
        <w:t xml:space="preserve">Evidence: </w:t>
      </w:r>
      <w:hyperlink r:id="rId13">
        <w:r>
          <w:rPr>
            <w:u w:val="single"/>
            <w:color w:val="0000FF"/>
          </w:rPr>
          <w:t>[5]</w:t>
        </w:r>
      </w:hyperlink>
      <w:hyperlink r:id="rId14">
        <w:r>
          <w:rPr>
            <w:u w:val="single"/>
            <w:color w:val="0000FF"/>
          </w:rPr>
          <w:t>[6]</w:t>
        </w:r>
      </w:hyperlink>
      <w:hyperlink r:id="rId15">
        <w:r>
          <w:rPr>
            <w:u w:val="single"/>
            <w:color w:val="0000FF"/>
          </w:rPr>
          <w:t>[7]</w:t>
        </w:r>
      </w:hyperlink>
    </w:p>
    <w:p>
      <w:pPr>
        <w:pStyle w:val="Heading1"/>
      </w:pPr>
      <w:r>
        <w:t>EA-Side MQL4 Systems</w:t>
      </w:r>
    </w:p>
    <w:p>
      <w:r>
        <w:t>The EA logic in MQL4 should follow the same decomposition principles. Rather than mixing unrelated functions in a monolithic expert advisor, group behaviors into systems A through G:</w:t>
      </w:r>
    </w:p>
    <w:p>
      <w:pPr>
        <w:pStyle w:val="ListBullet"/>
      </w:pPr>
      <w:r>
        <w:rPr>
          <w:b/>
        </w:rPr>
        <w:t xml:space="preserve">System A – Signal Pipeline: </w:t>
      </w:r>
      <w:r>
        <w:t>Handles signal triggers, validation, conflict management, exporting signals to the bridge, and monitoring MT4 feedback.</w:t>
      </w:r>
    </w:p>
    <w:p>
      <w:pPr>
        <w:pStyle w:val="ListBullet"/>
      </w:pPr>
      <w:r>
        <w:rPr>
          <w:b/>
        </w:rPr>
        <w:t xml:space="preserve">System B – Communication Bridges: </w:t>
      </w:r>
      <w:r>
        <w:t>Provides socket and FastAPI bridges, enhanced CSV/JSON transports, and the legacy static CSV profiles.</w:t>
      </w:r>
    </w:p>
    <w:p>
      <w:pPr>
        <w:pStyle w:val="ListBullet"/>
      </w:pPr>
      <w:r>
        <w:rPr>
          <w:b/>
        </w:rPr>
        <w:t xml:space="preserve">System D – Execution &amp; Feedback: </w:t>
      </w:r>
      <w:r>
        <w:t>Contains the OrderSend wrapper, classification of responses, result writing, and error handling.</w:t>
      </w:r>
    </w:p>
    <w:p>
      <w:r>
        <w:t xml:space="preserve">Evidence: </w:t>
      </w:r>
      <w:hyperlink r:id="rId16">
        <w:r>
          <w:rPr>
            <w:u w:val="single"/>
            <w:color w:val="0000FF"/>
          </w:rPr>
          <w:t>[8]</w:t>
        </w:r>
      </w:hyperlink>
      <w:hyperlink r:id="rId17">
        <w:r>
          <w:rPr>
            <w:u w:val="single"/>
            <w:color w:val="0000FF"/>
          </w:rPr>
          <w:t>[9]</w:t>
        </w:r>
      </w:hyperlink>
    </w:p>
    <w:p>
      <w:pPr>
        <w:pStyle w:val="Heading1"/>
      </w:pPr>
      <w:r>
        <w:t>Risk Engine</w:t>
      </w:r>
    </w:p>
    <w:p>
      <w:r>
        <w:t>The risk evaluator should be partitioned into rule families. Each family becomes a work cell implementing a single check or computation:</w:t>
      </w:r>
    </w:p>
    <w:p>
      <w:pPr>
        <w:pStyle w:val="ListBullet"/>
      </w:pPr>
      <w:r>
        <w:t>Position limit checks</w:t>
      </w:r>
    </w:p>
    <w:p>
      <w:pPr>
        <w:pStyle w:val="ListBullet"/>
      </w:pPr>
      <w:r>
        <w:t>Portfolio exposure checks</w:t>
      </w:r>
    </w:p>
    <w:p>
      <w:pPr>
        <w:pStyle w:val="ListBullet"/>
      </w:pPr>
      <w:r>
        <w:t>Margin / free margin checks</w:t>
      </w:r>
    </w:p>
    <w:p>
      <w:pPr>
        <w:pStyle w:val="ListBullet"/>
      </w:pPr>
      <w:r>
        <w:t>Correlation guards</w:t>
      </w:r>
    </w:p>
    <w:p>
      <w:pPr>
        <w:pStyle w:val="ListBullet"/>
      </w:pPr>
      <w:r>
        <w:t>Spread and slippage guards</w:t>
      </w:r>
    </w:p>
    <w:p>
      <w:pPr>
        <w:pStyle w:val="ListBullet"/>
      </w:pPr>
      <w:r>
        <w:t>Circuit breakers</w:t>
      </w:r>
    </w:p>
    <w:p>
      <w:pPr>
        <w:pStyle w:val="ListBullet"/>
      </w:pPr>
      <w:r>
        <w:t>Idempotency and duplicate order prevention</w:t>
      </w:r>
    </w:p>
    <w:p>
      <w:pPr>
        <w:pStyle w:val="ListBullet"/>
      </w:pPr>
      <w:r>
        <w:t>Deterministic sizing engine</w:t>
      </w:r>
    </w:p>
    <w:p>
      <w:pPr>
        <w:pStyle w:val="ListBullet"/>
      </w:pPr>
      <w:r>
        <w:t>Risk decision assembler</w:t>
      </w:r>
    </w:p>
    <w:p>
      <w:r>
        <w:t xml:space="preserve">Evidence: </w:t>
      </w:r>
      <w:hyperlink r:id="rId18">
        <w:r>
          <w:rPr>
            <w:u w:val="single"/>
            <w:color w:val="0000FF"/>
          </w:rPr>
          <w:t>[10]</w:t>
        </w:r>
      </w:hyperlink>
    </w:p>
    <w:p>
      <w:pPr>
        <w:pStyle w:val="Heading1"/>
      </w:pPr>
      <w:r>
        <w:t>Signal Engine</w:t>
      </w:r>
    </w:p>
    <w:p>
      <w:r>
        <w:t>Signal generation is separated by signal families and suppression logic. Each work cell implements a distinct generator or evaluator. Families include:</w:t>
      </w:r>
    </w:p>
    <w:p>
      <w:pPr>
        <w:pStyle w:val="ListBullet"/>
      </w:pPr>
      <w:r>
        <w:t>ECO_HIGH / ECO_MED signals</w:t>
      </w:r>
    </w:p>
    <w:p>
      <w:pPr>
        <w:pStyle w:val="ListBullet"/>
      </w:pPr>
      <w:r>
        <w:t>Anticipation 1-hour and 8-hour signals</w:t>
      </w:r>
    </w:p>
    <w:p>
      <w:pPr>
        <w:pStyle w:val="ListBullet"/>
      </w:pPr>
      <w:r>
        <w:t>Equity open signals</w:t>
      </w:r>
    </w:p>
    <w:p>
      <w:pPr>
        <w:pStyle w:val="ListBullet"/>
      </w:pPr>
      <w:r>
        <w:t>All-indicator signals</w:t>
      </w:r>
    </w:p>
    <w:p>
      <w:pPr>
        <w:pStyle w:val="ListBullet"/>
      </w:pPr>
      <w:r>
        <w:t>Confidence scoring</w:t>
      </w:r>
    </w:p>
    <w:p>
      <w:pPr>
        <w:pStyle w:val="ListBullet"/>
      </w:pPr>
      <w:r>
        <w:t>Suppression reason mapping</w:t>
      </w:r>
    </w:p>
    <w:p>
      <w:pPr>
        <w:pStyle w:val="ListBullet"/>
      </w:pPr>
      <w:r>
        <w:t>Signal and suppressed signal validation</w:t>
      </w:r>
    </w:p>
    <w:p>
      <w:r>
        <w:t xml:space="preserve">Evidence: </w:t>
      </w:r>
      <w:hyperlink r:id="rId19">
        <w:r>
          <w:rPr>
            <w:u w:val="single"/>
            <w:color w:val="0000FF"/>
          </w:rPr>
          <w:t>[11]</w:t>
        </w:r>
      </w:hyperlink>
    </w:p>
    <w:p>
      <w:pPr>
        <w:pStyle w:val="Heading1"/>
      </w:pPr>
      <w:r>
        <w:t>Reentry Engine</w:t>
      </w:r>
    </w:p>
    <w:p>
      <w:r>
        <w:t>Reentry decision making depends on outcome categorization, proximity evaluation, matrix lookup, and intent building. The decomposition partitions these into four work cells:</w:t>
      </w:r>
    </w:p>
    <w:p>
      <w:pPr>
        <w:pStyle w:val="ListBullet"/>
      </w:pPr>
      <w:r>
        <w:rPr>
          <w:b/>
        </w:rPr>
        <w:t xml:space="preserve">E1. Outcome Bucketizer: </w:t>
      </w:r>
      <w:r>
        <w:t>Classifies close-results and timeouts into discrete outcome buckets.</w:t>
      </w:r>
    </w:p>
    <w:p>
      <w:pPr>
        <w:pStyle w:val="ListBullet"/>
      </w:pPr>
      <w:r>
        <w:rPr>
          <w:b/>
        </w:rPr>
        <w:t xml:space="preserve">E2. Proximity Evaluator: </w:t>
      </w:r>
      <w:r>
        <w:t>Resolves the next event, calculates proximity buckets, and guards against calendar conflicts.</w:t>
      </w:r>
    </w:p>
    <w:p>
      <w:pPr>
        <w:pStyle w:val="ListBullet"/>
      </w:pPr>
      <w:r>
        <w:rPr>
          <w:b/>
        </w:rPr>
        <w:t xml:space="preserve">E3. Matrix Lookup: </w:t>
      </w:r>
      <w:r>
        <w:t>Loads the reentry matrix, pins the correct version, builds lookup keys, applies fallbacks, and validates the decision.</w:t>
      </w:r>
    </w:p>
    <w:p>
      <w:pPr>
        <w:pStyle w:val="ListBullet"/>
      </w:pPr>
      <w:r>
        <w:rPr>
          <w:b/>
        </w:rPr>
        <w:t xml:space="preserve">E4. Reentry Intent Builder: </w:t>
      </w:r>
      <w:r>
        <w:t>Enforces generation limits, chain-state constraints, spread guards, and builds the reentry intent and suppression contracts.</w:t>
      </w:r>
    </w:p>
    <w:p>
      <w:r>
        <w:t xml:space="preserve">Evidence: </w:t>
      </w:r>
      <w:hyperlink r:id="rId20">
        <w:r>
          <w:rPr>
            <w:u w:val="single"/>
            <w:color w:val="0000FF"/>
          </w:rPr>
          <w:t>[12]</w:t>
        </w:r>
      </w:hyperlink>
    </w:p>
    <w:p>
      <w:pPr>
        <w:pStyle w:val="Heading1"/>
      </w:pPr>
      <w:r>
        <w:t>UI Decomposition</w:t>
      </w:r>
    </w:p>
    <w:p>
      <w:r>
        <w:t>User interface modules cover multiple products and screens. Each screen should be treated as a work cell with its own data contracts and endpoints. For example:</w:t>
      </w:r>
    </w:p>
    <w:p>
      <w:pPr>
        <w:pStyle w:val="ListBullet"/>
      </w:pPr>
      <w:r>
        <w:t>LiveTrading</w:t>
      </w:r>
    </w:p>
    <w:p>
      <w:pPr>
        <w:pStyle w:val="ListBullet"/>
      </w:pPr>
      <w:r>
        <w:t>SignalsHistory</w:t>
      </w:r>
    </w:p>
    <w:p>
      <w:pPr>
        <w:pStyle w:val="ListBullet"/>
      </w:pPr>
      <w:r>
        <w:t>Configuration</w:t>
      </w:r>
    </w:p>
    <w:p>
      <w:pPr>
        <w:pStyle w:val="ListBullet"/>
      </w:pPr>
      <w:r>
        <w:t>SystemStatus</w:t>
      </w:r>
    </w:p>
    <w:p>
      <w:pPr>
        <w:pStyle w:val="ListBullet"/>
      </w:pPr>
      <w:r>
        <w:t>TradeHistory</w:t>
      </w:r>
    </w:p>
    <w:p>
      <w:pPr>
        <w:pStyle w:val="ListBullet"/>
      </w:pPr>
      <w:r>
        <w:t>HistoryAnalytics</w:t>
      </w:r>
    </w:p>
    <w:p>
      <w:pPr>
        <w:pStyle w:val="ListBullet"/>
      </w:pPr>
      <w:r>
        <w:t>DDEPriceFeed</w:t>
      </w:r>
    </w:p>
    <w:p>
      <w:pPr>
        <w:pStyle w:val="ListBullet"/>
      </w:pPr>
      <w:r>
        <w:t>EconomicCalendar</w:t>
      </w:r>
    </w:p>
    <w:p>
      <w:pPr>
        <w:pStyle w:val="ListBullet"/>
      </w:pPr>
      <w:r>
        <w:t>ReentryMatrix</w:t>
      </w:r>
    </w:p>
    <w:p>
      <w:pPr>
        <w:pStyle w:val="ListBullet"/>
      </w:pPr>
      <w:r>
        <w:t>ReentryParameterSets</w:t>
      </w:r>
    </w:p>
    <w:p>
      <w:pPr>
        <w:pStyle w:val="ListBullet"/>
      </w:pPr>
      <w:r>
        <w:t>Alerts</w:t>
      </w:r>
    </w:p>
    <w:p>
      <w:pPr>
        <w:pStyle w:val="ListBullet"/>
      </w:pPr>
      <w:r>
        <w:t>EquityRisk</w:t>
      </w:r>
    </w:p>
    <w:p>
      <w:r>
        <w:br/>
        <w:t>Gateway endpoints such as REST and WebSocket APIs (e.g., gui-gateway.rest.system_status, gui-gateway.ws.signals) should be assigned to work cells parallel to their UI screens.</w:t>
      </w:r>
    </w:p>
    <w:p>
      <w:r>
        <w:t xml:space="preserve">Evidence: </w:t>
      </w:r>
      <w:hyperlink r:id="rId21">
        <w:r>
          <w:rPr>
            <w:u w:val="single"/>
            <w:color w:val="0000FF"/>
          </w:rPr>
          <w:t>[13]</w:t>
        </w:r>
      </w:hyperlink>
      <w:hyperlink r:id="rId22">
        <w:r>
          <w:rPr>
            <w:u w:val="single"/>
            <w:color w:val="0000FF"/>
          </w:rPr>
          <w:t>[14]</w:t>
        </w:r>
      </w:hyperlink>
    </w:p>
    <w:p>
      <w:pPr>
        <w:pStyle w:val="Heading1"/>
      </w:pPr>
      <w:r>
        <w:t>Exclusions from Decomposition</w:t>
      </w:r>
    </w:p>
    <w:p>
      <w:r>
        <w:t>Some modules and components should not be decomposed further at this stage because they represent infrastructure or cross-cutting services. These include F1_CONFIG_PREFERENCES, F2_EVENT_LOG (beyond event logging duties), P1_HEALTH_AGGREGATOR, shared libraries, and infrastructure dependencies such as Redis, Postgres, Prometheus, and Docker Compose.</w:t>
      </w:r>
    </w:p>
    <w:p>
      <w:r>
        <w:t xml:space="preserve">Evidence: </w:t>
      </w:r>
      <w:hyperlink r:id="rId23">
        <w:r>
          <w:rPr>
            <w:u w:val="single"/>
            <w:color w:val="0000FF"/>
          </w:rPr>
          <w:t>[15]</w:t>
        </w:r>
      </w:hyperlink>
    </w:p>
    <w:p>
      <w:pPr>
        <w:pStyle w:val="Heading1"/>
      </w:pPr>
      <w:r>
        <w:t>Implementation Sequence</w:t>
      </w:r>
    </w:p>
    <w:p>
      <w:r>
        <w:t>The decomposition rollout should follow an orderly sequence:</w:t>
      </w:r>
    </w:p>
    <w:p>
      <w:pPr>
        <w:pStyle w:val="ListNumber"/>
      </w:pPr>
      <w:r>
        <w:rPr>
          <w:b/>
        </w:rPr>
        <w:t xml:space="preserve">Phase 1 – Derived Context Catalog: </w:t>
      </w:r>
      <w:r>
        <w:t>Create submodule_context_catalog.json as a derived AI context routing layer. This catalog must include the work cell identifier, parent module, purpose, input and output contracts, source files, required documents, allowed and forbidden context, and validation gates.</w:t>
      </w:r>
    </w:p>
    <w:p>
      <w:pPr>
        <w:pStyle w:val="ListNumber"/>
      </w:pPr>
      <w:r>
        <w:rPr>
          <w:b/>
        </w:rPr>
        <w:t xml:space="preserve">Phase 2 – Module Context Packets: </w:t>
      </w:r>
      <w:r>
        <w:t>For every canonical module, generate context packets that list source files, contracts, tests, and an AI-specific README. Work cells under each module receive their own context files, allowed files lists, and acceptance gates.</w:t>
      </w:r>
    </w:p>
    <w:p>
      <w:pPr>
        <w:pStyle w:val="ListNumber"/>
      </w:pPr>
      <w:r>
        <w:rPr>
          <w:b/>
        </w:rPr>
        <w:t xml:space="preserve">Phase 3 – Source Refactoring: </w:t>
      </w:r>
      <w:r>
        <w:t>Refactor source files only where reducing context is necessary. Begin with dense services such as calendar-ingestor, transport-router, EA executor, risk-manager, reentry-engine, and gui-gateway.</w:t>
      </w:r>
    </w:p>
    <w:p>
      <w:pPr>
        <w:pStyle w:val="ListNumber"/>
      </w:pPr>
      <w:r>
        <w:rPr>
          <w:b/>
        </w:rPr>
        <w:t xml:space="preserve">Phase 4 – AI Routing Rules: </w:t>
      </w:r>
      <w:r>
        <w:t>Write routing rules that map natural language tasks to the correct work cell context based on keywords (e.g., calendar polling routes to D2 work cells, normalization to D3, suppression to D4, CSV transport to B1, OrderSend to B2, risk sizing to R1).</w:t>
      </w:r>
    </w:p>
    <w:p>
      <w:r>
        <w:t xml:space="preserve">Evidence: </w:t>
      </w:r>
      <w:hyperlink r:id="rId24">
        <w:r>
          <w:rPr>
            <w:u w:val="single"/>
            <w:color w:val="0000FF"/>
          </w:rPr>
          <w:t>[16]</w:t>
        </w:r>
      </w:hyperlink>
      <w:hyperlink r:id="rId25">
        <w:r>
          <w:rPr>
            <w:u w:val="single"/>
            <w:color w:val="0000FF"/>
          </w:rPr>
          <w:t>[17]</w:t>
        </w:r>
      </w:hyperlink>
      <w:hyperlink r:id="rId26">
        <w:r>
          <w:rPr>
            <w:u w:val="single"/>
            <w:color w:val="0000FF"/>
          </w:rPr>
          <w:t>[18]</w:t>
        </w:r>
      </w:hyperlink>
    </w:p>
    <w:p>
      <w:pPr>
        <w:pStyle w:val="Heading1"/>
      </w:pPr>
      <w:r>
        <w:t>Additional Considerations</w:t>
      </w:r>
    </w:p>
    <w:p>
      <w:r>
        <w:t>Calendar work cells must adhere to the deterministic rules described in the EAFIX CALENDAR DES RULES document. AI tasks must reference required documents before reading implementation files, as specified by the routing instructions. Each work cell should explicitly state which documents must be consulted and which source files are allowed or forbidden. For example, a calendar normalizer work cell requires the DES rules, the module and process catalogs, and must not use MT4 or EA files.</w:t>
      </w:r>
    </w:p>
    <w:p>
      <w:r>
        <w:t>Derived context packets must not modify or override canonical definitions but instead package them for AI consumption. Any planned code changes should include the file-module mapping and services reference to guarantee that only permitted files are edited.</w:t>
      </w:r>
    </w:p>
    <w:p>
      <w:pPr>
        <w:pStyle w:val="ListBullet"/>
      </w:pPr>
      <w:r>
        <w:t>Module architecture tasks must reference: module_catalog.json, module_map, file_module_mapping.csv, process_step_catalog.json, and eafix_services_ai_reference_20260510.json.</w:t>
      </w:r>
    </w:p>
    <w:p>
      <w:pPr>
        <w:pStyle w:val="ListBullet"/>
      </w:pPr>
      <w:r>
        <w:t>Process and lifecycle tasks must reference: process_step_catalog.json and updated_trading_process_aligned.json.</w:t>
      </w:r>
    </w:p>
    <w:p>
      <w:pPr>
        <w:pStyle w:val="ListBullet"/>
      </w:pPr>
      <w:r>
        <w:t>MT4 bridge tasks must reference: communication_channels.json and mt4_authoritative_reference_for_ai.json.</w:t>
      </w:r>
    </w:p>
    <w:p>
      <w:pPr>
        <w:pStyle w:val="ListBullet"/>
      </w:pPr>
      <w:r>
        <w:t>UI work must reference: ui_catalog.json.</w:t>
      </w:r>
    </w:p>
    <w:p>
      <w:pPr>
        <w:pStyle w:val="ListBullet"/>
      </w:pPr>
      <w:r>
        <w:t>Calendar tasks must reference: EAFIX CALENDAR DES RULES.pdf and relevant modules before implementation files are opened.</w:t>
      </w:r>
    </w:p>
    <w:p>
      <w:r>
        <w:t xml:space="preserve">Evidence: </w:t>
      </w:r>
      <w:hyperlink r:id="rId9">
        <w:r>
          <w:rPr>
            <w:u w:val="single"/>
            <w:color w:val="0000FF"/>
          </w:rPr>
          <w:t>[19]</w:t>
        </w:r>
      </w:hyperlink>
      <w:hyperlink r:id="rId25">
        <w:r>
          <w:rPr>
            <w:u w:val="single"/>
            <w:color w:val="0000FF"/>
          </w:rPr>
          <w:t>[20]</w:t>
        </w:r>
      </w:hyperlink>
      <w:hyperlink r:id="rId26">
        <w:r>
          <w:rPr>
            <w:u w:val="single"/>
            <w:color w:val="0000FF"/>
          </w:rPr>
          <w:t>[21]</w:t>
        </w:r>
      </w:hyperlink>
    </w:p>
    <w:p>
      <w:pPr>
        <w:pStyle w:val="Heading1"/>
      </w:pPr>
      <w:r>
        <w:t>Conclusion</w:t>
      </w:r>
    </w:p>
    <w:p>
      <w:r>
        <w:t>The decomposition model outlined here focuses on subdividing canonical modules into work cells without creating unnecessary runtime services. By delivering precise context packets to AI agents, the model reduces context pollution, improves output quality, and shortens the path to definition of done. Implementing this model requires careful adherence to the authoritative documents and process catalogs, conservative treatment of calendar rules, and disciplined refactoring of source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2304;turn7file0&#8224;L1-L10&#12305;" TargetMode="External"/><Relationship Id="rId10" Type="http://schemas.openxmlformats.org/officeDocument/2006/relationships/hyperlink" Target="&#12304;turn6file12&#8224;L10-L20&#12305;" TargetMode="External"/><Relationship Id="rId11" Type="http://schemas.openxmlformats.org/officeDocument/2006/relationships/hyperlink" Target="&#12304;turn6file2&#8224;L1-L15&#12305;" TargetMode="External"/><Relationship Id="rId12" Type="http://schemas.openxmlformats.org/officeDocument/2006/relationships/hyperlink" Target="&#12304;turn5file17&#8224;L1-L10&#12305;" TargetMode="External"/><Relationship Id="rId13" Type="http://schemas.openxmlformats.org/officeDocument/2006/relationships/hyperlink" Target="&#12304;turn6file5&#8224;L1-L10&#12305;" TargetMode="External"/><Relationship Id="rId14" Type="http://schemas.openxmlformats.org/officeDocument/2006/relationships/hyperlink" Target="&#12304;turn5file13&#8224;L1-L10&#12305;" TargetMode="External"/><Relationship Id="rId15" Type="http://schemas.openxmlformats.org/officeDocument/2006/relationships/hyperlink" Target="&#12304;turn6file9&#8224;L1-L10&#12305;" TargetMode="External"/><Relationship Id="rId16" Type="http://schemas.openxmlformats.org/officeDocument/2006/relationships/hyperlink" Target="&#12304;turn6file7&#8224;L1-L10&#12305;" TargetMode="External"/><Relationship Id="rId17" Type="http://schemas.openxmlformats.org/officeDocument/2006/relationships/hyperlink" Target="&#12304;turn5file14&#8224;L1-L10&#12305;" TargetMode="External"/><Relationship Id="rId18" Type="http://schemas.openxmlformats.org/officeDocument/2006/relationships/hyperlink" Target="&#12304;turn2file8&#8224;L1-L10&#12305;" TargetMode="External"/><Relationship Id="rId19" Type="http://schemas.openxmlformats.org/officeDocument/2006/relationships/hyperlink" Target="&#12304;turn5file2&#8224;L1-L10&#12305;" TargetMode="External"/><Relationship Id="rId20" Type="http://schemas.openxmlformats.org/officeDocument/2006/relationships/hyperlink" Target="&#12304;turn6file16&#8224;L1-L10&#12305;" TargetMode="External"/><Relationship Id="rId21" Type="http://schemas.openxmlformats.org/officeDocument/2006/relationships/hyperlink" Target="&#12304;turn6file1&#8224;L1-L10&#12305;" TargetMode="External"/><Relationship Id="rId22" Type="http://schemas.openxmlformats.org/officeDocument/2006/relationships/hyperlink" Target="&#12304;turn6file10&#8224;L1-L10&#12305;" TargetMode="External"/><Relationship Id="rId23" Type="http://schemas.openxmlformats.org/officeDocument/2006/relationships/hyperlink" Target="&#12304;turn6file3&#8224;L1-L10&#12305;" TargetMode="External"/><Relationship Id="rId24" Type="http://schemas.openxmlformats.org/officeDocument/2006/relationships/hyperlink" Target="&#12304;turn7file6&#8224;L1-L10&#12305;" TargetMode="External"/><Relationship Id="rId25" Type="http://schemas.openxmlformats.org/officeDocument/2006/relationships/hyperlink" Target="&#12304;turn7file1&#8224;L1-L10&#12305;" TargetMode="External"/><Relationship Id="rId26" Type="http://schemas.openxmlformats.org/officeDocument/2006/relationships/hyperlink" Target="&#12304;turn7file4&#8224;L1-L10&#12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