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4000" w:type="dxa"/>
        <w:gridCol w:w="6000" w:type="dxa"/>
      </w:tblGrid>
      <w:tblPr>
        <w:tblStyle w:val="estilo3"/>
      </w:tblPr>
      <w:tr>
        <w:trPr/>
        <w:tc>
          <w:tcPr>
            <w:tcW w:w="4000" w:type="dxa"/>
            <w:gridSpan w:val="1"/>
            <w:vMerge w:val="restart"/>
          </w:tcPr>
          <w:p>
            <w:pPr/>
            <w:r>
              <w:rPr/>
              <w:t xml:space="preserve"/>
            </w:r>
          </w:p>
        </w:tc>
        <w:tc>
          <w:tcPr>
            <w:tcW w:w="6000" w:type="dxa"/>
            <w:gridSpan w:val="1"/>
            <w:vMerge w:val="restart"/>
          </w:tcPr>
          <w:p>
            <w:pPr>
              <w:jc w:val="center"/>
              <w:spacing w:before="0" w:after="0"/>
            </w:pPr>
            <w:r>
              <w:rPr>
                <w:rFonts w:ascii="Century Gothic" w:hAnsi="Century Gothic" w:eastAsia="Century Gothic" w:cs="Century Gothic"/>
                <w:sz w:val="16"/>
                <w:szCs w:val="16"/>
                <w:b w:val="1"/>
                <w:bCs w:val="1"/>
              </w:rPr>
              <w:t xml:space="preserve">IMPUESTO PREDIAL UNIFICADO Y COMPLEMENTARIOS  LIQUIDACIÓN OFICIAL No.</w:t>
            </w:r>
          </w:p>
        </w:tc>
      </w:tr>
      <w:tr>
        <w:trPr/>
        <w:tc>
          <w:tcPr>
            <w:tcW w:w="4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6000" w:type="dxa"/>
          </w:tcPr>
          <w:p>
            <w:pPr>
              <w:jc w:val="center"/>
              <w:spacing w:before="0" w:after="0"/>
            </w:pPr>
            <w:r>
              <w:rPr>
                <w:rFonts w:ascii="Century Gothic" w:hAnsi="Century Gothic" w:eastAsia="Century Gothic" w:cs="Century Gothic"/>
                <w:sz w:val="16"/>
                <w:szCs w:val="16"/>
              </w:rPr>
              <w:t xml:space="preserve">La Dirección de Impuestos, Rentas y Jurisdicción Coactivo del Municipio de Paipa según el Acuerdo 019 de 2022, Decreto 009 de 2017, Decreto 011 de 2017, Resolución 090 de 2017 y Resolución 004 de 2024, determina oficialmente los siguientes periodos gravables del Impuesto Predial Unificado.</w:t>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3000" w:type="dxa"/>
        <w:gridCol w:w="2000" w:type="dxa"/>
        <w:gridCol w:w="3000" w:type="dxa"/>
      </w:tblGrid>
      <w:tblPr>
        <w:tblStyle w:val="estilo4"/>
      </w:tblP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CÓDIGO CATASTRAL</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0000000000010213000000000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CÓDIGO ANTERIOR:</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000000000001021</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PROPIETARIO:</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WILLIAM ROJAS SOCHA</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C.C. O NIT:</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79396724</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DIRECCIÓN DE COBRO:</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XXX QUEBRADA HONDA</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DIRECCIÓN:</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XXX QUEBRADA HONDA</w:t>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2000" w:type="dxa"/>
        <w:gridCol w:w="2000" w:type="dxa"/>
        <w:gridCol w:w="2000" w:type="dxa"/>
        <w:gridCol w:w="2000" w:type="dxa"/>
        <w:gridCol w:w="2000" w:type="dxa"/>
        <w:gridCol w:w="2000" w:type="dxa"/>
        <w:gridCol w:w="2000" w:type="dxa"/>
        <w:gridCol w:w="2000" w:type="dxa"/>
      </w:tblGrid>
      <w:tblPr>
        <w:tblStyle w:val="estilo5"/>
      </w:tblP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No RECIBO ANT:</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AÑOS A PAGAR</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PAGUE ANTES DE</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ÁREA HA:</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ÁREA M2:</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773.00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CONSTRUIDA</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r>
      <w:tr>
        <w:trPr/>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2022</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2025-03-18</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ÚLT AÑO PAG: </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2011</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FECHA PAG:</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VALOR PAGADO:</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2000" w:type="dxa"/>
        <w:gridCol w:w="2000" w:type="dxa"/>
        <w:gridCol w:w="2000" w:type="dxa"/>
        <w:gridCol w:w="2000" w:type="dxa"/>
        <w:gridCol w:w="2000" w:type="dxa"/>
        <w:gridCol w:w="2000" w:type="dxa"/>
        <w:gridCol w:w="2000" w:type="dxa"/>
        <w:gridCol w:w="2000" w:type="dxa"/>
      </w:tblGrid>
      <w:tblPr>
        <w:tblStyle w:val="estilo7"/>
      </w:tblPr>
      <w:tr>
        <w:trPr/>
        <w:tc>
          <w:tcPr>
            <w:tcW w:w="10000" w:type="dxa"/>
            <w:gridSpan w:val="9"/>
            <w:vMerge w:val="restart"/>
          </w:tcPr>
          <w:p>
            <w:pPr>
              <w:jc w:val="center"/>
              <w:spacing w:before="0" w:after="0"/>
            </w:pPr>
            <w:r>
              <w:rPr>
                <w:rFonts w:ascii="Century Gothic" w:hAnsi="Century Gothic" w:eastAsia="Century Gothic" w:cs="Century Gothic"/>
                <w:sz w:val="16"/>
                <w:szCs w:val="16"/>
                <w:b w:val="1"/>
                <w:bCs w:val="1"/>
              </w:rPr>
              <w:t xml:space="preserve">DETALLE DE PAGO</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AÑO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%Mil TAR</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AVALÚO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IMPUESTO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INTERÉS</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DESCUENTO IMP</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ALUMBRADO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OTROS</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TOTAL</w:t>
            </w:r>
          </w:p>
        </w:tc>
      </w:tr>
      <w:tr>
        <w:trPr/>
        <w:tc>
          <w:tcPr>
            <w:tcW w:w="2000" w:type="dxa"/>
            <w:gridSpan w:val="1"/>
            <w:vMerge w:val="restart"/>
          </w:tcPr>
          <w:p>
            <w:pPr>
              <w:jc w:val="center"/>
              <w:spacing w:before="0" w:after="0"/>
            </w:pPr>
            <w:r>
              <w:rPr>
                <w:rFonts w:ascii="Century Gothic" w:hAnsi="Century Gothic" w:eastAsia="Century Gothic" w:cs="Century Gothic"/>
                <w:sz w:val="16"/>
                <w:szCs w:val="16"/>
              </w:rPr>
              <w:t xml:space="preserve">2022</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3.00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55,500.00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16,700.00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16,700.00</w:t>
            </w:r>
          </w:p>
        </w:tc>
      </w:tr>
      <w:tr>
        <w:trPr/>
        <w:tc>
          <w:tcPr>
            <w:tcW w:w="2000" w:type="dxa"/>
            <w:gridSpan w:val="3"/>
            <w:vMerge w:val="restart"/>
          </w:tcPr>
          <w:p>
            <w:pPr>
              <w:jc w:val="center"/>
              <w:spacing w:before="0" w:after="0"/>
            </w:pPr>
            <w:r>
              <w:rPr>
                <w:rFonts w:ascii="Century Gothic" w:hAnsi="Century Gothic" w:eastAsia="Century Gothic" w:cs="Century Gothic"/>
                <w:sz w:val="16"/>
                <w:szCs w:val="16"/>
                <w:b w:val="1"/>
                <w:bCs w:val="1"/>
              </w:rPr>
              <w:t xml:space="preserve">TOTALES</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16,700.00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16,700.00</w:t>
            </w:r>
          </w:p>
        </w:tc>
      </w:tr>
    </w:tbl>
    <w:p>
      <w:pPr>
        <w:jc w:val="left"/>
        <w:spacing w:before="0" w:after="0"/>
      </w:pPr>
      <w:r>
        <w:rPr>
          <w:rFonts w:ascii="Century Gothic" w:hAnsi="Century Gothic" w:eastAsia="Century Gothic" w:cs="Century Gothic"/>
          <w:sz w:val="12"/>
          <w:szCs w:val="12"/>
        </w:rPr>
        <w:t xml:space="preserve">Los intereses deberán ser cancelados de acuerdo al valor causado por cada día calendario de retardo hasta la fecha efectiva de pago.</w:t>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________________________________________________________________________________________________________</w:t>
      </w:r>
    </w:p>
    <w:tbl>
      <w:tblGrid>
        <w:gridCol w:w="2500" w:type="dxa"/>
        <w:gridCol w:w="2500" w:type="dxa"/>
        <w:gridCol w:w="2500" w:type="dxa"/>
        <w:gridCol w:w="2500" w:type="dxa"/>
      </w:tblGrid>
      <w:tblPr>
        <w:tblStyle w:val="estilo10"/>
      </w:tblPr>
      <w:tr>
        <w:trPr/>
        <w:tc>
          <w:tcPr>
            <w:tcW w:w="2500" w:type="dxa"/>
            <w:gridSpan w:val="1"/>
            <w:vMerge w:val="restart"/>
          </w:tcPr>
          <w:p>
            <w:pPr/>
            <w:r>
              <w:rPr/>
              <w:t xml:space="preserve"/>
            </w:r>
          </w:p>
        </w:tc>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Formulario No </w:t>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Referencia No </w:t>
            </w:r>
          </w:p>
        </w:tc>
      </w:tr>
      <w:tr>
        <w:trPr/>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-USUARIO-</w:t>
            </w:r>
          </w:p>
        </w:tc>
        <w:tc>
          <w:tcPr>
            <w:tcW w:w="2500" w:type="dxa"/>
            <w:gridSpan w:val="1"/>
            <w:vMerge w:val="restart"/>
          </w:tcPr>
          <w:p>
            <w:pPr/>
            <w:r>
              <w:rPr/>
              <w:t xml:space="preserve"/>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18/03/2025   2:46PM</w:t>
            </w:r>
          </w:p>
        </w:tc>
      </w:tr>
      <w:tr>
        <w:trPr/>
        <w:tc>
          <w:tcPr>
            <w:tcW w:w="2500" w:type="dxa"/>
            <w:gridSpan w:val="1"/>
            <w:vMerge w:val="restart"/>
          </w:tcPr>
          <w:p>
            <w:pPr/>
            <w:r>
              <w:rPr/>
              <w:t xml:space="preserve"/>
            </w:r>
          </w:p>
        </w:tc>
        <w:tc>
          <w:tcPr>
            <w:tcW w:w="5000" w:type="dxa"/>
            <w:gridSpan w:val="2"/>
            <w:vMerge w:val="restart"/>
          </w:tcPr>
          <w:p>
            <w:pPr>
              <w:jc w:val="right"/>
              <w:spacing w:before="0" w:after="0"/>
            </w:pPr>
            <w:r>
              <w:rPr>
                <w:rFonts w:ascii="Century Gothic" w:hAnsi="Century Gothic" w:eastAsia="Century Gothic" w:cs="Century Gothic"/>
                <w:sz w:val="14"/>
                <w:szCs w:val="14"/>
                <w:b w:val="1"/>
                <w:bCs w:val="1"/>
              </w:rPr>
              <w:t xml:space="preserve">Pague hasta 2025-03-18</w:t>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16,700.00</w:t>
            </w:r>
          </w:p>
        </w:tc>
      </w:tr>
    </w:tbl>
    <w:tbl>
      <w:tblGrid>
        <w:gridCol w:w="5000" w:type="dxa"/>
        <w:gridCol w:w="5000" w:type="dxa"/>
      </w:tblGrid>
      <w:tblPr>
        <w:tblStyle w:val="estilo3"/>
      </w:tblPr>
      <w:tr>
        <w:trPr/>
        <w:tc>
          <w:tcPr>
            <w:tcW w:w="5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5000" w:type="dxa"/>
            <w:gridSpan w:val="1"/>
            <w:vMerge w:val="restart"/>
          </w:tcPr>
          <w:p>
            <w:pPr>
              <w:jc w:val="right"/>
            </w:pPr>
            <w:r>
              <w:pict>
                <v:shape type="#_x0000_t75" stroked="f" style="width:250pt; height:50pt; margin-left:0pt; margin-top:0pt; mso-position-horizontal:left; mso-position-vertical:top; mso-position-horizontal-relative:char; mso-position-vertical-relative:line;">
                  <w10:wrap type="inline"/>
                  <v:imagedata r:id="rId8" o:title=""/>
                </v:shape>
              </w:pict>
            </w:r>
          </w:p>
        </w:tc>
      </w:tr>
    </w:tbl>
    <w:p>
      <w:pPr>
        <w:jc w:val="center"/>
        <w:spacing w:before="0" w:after="0"/>
      </w:pPr>
      <w:r>
        <w:rPr>
          <w:rFonts w:ascii="Century Gothic" w:hAnsi="Century Gothic" w:eastAsia="Century Gothic" w:cs="Century Gothic"/>
          <w:sz w:val="16"/>
          <w:szCs w:val="16"/>
          <w:b w:val="1"/>
          <w:bCs w:val="1"/>
        </w:rPr>
        <w:t xml:space="preserve">________________________________________________________________________________________________________</w:t>
      </w:r>
    </w:p>
    <w:tbl>
      <w:tblGrid>
        <w:gridCol w:w="2500" w:type="dxa"/>
        <w:gridCol w:w="2500" w:type="dxa"/>
        <w:gridCol w:w="2500" w:type="dxa"/>
        <w:gridCol w:w="2500" w:type="dxa"/>
      </w:tblGrid>
      <w:tblPr>
        <w:tblStyle w:val="estilo10"/>
      </w:tblPr>
      <w:tr>
        <w:trPr/>
        <w:tc>
          <w:tcPr>
            <w:tcW w:w="2500" w:type="dxa"/>
            <w:gridSpan w:val="1"/>
            <w:vMerge w:val="restart"/>
          </w:tcPr>
          <w:p>
            <w:pPr/>
            <w:r>
              <w:rPr/>
              <w:t xml:space="preserve"/>
            </w:r>
          </w:p>
        </w:tc>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Formulario No </w:t>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Referencia No </w:t>
            </w:r>
          </w:p>
        </w:tc>
      </w:tr>
      <w:tr>
        <w:trPr/>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-BANCO-</w:t>
            </w:r>
          </w:p>
        </w:tc>
        <w:tc>
          <w:tcPr>
            <w:tcW w:w="2500" w:type="dxa"/>
            <w:gridSpan w:val="1"/>
            <w:vMerge w:val="restart"/>
          </w:tcPr>
          <w:p>
            <w:pPr/>
            <w:r>
              <w:rPr/>
              <w:t xml:space="preserve"/>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18/03/2025   2:46PM</w:t>
            </w:r>
          </w:p>
        </w:tc>
      </w:tr>
      <w:tr>
        <w:trPr/>
        <w:tc>
          <w:tcPr>
            <w:tcW w:w="2500" w:type="dxa"/>
            <w:gridSpan w:val="1"/>
            <w:vMerge w:val="restart"/>
          </w:tcPr>
          <w:p>
            <w:pPr/>
            <w:r>
              <w:rPr/>
              <w:t xml:space="preserve"/>
            </w:r>
          </w:p>
        </w:tc>
        <w:tc>
          <w:tcPr>
            <w:tcW w:w="5000" w:type="dxa"/>
            <w:gridSpan w:val="2"/>
            <w:vMerge w:val="restart"/>
          </w:tcPr>
          <w:p>
            <w:pPr>
              <w:jc w:val="right"/>
              <w:spacing w:before="0" w:after="0"/>
            </w:pPr>
            <w:r>
              <w:rPr>
                <w:rFonts w:ascii="Century Gothic" w:hAnsi="Century Gothic" w:eastAsia="Century Gothic" w:cs="Century Gothic"/>
                <w:sz w:val="14"/>
                <w:szCs w:val="14"/>
                <w:b w:val="1"/>
                <w:bCs w:val="1"/>
              </w:rPr>
              <w:t xml:space="preserve">Pague hasta 2025-03-18</w:t>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16,700.00</w:t>
            </w:r>
          </w:p>
        </w:tc>
      </w:tr>
    </w:tbl>
    <w:tbl>
      <w:tblGrid>
        <w:gridCol w:w="5000" w:type="dxa"/>
        <w:gridCol w:w="5000" w:type="dxa"/>
      </w:tblGrid>
      <w:tblPr>
        <w:tblStyle w:val="estilo3"/>
      </w:tblPr>
      <w:tr>
        <w:trPr/>
        <w:tc>
          <w:tcPr>
            <w:tcW w:w="5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5000" w:type="dxa"/>
            <w:gridSpan w:val="1"/>
            <w:vMerge w:val="restart"/>
          </w:tcPr>
          <w:p>
            <w:pPr>
              <w:jc w:val="right"/>
            </w:pPr>
            <w:r>
              <w:pict>
                <v:shape type="#_x0000_t75" stroked="f" style="width:250pt; height:50pt; margin-left:0pt; margin-top:0pt; mso-position-horizontal:left; mso-position-vertical:top; mso-position-horizontal-relative:char; mso-position-vertical-relative:line;">
                  <w10:wrap type="inline"/>
                  <v:imagedata r:id="rId8" o:title=""/>
                </v:shape>
              </w:pict>
            </w:r>
          </w:p>
        </w:tc>
      </w:tr>
    </w:tbl>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tbl>
      <w:tblGrid>
        <w:gridCol w:w="10000" w:type="dxa"/>
      </w:tblGrid>
      <w:tblPr>
        <w:tblStyle w:val="estilo6"/>
      </w:tblPr>
      <w:tr>
        <w:trPr/>
        <w:tc>
          <w:tcPr>
            <w:tcW w:w="10000" w:type="dxa"/>
            <w:gridSpan w:val="1"/>
            <w:vMerge w:val="restart"/>
          </w:tcPr>
          <w:p>
            <w:pPr>
              <w:jc w:val="center"/>
            </w:pPr>
            <w:r>
              <w:rPr>
                <w:rFonts w:ascii="Century Gothic" w:hAnsi="Century Gothic" w:eastAsia="Century Gothic" w:cs="Century Gothic"/>
                <w:sz w:val="16"/>
                <w:szCs w:val="16"/>
                <w:b w:val="1"/>
                <w:bCs w:val="1"/>
              </w:rPr>
              <w:t xml:space="preserve">LIQUIDACION-FACTURA</w:t>
            </w:r>
          </w:p>
        </w:tc>
      </w:tr>
      <w:tr>
        <w:trPr/>
        <w:tc>
          <w:tcPr>
            <w:tcW w:w="10000" w:type="dxa"/>
            <w:gridSpan w:val="1"/>
            <w:vMerge w:val="restart"/>
          </w:tcPr>
          <w:p>
            <w:pPr>
              <w:jc w:val="center"/>
            </w:pPr>
            <w:r>
              <w:rPr>
                <w:rFonts w:ascii="Century Gothic" w:hAnsi="Century Gothic" w:eastAsia="Century Gothic" w:cs="Century Gothic"/>
                <w:sz w:val="16"/>
                <w:szCs w:val="16"/>
                <w:b w:val="1"/>
                <w:bCs w:val="1"/>
              </w:rPr>
              <w:t xml:space="preserve">IMPUESTO PREDIAL UNIFICADO</w:t>
            </w:r>
          </w:p>
        </w:tc>
      </w:tr>
    </w:tbl>
    <w:p>
      <w:pPr>
        <w:jc w:val="both"/>
        <w:spacing w:line="240" w:lineRule="auto"/>
      </w:pPr>
      <w:r>
        <w:rPr>
          <w:rFonts w:ascii="Century Gothic" w:hAnsi="Century Gothic" w:eastAsia="Century Gothic" w:cs="Century Gothic"/>
          <w:sz w:val="16"/>
          <w:szCs w:val="16"/>
          <w:b w:val="1"/>
          <w:bCs w:val="1"/>
        </w:rPr>
        <w:t xml:space="preserve">1. COMPETENCIA:</w:t>
      </w:r>
    </w:p>
    <w:p>
      <w:pPr>
        <w:jc w:val="both"/>
      </w:pPr>
      <w:r>
        <w:rPr>
          <w:rFonts w:ascii="Century Gothic" w:hAnsi="Century Gothic" w:eastAsia="Century Gothic" w:cs="Century Gothic"/>
          <w:sz w:val="16"/>
          <w:szCs w:val="16"/>
        </w:rPr>
        <w:t xml:space="preserve">La Dirección de impuestos, Rentas y Jurisdicción Coactiva de la Secretaria de Hacienda del Municipio de Paipa, en uso de sus atribuciones conferidas por las Resoluciones 045 y 090 de 2017, Decreto 009 de 2017 y  la Resolución 004 de 2024, es competente para realizar la liquidación factura del impuesto predial unificado.</w:t>
      </w:r>
    </w:p>
    <w:p>
      <w:pPr>
        <w:jc w:val="both"/>
        <w:spacing w:line="240" w:lineRule="auto"/>
      </w:pPr>
      <w:r>
        <w:rPr>
          <w:rFonts w:ascii="Century Gothic" w:hAnsi="Century Gothic" w:eastAsia="Century Gothic" w:cs="Century Gothic"/>
          <w:sz w:val="16"/>
          <w:szCs w:val="16"/>
          <w:b w:val="1"/>
          <w:bCs w:val="1"/>
        </w:rPr>
        <w:t xml:space="preserve">2. FUNDAMENTO DE LA LIQUIDIACIÓN:</w:t>
      </w:r>
    </w:p>
    <w:p>
      <w:pPr>
        <w:jc w:val="both"/>
        <w:spacing w:line="240" w:lineRule="auto"/>
      </w:pPr>
      <w:r>
        <w:rPr>
          <w:rFonts w:ascii="Century Gothic" w:hAnsi="Century Gothic" w:eastAsia="Century Gothic" w:cs="Century Gothic"/>
          <w:sz w:val="16"/>
          <w:szCs w:val="16"/>
        </w:rPr>
        <w:t xml:space="preserve">A. Consultada la base de datos de contribuyentes del impuesto predial unificado, se encuentra que el predio identificado con código catastral No. </w:t>
      </w:r>
      <w:r>
        <w:rPr>
          <w:rFonts w:ascii="Century Gothic" w:hAnsi="Century Gothic" w:eastAsia="Century Gothic" w:cs="Century Gothic"/>
          <w:sz w:val="16"/>
          <w:szCs w:val="16"/>
          <w:b w:val="1"/>
          <w:bCs w:val="1"/>
        </w:rPr>
        <w:t xml:space="preserve">0000000000010213000000000</w:t>
      </w:r>
      <w:r>
        <w:rPr>
          <w:rFonts w:ascii="Century Gothic" w:hAnsi="Century Gothic" w:eastAsia="Century Gothic" w:cs="Century Gothic"/>
          <w:sz w:val="16"/>
          <w:szCs w:val="16"/>
        </w:rPr>
        <w:t xml:space="preserve"> cuya propiedad figura a nombre de </w:t>
      </w:r>
      <w:r>
        <w:rPr>
          <w:rFonts w:ascii="Century Gothic" w:hAnsi="Century Gothic" w:eastAsia="Century Gothic" w:cs="Century Gothic"/>
          <w:sz w:val="16"/>
          <w:szCs w:val="16"/>
          <w:b w:val="1"/>
          <w:bCs w:val="1"/>
        </w:rPr>
        <w:t xml:space="preserve"> WILLIAM ROJAS SOCHA </w:t>
      </w:r>
      <w:r>
        <w:rPr>
          <w:rFonts w:ascii="Century Gothic" w:hAnsi="Century Gothic" w:eastAsia="Century Gothic" w:cs="Century Gothic"/>
          <w:sz w:val="16"/>
          <w:szCs w:val="16"/>
        </w:rPr>
        <w:t xml:space="preserve">, a la fecha presenta obligaciones pendientes de pago por dicho concepto correspondiente a la vigencia </w:t>
      </w:r>
      <w:r>
        <w:rPr>
          <w:rFonts w:ascii="Century Gothic" w:hAnsi="Century Gothic" w:eastAsia="Century Gothic" w:cs="Century Gothic"/>
          <w:sz w:val="16"/>
          <w:szCs w:val="16"/>
          <w:b w:val="1"/>
          <w:bCs w:val="1"/>
        </w:rPr>
        <w:t xml:space="preserve">2022</w:t>
      </w:r>
      <w:r>
        <w:rPr>
          <w:rFonts w:ascii="Century Gothic" w:hAnsi="Century Gothic" w:eastAsia="Century Gothic" w:cs="Century Gothic"/>
          <w:sz w:val="16"/>
          <w:szCs w:val="16"/>
        </w:rPr>
        <w:t xml:space="preserve">.</w:t>
      </w:r>
    </w:p>
    <w:p>
      <w:pPr>
        <w:jc w:val="both"/>
        <w:spacing w:line="240" w:lineRule="auto"/>
      </w:pPr>
      <w:r>
        <w:rPr>
          <w:rFonts w:ascii="Century Gothic" w:hAnsi="Century Gothic" w:eastAsia="Century Gothic" w:cs="Century Gothic"/>
          <w:sz w:val="16"/>
          <w:szCs w:val="16"/>
        </w:rPr>
        <w:t xml:space="preserve">B. Que el artículo 11 del Decreto 009 del 13 de enero de 2017 concordante con el artículo 354 de la Ley 1819 de 2016, establece que para efectos de la facturación del Impuesto Predial Unificado, así como para la notificación de los actos devueltos por correo por causal diferente a dirección errada, la notificación se realizará mediante publicación mediante inserción en la página Web de la Alcaldía Municipal de Paipa, de tal suerte que el envió que del acto se haga a la dirección del predio surte efecto de divulgación adicional sin que la omisión de esta formalidad invalide la notificación efectuada.</w:t>
      </w:r>
    </w:p>
    <w:p>
      <w:pPr>
        <w:jc w:val="both"/>
        <w:spacing w:line="240" w:lineRule="auto"/>
      </w:pPr>
      <w:r>
        <w:rPr>
          <w:rFonts w:ascii="Century Gothic" w:hAnsi="Century Gothic" w:eastAsia="Century Gothic" w:cs="Century Gothic"/>
          <w:sz w:val="16"/>
          <w:szCs w:val="16"/>
          <w:b w:val="1"/>
          <w:bCs w:val="1"/>
        </w:rPr>
        <w:t xml:space="preserve">3. ASPECTOS LEGALES Y PROCEDIMENTALES:</w:t>
      </w:r>
    </w:p>
    <w:p>
      <w:pPr>
        <w:jc w:val="both"/>
        <w:spacing w:line="240" w:lineRule="auto"/>
      </w:pPr>
      <w:r>
        <w:rPr>
          <w:rFonts w:ascii="Century Gothic" w:hAnsi="Century Gothic" w:eastAsia="Century Gothic" w:cs="Century Gothic"/>
          <w:sz w:val="16"/>
          <w:szCs w:val="16"/>
          <w:b w:val="1"/>
          <w:bCs w:val="1"/>
        </w:rPr>
        <w:t xml:space="preserve">3.1. SUJETO PASIVOS DEL IMPUESTO PREDIAL UNIFICADO: </w:t>
      </w:r>
      <w:r>
        <w:rPr>
          <w:rFonts w:ascii="Century Gothic" w:hAnsi="Century Gothic" w:eastAsia="Century Gothic" w:cs="Century Gothic"/>
          <w:sz w:val="16"/>
          <w:szCs w:val="16"/>
        </w:rPr>
        <w:t xml:space="preserve">Los sujetos pasivos del impuesto predial unificado se encuentran establecidos en el artículo 24 del Acuerdo Municipal N° 019 de 2022.</w:t>
      </w:r>
    </w:p>
    <w:p>
      <w:pPr>
        <w:jc w:val="both"/>
        <w:spacing w:line="240" w:lineRule="auto"/>
      </w:pPr>
      <w:r>
        <w:rPr>
          <w:rFonts w:ascii="Century Gothic" w:hAnsi="Century Gothic" w:eastAsia="Century Gothic" w:cs="Century Gothic"/>
          <w:sz w:val="16"/>
          <w:szCs w:val="16"/>
          <w:b w:val="1"/>
          <w:bCs w:val="1"/>
        </w:rPr>
        <w:t xml:space="preserve">3.2. INTERESES MORATORIOS: </w:t>
      </w:r>
      <w:r>
        <w:rPr>
          <w:rFonts w:ascii="Century Gothic" w:hAnsi="Century Gothic" w:eastAsia="Century Gothic" w:cs="Century Gothic"/>
          <w:sz w:val="16"/>
          <w:szCs w:val="16"/>
        </w:rPr>
        <w:t xml:space="preserve">Artículos 72 y 79 del Decreto Municipal N° 009 de 2017, establecen los intereses moratorios y la determinación de la tasa de interés moratorio de conformidad con los artículos 634 y 635 del Estatuto Tributario Nacional, los cuales se causan a partir del vencimiento del plazo establecido para realizar su pago. Los intereses moratorios aquí determinados se actualizarán hasta el momento del pago efectivo.</w:t>
      </w:r>
    </w:p>
    <w:p>
      <w:pPr>
        <w:jc w:val="both"/>
        <w:spacing w:line="240" w:lineRule="auto"/>
      </w:pPr>
      <w:r>
        <w:rPr>
          <w:rFonts w:ascii="Century Gothic" w:hAnsi="Century Gothic" w:eastAsia="Century Gothic" w:cs="Century Gothic"/>
          <w:sz w:val="16"/>
          <w:szCs w:val="16"/>
          <w:b w:val="1"/>
          <w:bCs w:val="1"/>
        </w:rPr>
        <w:t xml:space="preserve">3.3. PROCEDENCIA DE LA NOTIFICACIÓN A TRAVÉS DE LA INSERCIÓN EN PAGINA WEB: </w:t>
      </w:r>
      <w:r>
        <w:rPr>
          <w:rFonts w:ascii="Century Gothic" w:hAnsi="Century Gothic" w:eastAsia="Century Gothic" w:cs="Century Gothic"/>
          <w:sz w:val="16"/>
          <w:szCs w:val="16"/>
        </w:rPr>
        <w:t xml:space="preserve">La notificación de la liquidación factura a través de la inserción en página web es procedente de conformidad con los artículos 11 del Decreto 009 del 13 de enero  de 2017 y 354 de la Ley 1819 de 2016.</w:t>
      </w:r>
    </w:p>
    <w:p>
      <w:pPr>
        <w:jc w:val="both"/>
        <w:spacing w:line="240" w:lineRule="auto"/>
      </w:pPr>
      <w:r>
        <w:rPr>
          <w:rFonts w:ascii="Century Gothic" w:hAnsi="Century Gothic" w:eastAsia="Century Gothic" w:cs="Century Gothic"/>
          <w:sz w:val="16"/>
          <w:szCs w:val="16"/>
          <w:b w:val="1"/>
          <w:bCs w:val="1"/>
        </w:rPr>
        <w:t xml:space="preserve">3.4. RECURSOS QUE PROCEDEN: </w:t>
      </w:r>
      <w:r>
        <w:rPr>
          <w:rFonts w:ascii="Century Gothic" w:hAnsi="Century Gothic" w:eastAsia="Century Gothic" w:cs="Century Gothic"/>
          <w:sz w:val="16"/>
          <w:szCs w:val="16"/>
        </w:rPr>
        <w:t xml:space="preserve">Contra la presente liquidación factura procede el recurso de reconsideración, el cual podrá interponerse dentro de los dos (2) meses siguientes a su publicación, de acuerdo a lo establecido por los artículos 720 y 722 del Estatuto Tributario Nacional.</w:t>
      </w:r>
    </w:p>
    <w:p>
      <w:pPr>
        <w:jc w:val="both"/>
        <w:spacing w:line="240" w:lineRule="auto"/>
      </w:pPr>
      <w:r>
        <w:rPr>
          <w:rFonts w:ascii="Century Gothic" w:hAnsi="Century Gothic" w:eastAsia="Century Gothic" w:cs="Century Gothic"/>
          <w:sz w:val="16"/>
          <w:szCs w:val="16"/>
          <w:b w:val="1"/>
          <w:bCs w:val="1"/>
        </w:rPr>
        <w:t xml:space="preserve">3.5. MERITO EJECUTIVO: </w:t>
      </w:r>
      <w:r>
        <w:rPr>
          <w:rFonts w:ascii="Century Gothic" w:hAnsi="Century Gothic" w:eastAsia="Century Gothic" w:cs="Century Gothic"/>
          <w:sz w:val="16"/>
          <w:szCs w:val="16"/>
        </w:rPr>
        <w:t xml:space="preserve">El no pago oportuno de las obligaciones aquí establecidas o el no ejercicio de las acciones otorgadas en la ley, conlleva a la firmeza de la liquidación factura, con lo cual puede ser cobrada por vía coactiva.</w:t>
      </w:r>
    </w:p>
    <w:p>
      <w:pPr>
        <w:jc w:val="both"/>
        <w:spacing w:line="240" w:lineRule="auto"/>
      </w:pPr>
      <w:r>
        <w:rPr>
          <w:rFonts w:ascii="Century Gothic" w:hAnsi="Century Gothic" w:eastAsia="Century Gothic" w:cs="Century Gothic"/>
          <w:sz w:val="16"/>
          <w:szCs w:val="16"/>
          <w:b w:val="1"/>
          <w:bCs w:val="1"/>
        </w:rPr>
        <w:t xml:space="preserve">3.6 ANEXOS: </w:t>
      </w:r>
      <w:r>
        <w:rPr>
          <w:rFonts w:ascii="Century Gothic" w:hAnsi="Century Gothic" w:eastAsia="Century Gothic" w:cs="Century Gothic"/>
          <w:sz w:val="16"/>
          <w:szCs w:val="16"/>
        </w:rPr>
        <w:t xml:space="preserve">Los anexos hacen parte integral del acto administrativo.</w:t>
      </w:r>
    </w:p>
    <w:p>
      <w:pPr>
        <w:pStyle w:val="estilo20"/>
      </w:pPr>
      <w:r>
        <w:pict>
          <v:shape type="#_x0000_t75" stroked="f" style="width:200pt; height:50pt; margin-left:0pt; margin-top:0pt; mso-position-horizontal:left; mso-position-vertical:top; mso-position-horizontal-relative:char; mso-position-vertical-relative:line;">
            <w10:wrap type="inline"/>
            <v:imagedata r:id="rId9" o:title=""/>
          </v:shape>
        </w:pict>
      </w:r>
    </w:p>
    <w:sectPr>
      <w:pgSz w:orient="portrait" w:w="12240" w:h="15840"/>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5"/>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S-MX"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S-MX"/>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estilo3">
    <w:name w:val="estilo3"/>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 w:type="table" w:customStyle="1" w:styleId="estilo4">
    <w:name w:val="estilo4"/>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5">
    <w:name w:val="estilo5"/>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7">
    <w:name w:val="estilo7"/>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10">
    <w:name w:val="estilo10"/>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 w:type="table" w:customStyle="1" w:styleId="estilo6">
    <w:name w:val="estilo6"/>
    <w:uiPriority w:val="99"/>
    <w:tblPr>
      <w:jc w:val="center"/>
      <w:tblW w:w="0" w:type="auto"/>
      <w:tblLayout w:type="autofit"/>
      <w:bidiVisual w:val="0"/>
    </w:tblPr>
  </w:style>
  <w:style w:type="table" w:customStyle="1" w:styleId="estilo8">
    <w:name w:val="estilo8"/>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ERPSOFTSAS</dc:creator>
  <dc:title>Texto</dc:title>
  <dc:description/>
  <dc:subject/>
  <cp:keywords/>
  <cp:category/>
  <cp:lastModifiedBy/>
  <dcterms:created xsi:type="dcterms:W3CDTF">2025-03-18T14:46:05-05:00</dcterms:created>
  <dcterms:modified xsi:type="dcterms:W3CDTF">2025-03-18T14:46:05-05:00</dcterms:modified>
</cp:coreProperties>
</file>

<file path=docProps/custom.xml><?xml version="1.0" encoding="utf-8"?>
<Properties xmlns="http://schemas.openxmlformats.org/officeDocument/2006/custom-properties" xmlns:vt="http://schemas.openxmlformats.org/officeDocument/2006/docPropsVTypes"/>
</file>