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D26A" w14:textId="77777777" w:rsidR="00EE56B9" w:rsidRPr="00293362" w:rsidRDefault="00EE56B9" w:rsidP="00EE56B9">
      <w:pPr>
        <w:pStyle w:val="Textosinformato"/>
        <w:rPr>
          <w:rFonts w:ascii="Arial" w:hAnsi="Arial" w:cs="Arial"/>
          <w:b/>
          <w:bCs/>
          <w:kern w:val="0"/>
          <w:sz w:val="24"/>
          <w:szCs w:val="24"/>
          <w:lang w:val="es-CO" w:eastAsia="en-US"/>
          <w14:ligatures w14:val="none"/>
        </w:rPr>
      </w:pPr>
      <w:r w:rsidRPr="00293362">
        <w:rPr>
          <w:rFonts w:ascii="Arial" w:hAnsi="Arial" w:cs="Arial"/>
          <w:b/>
          <w:bCs/>
          <w:kern w:val="0"/>
          <w:sz w:val="24"/>
          <w:szCs w:val="24"/>
          <w:lang w:val="es-CO" w:eastAsia="en-US"/>
          <w14:ligatures w14:val="none"/>
        </w:rPr>
        <w:t>MATRIZ LEAN CANVAS — TALENTLAB</w:t>
      </w:r>
    </w:p>
    <w:p w14:paraId="2825D99E" w14:textId="77777777" w:rsidR="00EE56B9" w:rsidRPr="00293362" w:rsidRDefault="00EE56B9" w:rsidP="00EE56B9">
      <w:pPr>
        <w:pStyle w:val="Textosinformato"/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</w:pPr>
    </w:p>
    <w:p w14:paraId="4F1A4336" w14:textId="77777777" w:rsidR="00EE56B9" w:rsidRDefault="00EE56B9" w:rsidP="00EE56B9">
      <w:pPr>
        <w:pStyle w:val="Textosinformato"/>
        <w:rPr>
          <w:rFonts w:ascii="Courier New" w:hAnsi="Courier New" w:cs="Courier New"/>
        </w:rPr>
      </w:pPr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 xml:space="preserve">El modelo Lean </w:t>
      </w:r>
      <w:proofErr w:type="spellStart"/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>Canvas</w:t>
      </w:r>
      <w:proofErr w:type="spellEnd"/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 xml:space="preserve"> permite sintetizar la estrategia comercial y técnica del proyecto productivo </w:t>
      </w:r>
      <w:proofErr w:type="spellStart"/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>TalentLab</w:t>
      </w:r>
      <w:proofErr w:type="spellEnd"/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>,</w:t>
      </w:r>
      <w:r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 xml:space="preserve"> </w:t>
      </w:r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>enfocándose en el encaje producto-mercado para una plataforma de software como servicio</w:t>
      </w:r>
    </w:p>
    <w:p w14:paraId="3D914D07" w14:textId="77777777" w:rsidR="00EE56B9" w:rsidRDefault="00EE56B9" w:rsidP="00EE56B9">
      <w:pPr>
        <w:pStyle w:val="Textosinformato"/>
        <w:rPr>
          <w:rFonts w:ascii="Courier New" w:hAnsi="Courier New" w:cs="Courier New"/>
        </w:rPr>
      </w:pPr>
    </w:p>
    <w:p w14:paraId="0A44DA4A" w14:textId="77777777" w:rsidR="00EE56B9" w:rsidRDefault="00EE56B9" w:rsidP="00EE56B9">
      <w:pPr>
        <w:pStyle w:val="Textosinformato"/>
        <w:rPr>
          <w:rFonts w:ascii="Courier New" w:hAnsi="Courier New" w:cs="Courier New"/>
        </w:rPr>
      </w:pPr>
    </w:p>
    <w:tbl>
      <w:tblPr>
        <w:tblStyle w:val="Tablaconcuadrcula"/>
        <w:tblW w:w="14743" w:type="dxa"/>
        <w:tblInd w:w="-856" w:type="dxa"/>
        <w:tblLook w:val="04A0" w:firstRow="1" w:lastRow="0" w:firstColumn="1" w:lastColumn="0" w:noHBand="0" w:noVBand="1"/>
      </w:tblPr>
      <w:tblGrid>
        <w:gridCol w:w="3686"/>
        <w:gridCol w:w="3445"/>
        <w:gridCol w:w="1158"/>
        <w:gridCol w:w="1091"/>
        <w:gridCol w:w="2224"/>
        <w:gridCol w:w="3139"/>
      </w:tblGrid>
      <w:tr w:rsidR="00EE56B9" w:rsidRPr="00EE56B9" w14:paraId="16736E51" w14:textId="77777777" w:rsidTr="00EE56B9">
        <w:trPr>
          <w:trHeight w:val="965"/>
        </w:trPr>
        <w:tc>
          <w:tcPr>
            <w:tcW w:w="3686" w:type="dxa"/>
            <w:vMerge w:val="restart"/>
          </w:tcPr>
          <w:p w14:paraId="3891CFEE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Problema:</w:t>
            </w:r>
          </w:p>
          <w:p w14:paraId="540941AE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496DFCF7" w14:textId="6C0D447C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Problema 1: Altas tasas de deserción académica (supera el 33% en educación técnica/tecnológica en Colombia según el MEN/SPADIES) debido a factores socioeconómicos y académicos no detectados a tiempo.</w:t>
            </w:r>
          </w:p>
          <w:p w14:paraId="113148E9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1B8E6141" w14:textId="02299B23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Problema 2: Brecha de empleabilidad laboral ("Job Readiness"): Los estudiantes carecen de habilidades blandas y preparación real para entrevistas técnicas/comportamentales.</w:t>
            </w:r>
          </w:p>
          <w:p w14:paraId="29859B17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4035C611" w14:textId="2AC6D928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Problema 3: Desconexión con Egresados: Falta de canales dinámicos y estructurados para que los graduados guíen a estudiantes activos (capital social desaprovechado).</w:t>
            </w:r>
          </w:p>
          <w:p w14:paraId="6896DC3A" w14:textId="77777777" w:rsidR="00EE56B9" w:rsidRDefault="00EE56B9" w:rsidP="00EE56B9">
            <w:pPr>
              <w:pStyle w:val="Textosinformato"/>
              <w:ind w:left="360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69FC50A4" w14:textId="107B6322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Alternativas Existentes en el Mercado:</w:t>
            </w:r>
          </w:p>
          <w:p w14:paraId="3A8CE224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0FAE94F3" w14:textId="059B86BE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Sistemas LMS/SIS tradicionales (Moodle, Q10, Banner) sin módulos de analítica predictiva.</w:t>
            </w:r>
          </w:p>
          <w:p w14:paraId="414ACC39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3794DAEF" w14:textId="49CC64FB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Simuladores de entrevista genéricos en inglés y de alto costo corporativo.</w:t>
            </w:r>
          </w:p>
          <w:p w14:paraId="4D5200D6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0E770D12" w14:textId="6D8974C8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Grupos informales en redes sociales (Facebook/LinkedIn) sin vinculación institucional.</w:t>
            </w:r>
          </w:p>
        </w:tc>
        <w:tc>
          <w:tcPr>
            <w:tcW w:w="3445" w:type="dxa"/>
          </w:tcPr>
          <w:p w14:paraId="4B2D7E73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Solución:</w:t>
            </w:r>
          </w:p>
          <w:p w14:paraId="63E3CE5E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47464369" w14:textId="5DF6E609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Semáforo Predictivo de Deserción: Panel administrativo impulsado por Machine Learning (algoritmo </w:t>
            </w:r>
            <w:r w:rsidRPr="00EE56B9">
              <w:rPr>
                <w:rFonts w:asciiTheme="majorHAnsi" w:hAnsiTheme="majorHAnsi" w:cs="Courier New"/>
                <w:i/>
                <w:iCs/>
                <w:sz w:val="18"/>
                <w:szCs w:val="18"/>
                <w:lang w:val="es-CO"/>
              </w:rPr>
              <w:t>Random Forest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) que analiza variables académicas, socioeconómicas e institucionales en tiempo real.</w:t>
            </w:r>
          </w:p>
          <w:p w14:paraId="3D52898E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6D94E45D" w14:textId="4C7B9D68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Simulador de Entrevistas con IA: Motor conversacional de procesamiento de lenguaje natural (NLP) que simula entrevistas técnicas/blandas en español con retroalimentación automatizada instantánea.</w:t>
            </w:r>
          </w:p>
          <w:p w14:paraId="526D2001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0409C018" w14:textId="2273E035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b/>
                <w:bCs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Red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Multi-tenant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de Mentorías: Módulo social privado para la interacción segura entre estudiantes activos y egresados mediante </w:t>
            </w:r>
            <w:proofErr w:type="spellStart"/>
            <w:r w:rsidRPr="00EE56B9">
              <w:rPr>
                <w:rFonts w:asciiTheme="majorHAnsi" w:hAnsiTheme="majorHAnsi" w:cs="Courier New"/>
                <w:i/>
                <w:iCs/>
                <w:sz w:val="18"/>
                <w:szCs w:val="18"/>
                <w:lang w:val="es-CO"/>
              </w:rPr>
              <w:t>matching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 algorítmico de perfiles formativos.</w:t>
            </w:r>
          </w:p>
          <w:p w14:paraId="083D2A42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2249" w:type="dxa"/>
            <w:gridSpan w:val="2"/>
            <w:vMerge w:val="restart"/>
          </w:tcPr>
          <w:p w14:paraId="79281CAE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Propuesta de valor única:</w:t>
            </w:r>
          </w:p>
          <w:p w14:paraId="643C8ED8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  <w:p w14:paraId="01576079" w14:textId="77777777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Mensaje Claro y Convincente: </w:t>
            </w:r>
            <w:r w:rsidRPr="00EE56B9">
              <w:rPr>
                <w:rFonts w:asciiTheme="majorHAnsi" w:hAnsiTheme="majorHAnsi" w:cs="Courier New"/>
                <w:i/>
                <w:iCs/>
                <w:sz w:val="18"/>
                <w:szCs w:val="18"/>
                <w:lang w:val="es-CO"/>
              </w:rPr>
              <w:t>"Detecta. Prepara. Conecta."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 Una plataforma predictiva e interactiva de acompañamiento estudiantil integral que reduce la deserción académica en un 15% promedio y entrena a los estudiantes con IA para asegurar su éxito en el mercado laboral real, centralizando todo el ciclo del estudiante en un entorno unificado y de bajo costo operativo.</w:t>
            </w:r>
          </w:p>
          <w:p w14:paraId="49257E5C" w14:textId="77777777" w:rsid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101CC240" w14:textId="213353E0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Concepto de Alto Nivel: </w:t>
            </w:r>
            <w:r w:rsidRPr="00EE56B9">
              <w:rPr>
                <w:rFonts w:asciiTheme="majorHAnsi" w:hAnsiTheme="majorHAnsi" w:cs="Courier New"/>
                <w:i/>
                <w:iCs/>
                <w:sz w:val="18"/>
                <w:szCs w:val="18"/>
                <w:lang w:val="es-CO"/>
              </w:rPr>
              <w:t>"El 'Salesforce' de la retención y éxito estudiantil para instituciones de educación técnica y superior en Latinoamérica."</w:t>
            </w:r>
          </w:p>
          <w:p w14:paraId="2D8ADABA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2224" w:type="dxa"/>
          </w:tcPr>
          <w:p w14:paraId="046C5809" w14:textId="77777777" w:rsidR="00EE56B9" w:rsidRDefault="00EE56B9" w:rsidP="00070DB6">
            <w:pPr>
              <w:pStyle w:val="Textosinformato"/>
              <w:spacing w:before="40" w:after="40" w:line="240" w:lineRule="auto"/>
              <w:rPr>
                <w:rFonts w:asciiTheme="majorHAnsi" w:hAnsiTheme="majorHAnsi" w:cs="Courier New"/>
                <w:b/>
                <w:bCs/>
              </w:rPr>
            </w:pPr>
            <w:r/>
            <w:r>
              <w:rPr>
                <w:b/>
                <w:sz w:val="19"/>
              </w:rPr>
              <w:t>Ventaja especial: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Algoritmos Predictivos Propios:</w:t>
            </w:r>
            <w:r>
              <w:rPr>
                <w:b w:val="0"/>
                <w:i w:val="0"/>
                <w:sz w:val="18"/>
              </w:rPr>
              <w:t xml:space="preserve"> Modelos de Machine Learning optimizados y entrenados con datos históricos de deserción contextualizados a la realidad socioeconómica colombiana (frente a plataformas norteamericanas no adaptadas).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Arquitectura Serverless Optimizada (Bajo Costo):</w:t>
            </w:r>
            <w:r>
              <w:rPr>
                <w:b w:val="0"/>
                <w:i w:val="0"/>
                <w:sz w:val="18"/>
              </w:rPr>
              <w:t xml:space="preserve"> Estructura multi-tenant altamente eficiente que reduce el costo de servidor por estudiante activo a menos de $0.05 USD anuales, lo que permite una flexibilidad de precios invencible.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Validación Técnica ADSO - SENA:</w:t>
            </w:r>
            <w:r>
              <w:rPr>
                <w:b w:val="0"/>
                <w:i w:val="0"/>
                <w:sz w:val="18"/>
              </w:rPr>
              <w:t xml:space="preserve"> Respaldo formativo y validación técnica directa por parte del equipo de desarrollo del programa Tecnólogo en Análisis y Desarrollo de Software del SENA.</w:t>
            </w:r>
          </w:p>
        </w:tc>
        <w:tc>
          <w:tcPr>
            <w:tcW w:w="3139" w:type="dxa"/>
            <w:vMerge w:val="restart"/>
          </w:tcPr>
          <w:p w14:paraId="1F6676CE" w14:textId="77777777" w:rsidR="00EE56B9" w:rsidRP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  <w:sz w:val="18"/>
                <w:szCs w:val="18"/>
              </w:rPr>
            </w:pPr>
            <w:r w:rsidRPr="00EE56B9">
              <w:rPr>
                <w:rFonts w:asciiTheme="majorHAnsi" w:hAnsiTheme="majorHAnsi" w:cs="Courier New"/>
                <w:b/>
                <w:bCs/>
                <w:sz w:val="18"/>
                <w:szCs w:val="18"/>
              </w:rPr>
              <w:t>Segmento de clientes:</w:t>
            </w:r>
          </w:p>
          <w:p w14:paraId="4BAA5662" w14:textId="77777777" w:rsidR="00EE56B9" w:rsidRPr="00EE56B9" w:rsidRDefault="00EE56B9" w:rsidP="00070DB6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</w:rPr>
            </w:pPr>
          </w:p>
          <w:p w14:paraId="7438088D" w14:textId="143453E9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Segmento B2B (Mercado Principal): 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directores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de bienestar institucional, decanos académicos y rectores de instituciones privadas de educación técnica, tecnológica e instituciones universitarias de nivel intermedio en la región andina colombiana (Mercado SOM: 80 instituciones).</w:t>
            </w:r>
          </w:p>
          <w:p w14:paraId="00E1FD98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24ACF93E" w14:textId="5D28CA33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Segmento B2C (Mercado Secundario): Estudiantes y egresados que acceden a la plataforma a través de las licencias institucionales.</w:t>
            </w:r>
          </w:p>
          <w:p w14:paraId="08ACE657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6E9CF517" w14:textId="78CA6C62" w:rsidR="00EE56B9" w:rsidRPr="008A50F0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Early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Adopters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(Primeros en Adoptar): Instituciones educativas técnicas y tecnológicas privadas en Bogotá y el departamento de Cundinamarca que cuenten con altos índices de deserción en los primeros tres semestres académicos y busquen acreditar sus procesos de calidad.</w:t>
            </w:r>
          </w:p>
        </w:tc>
      </w:tr>
      <w:tr w:rsidR="00EE56B9" w14:paraId="4907F90C" w14:textId="77777777" w:rsidTr="00EE56B9">
        <w:trPr>
          <w:trHeight w:val="965"/>
        </w:trPr>
        <w:tc>
          <w:tcPr>
            <w:tcW w:w="3686" w:type="dxa"/>
            <w:vMerge/>
          </w:tcPr>
          <w:p w14:paraId="655BCFBF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3445" w:type="dxa"/>
          </w:tcPr>
          <w:p w14:paraId="16C5DA83" w14:textId="77777777" w:rsidR="00EE56B9" w:rsidRPr="003F67E6" w:rsidRDefault="00EE56B9" w:rsidP="003F67E6">
            <w:pPr>
              <w:pStyle w:val="Textosinformato"/>
              <w:jc w:val="both"/>
              <w:rPr>
                <w:rFonts w:asciiTheme="majorHAnsi" w:hAnsiTheme="majorHAnsi" w:cs="Courier New"/>
                <w:b/>
                <w:bCs/>
                <w:sz w:val="18"/>
                <w:szCs w:val="18"/>
              </w:rPr>
            </w:pPr>
            <w:r w:rsidRPr="003F67E6">
              <w:rPr>
                <w:rFonts w:asciiTheme="majorHAnsi" w:hAnsiTheme="majorHAnsi" w:cs="Courier New"/>
                <w:b/>
                <w:bCs/>
                <w:sz w:val="18"/>
                <w:szCs w:val="18"/>
              </w:rPr>
              <w:t>Métricas Claves:</w:t>
            </w:r>
          </w:p>
          <w:p w14:paraId="5FCCB9C5" w14:textId="77777777" w:rsidR="003F67E6" w:rsidRPr="003F67E6" w:rsidRDefault="003F67E6" w:rsidP="003F67E6">
            <w:pPr>
              <w:pStyle w:val="Textosinformato"/>
              <w:jc w:val="both"/>
              <w:rPr>
                <w:rFonts w:asciiTheme="majorHAnsi" w:hAnsiTheme="majorHAnsi" w:cs="Courier New"/>
                <w:sz w:val="18"/>
                <w:szCs w:val="18"/>
              </w:rPr>
            </w:pPr>
          </w:p>
          <w:p w14:paraId="4DA70BE8" w14:textId="77777777" w:rsidR="003F67E6" w:rsidRPr="003F67E6" w:rsidRDefault="003F67E6" w:rsidP="003F67E6">
            <w:pPr>
              <w:pStyle w:val="Textosinformato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>Tasa de Deserción Anual: Reducción porcentual de la deserción académica institucional (Meta: Mitigación del 15% promedio).</w:t>
            </w:r>
          </w:p>
          <w:p w14:paraId="684E97BE" w14:textId="77777777" w:rsid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1C8095C8" w14:textId="6DF843D1" w:rsidR="003F67E6" w:rsidRP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proofErr w:type="spellStart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lastRenderedPageBreak/>
              <w:t>Engagement</w:t>
            </w:r>
            <w:proofErr w:type="spellEnd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del Estudiante: Frecuencia de uso del simulador de entrevistas con IA y </w:t>
            </w:r>
            <w:proofErr w:type="gramStart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>participación activa</w:t>
            </w:r>
            <w:proofErr w:type="gramEnd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en el módulo de mentorías.</w:t>
            </w:r>
          </w:p>
          <w:p w14:paraId="373E5965" w14:textId="77777777" w:rsid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0BFECC9C" w14:textId="322B03D2" w:rsidR="003F67E6" w:rsidRP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Churn Rate de Clientes B2B: Porcentaje de </w:t>
            </w:r>
            <w:proofErr w:type="spellStart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>desuscripción</w:t>
            </w:r>
            <w:proofErr w:type="spellEnd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de instituciones educativas premium (Meta: Retención anual &gt; 92%).</w:t>
            </w:r>
          </w:p>
          <w:p w14:paraId="6E00DCFF" w14:textId="77777777" w:rsid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48FC43EE" w14:textId="37525E85" w:rsidR="003F67E6" w:rsidRP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NPS (Net </w:t>
            </w:r>
            <w:proofErr w:type="spellStart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>Promoter</w:t>
            </w:r>
            <w:proofErr w:type="spellEnd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Score): Nivel de satisfacción de directivos de bienestar y estudiantes activos (Meta: &gt; 75 puntos).</w:t>
            </w:r>
          </w:p>
          <w:p w14:paraId="0E3DC6AE" w14:textId="77777777" w:rsidR="003F67E6" w:rsidRPr="003F67E6" w:rsidRDefault="003F67E6" w:rsidP="003F67E6">
            <w:pPr>
              <w:pStyle w:val="Textosinformato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</w:tc>
        <w:tc>
          <w:tcPr>
            <w:tcW w:w="2249" w:type="dxa"/>
            <w:gridSpan w:val="2"/>
            <w:vMerge/>
          </w:tcPr>
          <w:p w14:paraId="72FBB116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2224" w:type="dxa"/>
          </w:tcPr>
          <w:p w14:paraId="1A4E49F1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Canales:</w:t>
            </w:r>
          </w:p>
          <w:p w14:paraId="7E30AF0F" w14:textId="77777777" w:rsid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71BE3CC9" w14:textId="71EBCD52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Venta Directa B2B (Consultoría Informática): Reuniones comerciales estructuradas con directores de bienestar 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lastRenderedPageBreak/>
              <w:t>y rectores educativos apoyadas por demostraciones técnicas del MVP.</w:t>
            </w:r>
          </w:p>
          <w:p w14:paraId="3ED44F1C" w14:textId="77777777" w:rsidR="00EE56B9" w:rsidRDefault="00EE56B9" w:rsidP="00EE56B9">
            <w:pPr>
              <w:pStyle w:val="Textosinformato"/>
              <w:ind w:left="360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61A46240" w14:textId="13EB2417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Eventos y Congresos de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EdTech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: </w:t>
            </w:r>
            <w:proofErr w:type="gram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Participación activa</w:t>
            </w:r>
            <w:proofErr w:type="gram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en foros de innovación educativa de la Red de Instituciones de Educación Superior y el MEN.</w:t>
            </w:r>
          </w:p>
          <w:p w14:paraId="76436E4B" w14:textId="77777777" w:rsidR="00EE56B9" w:rsidRDefault="00EE56B9" w:rsidP="00EE56B9">
            <w:pPr>
              <w:pStyle w:val="Textosinformato"/>
              <w:ind w:left="360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7A5A1A4C" w14:textId="466E0555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Canal Social</w:t>
            </w:r>
            <w:r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Freemium: Acceso gratuito limitado para escuelas públicas de escasos recursos, actuando como un motor orgánico de visibilidad y posicionamiento de marca a nivel nacional.</w:t>
            </w:r>
          </w:p>
          <w:p w14:paraId="3CC59BD1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3139" w:type="dxa"/>
            <w:vMerge/>
          </w:tcPr>
          <w:p w14:paraId="03F78077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</w:tr>
      <w:tr w:rsidR="00EE56B9" w14:paraId="020454C3" w14:textId="77777777" w:rsidTr="008A50F0">
        <w:trPr>
          <w:trHeight w:val="2525"/>
        </w:trPr>
        <w:tc>
          <w:tcPr>
            <w:tcW w:w="8289" w:type="dxa"/>
            <w:gridSpan w:val="3"/>
          </w:tcPr>
          <w:p w14:paraId="3E71E43E" w14:textId="04F88284" w:rsidR="00EE56B9" w:rsidRDefault="00EE56B9" w:rsidP="00070DB6">
            <w:pPr>
              <w:pStyle w:val="Textosinformato"/>
              <w:spacing w:before="40" w:after="40" w:line="240" w:lineRule="auto"/>
              <w:rPr>
                <w:rFonts w:asciiTheme="majorHAnsi" w:hAnsiTheme="majorHAnsi" w:cs="Courier New"/>
                <w:b/>
                <w:bCs/>
              </w:rPr>
            </w:pPr>
            <w:r/>
            <w:r>
              <w:rPr>
                <w:b/>
                <w:sz w:val="19"/>
              </w:rPr>
              <w:t>Estructura de Costes: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Costos de Equipos y Dotación Inicial (Activos Fijos):</w:t>
            </w:r>
            <w:r>
              <w:rPr>
                <w:b w:val="0"/>
                <w:i w:val="0"/>
                <w:sz w:val="18"/>
              </w:rPr>
              <w:t xml:space="preserve"> $14.350.000 COP ($9.850.000 en 3 portátiles de alto rendimiento para desarrollo de software y conectividad; $4.500.000 en estaciones ergonómicas de trabajo y mobiliario).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Gastos Preoperativos y Legales (Activos Intangibles):</w:t>
            </w:r>
            <w:r>
              <w:rPr>
                <w:b w:val="0"/>
                <w:i w:val="0"/>
                <w:sz w:val="18"/>
              </w:rPr>
              <w:t xml:space="preserve"> Constitución legal de la S.A.S. en Cámara de Comercio, registro de marca ante la SIC e inscripción del software: $2.804.000 COP.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Capital de Trabajo Operativo Inicial:</w:t>
            </w:r>
            <w:r>
              <w:rPr>
                <w:b w:val="0"/>
                <w:i w:val="0"/>
                <w:sz w:val="18"/>
              </w:rPr>
              <w:t xml:space="preserve"> $30.190.222 COP (Fondos de maniobra para nómina técnica, servidores e imprevistos durante la fase de puesta en marcha).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Costos Operativos Cloud y Variables:</w:t>
            </w:r>
            <w:r>
              <w:rPr>
                <w:b w:val="0"/>
                <w:i w:val="0"/>
                <w:sz w:val="18"/>
              </w:rPr>
              <w:t xml:space="preserve"> Servidores en la nube (PostgreSQL/Supabase, AWS Lambda Serverless, APIs NLP): ~$300.000 COP/mes ($3.600.000 COP/año). Costo variable unitario por licencia: $312.000 COP (Margen Bruto del 93,07%).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Total Inversión Inicial Requerida:</w:t>
            </w:r>
            <w:r>
              <w:rPr>
                <w:b w:val="0"/>
                <w:i/>
                <w:sz w:val="18"/>
              </w:rPr>
              <w:t xml:space="preserve"> $47.344.222 COP.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Estructura de Financiación:</w:t>
            </w:r>
            <w:r>
              <w:rPr>
                <w:b w:val="0"/>
                <w:i w:val="0"/>
                <w:sz w:val="18"/>
              </w:rPr>
              <w:t xml:space="preserve"> Financiado mediante Crédito Bancario Comercial por $40.644.222 COP (85,85% a 5 años, tasa 14% E.A.) y Aporte Propio de Socios por $6.700.000 COP (14,15%). Fondo Emprender como opción alternativa complementaria.</w:t>
            </w:r>
          </w:p>
        </w:tc>
        <w:tc>
          <w:tcPr>
            <w:tcW w:w="6454" w:type="dxa"/>
            <w:gridSpan w:val="3"/>
          </w:tcPr>
          <w:p w14:paraId="5758AFF3" w14:textId="77777777" w:rsidR="00EE56B9" w:rsidRDefault="00EE56B9" w:rsidP="00070DB6">
            <w:pPr>
              <w:pStyle w:val="Textosinformato"/>
              <w:spacing w:before="40" w:after="40" w:line="240" w:lineRule="auto"/>
              <w:rPr>
                <w:rFonts w:asciiTheme="majorHAnsi" w:hAnsiTheme="majorHAnsi" w:cs="Courier New"/>
                <w:b/>
                <w:bCs/>
              </w:rPr>
            </w:pPr>
            <w:r/>
            <w:r>
              <w:rPr>
                <w:b/>
                <w:sz w:val="19"/>
              </w:rPr>
              <w:t>Fuentes de ingreso:</w:t>
            </w:r>
          </w:p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>Modelo B2B SaaS de Suscripción Anual (Premium Multi-tenant):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• Licencia Plan Lean (Básica):</w:t>
            </w:r>
            <w:r>
              <w:rPr>
                <w:b w:val="0"/>
                <w:i w:val="0"/>
                <w:sz w:val="18"/>
              </w:rPr>
              <w:t xml:space="preserve"> $4.500.000 COP / año (Para instituciones técnicas y tecnológicas con hasta 1.000 estudiantes; alertas de riesgo tempranas y simulador base).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• Licencia Plan Growth (Institucional):</w:t>
            </w:r>
            <w:r>
              <w:rPr>
                <w:b w:val="0"/>
                <w:i w:val="0"/>
                <w:sz w:val="18"/>
              </w:rPr>
              <w:t xml:space="preserve"> $6.500.000 COP / año (Hasta 2.500 estudiantes; alertas avanzadas, simulador NLP completo con feedback instantáneo y red de mentorías).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• Licencia Plan Enterprise:</w:t>
            </w:r>
            <w:r>
              <w:rPr>
                <w:b w:val="0"/>
                <w:i w:val="0"/>
                <w:sz w:val="18"/>
              </w:rPr>
              <w:t xml:space="preserve"> $9.000.000 COP / año (Más de 2.500 estudiantes; parametrización personalizada, integración API dedicada y soporte 24/7).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Servicios Profesionales de Consultoría e Integración (CIIU 6202):</w:t>
            </w:r>
            <w:r>
              <w:rPr>
                <w:b w:val="0"/>
                <w:i w:val="0"/>
                <w:sz w:val="18"/>
              </w:rPr>
              <w:t xml:space="preserve"> Carga inicial de bases de datos históricas, integración API con SIS/LMS institucional (Q10, Moodle, Banner) y capacitación docente.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Proyección de Ventas a 5 Años:</w:t>
            </w:r>
            <w:r>
              <w:rPr>
                <w:b w:val="0"/>
                <w:i w:val="0"/>
                <w:sz w:val="18"/>
              </w:rPr>
              <w:t xml:space="preserve"> Año 1: 12 licencias ($54.000.000 COP) escalando progresivamente hasta Año 5: 68 licencias ($358.331.000 COP).</w:t>
            </w:r>
          </w:p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Viabilidad Financiera:</w:t>
            </w:r>
            <w:r>
              <w:rPr>
                <w:b w:val="0"/>
                <w:i/>
                <w:sz w:val="18"/>
              </w:rPr>
              <w:t xml:space="preserve"> Punto de Equilibrio: 32,2 licencias Plan Lean | VPN (TIO 15%): +$125.340.830 COP | TIR: 62,88% | PRI: 2,4 años | Relación B/C: 1,30.</w:t>
            </w:r>
          </w:p>
        </w:tc>
      </w:tr>
    </w:tbl>
    <w:p w14:paraId="24BA5121" w14:textId="77777777" w:rsidR="00EE56B9" w:rsidRDefault="00EE56B9"/>
    <w:p w14:paraId="656F0A9F" w14:textId="77777777" w:rsidR="00EE56B9" w:rsidRDefault="00EE56B9"/>
    <w:sectPr w:rsidR="00EE56B9" w:rsidSect="00EE56B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7FC9"/>
    <w:multiLevelType w:val="multilevel"/>
    <w:tmpl w:val="0D96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96BBA"/>
    <w:multiLevelType w:val="multilevel"/>
    <w:tmpl w:val="189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DE2E54"/>
    <w:multiLevelType w:val="multilevel"/>
    <w:tmpl w:val="08E4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1B4081"/>
    <w:multiLevelType w:val="multilevel"/>
    <w:tmpl w:val="D02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A04227"/>
    <w:multiLevelType w:val="multilevel"/>
    <w:tmpl w:val="4CB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962132"/>
    <w:multiLevelType w:val="multilevel"/>
    <w:tmpl w:val="70CA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364F40"/>
    <w:multiLevelType w:val="multilevel"/>
    <w:tmpl w:val="094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4C250B"/>
    <w:multiLevelType w:val="multilevel"/>
    <w:tmpl w:val="982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E66EA6"/>
    <w:multiLevelType w:val="multilevel"/>
    <w:tmpl w:val="6F58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4727649">
    <w:abstractNumId w:val="8"/>
  </w:num>
  <w:num w:numId="2" w16cid:durableId="1948193856">
    <w:abstractNumId w:val="0"/>
  </w:num>
  <w:num w:numId="3" w16cid:durableId="1768114241">
    <w:abstractNumId w:val="4"/>
  </w:num>
  <w:num w:numId="4" w16cid:durableId="891429054">
    <w:abstractNumId w:val="1"/>
  </w:num>
  <w:num w:numId="5" w16cid:durableId="44720312">
    <w:abstractNumId w:val="2"/>
  </w:num>
  <w:num w:numId="6" w16cid:durableId="2027554884">
    <w:abstractNumId w:val="5"/>
  </w:num>
  <w:num w:numId="7" w16cid:durableId="1166937602">
    <w:abstractNumId w:val="6"/>
  </w:num>
  <w:num w:numId="8" w16cid:durableId="675813684">
    <w:abstractNumId w:val="3"/>
  </w:num>
  <w:num w:numId="9" w16cid:durableId="1148979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B9"/>
    <w:rsid w:val="003F67E6"/>
    <w:rsid w:val="004D4D7B"/>
    <w:rsid w:val="008A50F0"/>
    <w:rsid w:val="00AF77BE"/>
    <w:rsid w:val="00EE56B9"/>
    <w:rsid w:val="00F5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BDFB3"/>
  <w15:chartTrackingRefBased/>
  <w15:docId w15:val="{183F717F-017C-4930-BA76-1E3B0BD2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6B9"/>
  </w:style>
  <w:style w:type="paragraph" w:styleId="Ttulo1">
    <w:name w:val="heading 1"/>
    <w:basedOn w:val="Normal"/>
    <w:next w:val="Normal"/>
    <w:link w:val="Ttulo1Car"/>
    <w:uiPriority w:val="9"/>
    <w:qFormat/>
    <w:rsid w:val="00EE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6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6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6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6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6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6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6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6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6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6B9"/>
    <w:rPr>
      <w:b/>
      <w:bCs/>
      <w:smallCaps/>
      <w:color w:val="0F4761" w:themeColor="accent1" w:themeShade="BF"/>
      <w:spacing w:val="5"/>
    </w:rPr>
  </w:style>
  <w:style w:type="paragraph" w:styleId="Textosinformato">
    <w:name w:val="Plain Text"/>
    <w:basedOn w:val="Normal"/>
    <w:link w:val="TextosinformatoCar"/>
    <w:uiPriority w:val="99"/>
    <w:unhideWhenUsed/>
    <w:rsid w:val="00EE56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E56B9"/>
    <w:rPr>
      <w:rFonts w:ascii="Consolas" w:hAnsi="Consolas"/>
      <w:sz w:val="21"/>
      <w:szCs w:val="21"/>
    </w:rPr>
  </w:style>
  <w:style w:type="table" w:styleId="Tablaconcuadrcula">
    <w:name w:val="Table Grid"/>
    <w:basedOn w:val="Tablanormal"/>
    <w:uiPriority w:val="39"/>
    <w:rsid w:val="00EE5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Castañeda</dc:creator>
  <cp:keywords/>
  <dc:description/>
  <cp:lastModifiedBy>Sara Castañeda</cp:lastModifiedBy>
  <cp:revision>2</cp:revision>
  <dcterms:created xsi:type="dcterms:W3CDTF">2026-05-26T05:03:00Z</dcterms:created>
  <dcterms:modified xsi:type="dcterms:W3CDTF">2026-05-26T05:03:00Z</dcterms:modified>
</cp:coreProperties>
</file>