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D26A" w14:textId="77777777" w:rsidR="00EE56B9" w:rsidRPr="00293362" w:rsidRDefault="00EE56B9" w:rsidP="00EE56B9">
      <w:pPr>
        <w:pStyle w:val="Textosinformato"/>
        <w:rPr>
          <w:rFonts w:ascii="Arial" w:hAnsi="Arial" w:cs="Arial"/>
          <w:b/>
          <w:bCs/>
          <w:kern w:val="0"/>
          <w:sz w:val="24"/>
          <w:szCs w:val="24"/>
          <w:lang w:val="es-CO" w:eastAsia="en-US"/>
          <w14:ligatures w14:val="none"/>
        </w:rPr>
      </w:pPr>
      <w:r w:rsidRPr="00293362">
        <w:rPr>
          <w:rFonts w:ascii="Arial" w:hAnsi="Arial" w:cs="Arial"/>
          <w:b/>
          <w:bCs/>
          <w:kern w:val="0"/>
          <w:sz w:val="24"/>
          <w:szCs w:val="24"/>
          <w:lang w:val="es-CO" w:eastAsia="en-US"/>
          <w14:ligatures w14:val="none"/>
        </w:rPr>
        <w:t>MATRIZ LEAN CANVAS — TALENTLAB</w:t>
      </w:r>
    </w:p>
    <w:p w14:paraId="2825D99E" w14:textId="77777777" w:rsidR="00EE56B9" w:rsidRPr="00293362" w:rsidRDefault="00EE56B9" w:rsidP="00EE56B9">
      <w:pPr>
        <w:pStyle w:val="Textosinformato"/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</w:pPr>
    </w:p>
    <w:p w14:paraId="4F1A4336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El modelo Lean </w:t>
      </w:r>
      <w:proofErr w:type="spellStart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Canvas</w:t>
      </w:r>
      <w:proofErr w:type="spellEnd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 permite sintetizar la estrategia comercial y técnica del proyecto productivo </w:t>
      </w:r>
      <w:proofErr w:type="spellStart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TalentLab</w:t>
      </w:r>
      <w:proofErr w:type="spellEnd"/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,</w:t>
      </w:r>
      <w:r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 xml:space="preserve"> </w:t>
      </w:r>
      <w:r w:rsidRPr="00293362">
        <w:rPr>
          <w:rFonts w:ascii="Arial" w:hAnsi="Arial" w:cs="Arial"/>
          <w:kern w:val="0"/>
          <w:sz w:val="24"/>
          <w:szCs w:val="24"/>
          <w:lang w:val="es-CO" w:eastAsia="en-US"/>
          <w14:ligatures w14:val="none"/>
        </w:rPr>
        <w:t>enfocándose en el encaje producto-mercado para una plataforma de software como servicio</w:t>
      </w:r>
    </w:p>
    <w:p w14:paraId="3D914D07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</w:p>
    <w:p w14:paraId="0A44DA4A" w14:textId="77777777" w:rsidR="00EE56B9" w:rsidRDefault="00EE56B9" w:rsidP="00EE56B9">
      <w:pPr>
        <w:pStyle w:val="Textosinformato"/>
        <w:rPr>
          <w:rFonts w:ascii="Courier New" w:hAnsi="Courier New" w:cs="Courier New"/>
        </w:rPr>
      </w:pPr>
    </w:p>
    <w:tbl>
      <w:tblPr>
        <w:tblStyle w:val="Tablaconcuadrcula"/>
        <w:tblW w:w="14743" w:type="dxa"/>
        <w:tblInd w:w="-856" w:type="dxa"/>
        <w:tblLook w:val="04A0" w:firstRow="1" w:lastRow="0" w:firstColumn="1" w:lastColumn="0" w:noHBand="0" w:noVBand="1"/>
      </w:tblPr>
      <w:tblGrid>
        <w:gridCol w:w="3686"/>
        <w:gridCol w:w="3445"/>
        <w:gridCol w:w="1158"/>
        <w:gridCol w:w="1091"/>
        <w:gridCol w:w="2224"/>
        <w:gridCol w:w="3139"/>
      </w:tblGrid>
      <w:tr w:rsidR="00EE56B9" w:rsidRPr="00EE56B9" w14:paraId="16736E51" w14:textId="77777777" w:rsidTr="00EE56B9">
        <w:trPr>
          <w:trHeight w:val="965"/>
        </w:trPr>
        <w:tc>
          <w:tcPr>
            <w:tcW w:w="3686" w:type="dxa"/>
            <w:vMerge w:val="restart"/>
          </w:tcPr>
          <w:p w14:paraId="3891CFEE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Problema:</w:t>
            </w:r>
          </w:p>
          <w:p w14:paraId="540941A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96DFCF7" w14:textId="6C0D447C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1: Altas tasas de deserción académica (supera el 33% en educación técnica/tecnológica en Colombia según el MEN/SPADIES) debido a factores socioeconómicos y académicos no detectados a tiempo.</w:t>
            </w:r>
          </w:p>
          <w:p w14:paraId="113148E9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B8E6141" w14:textId="02299B23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2: Brecha de empleabilidad laboral ("Job Readiness"): Los estudiantes carecen de habilidades blandas y preparación real para entrevistas técnicas/comportamentales.</w:t>
            </w:r>
          </w:p>
          <w:p w14:paraId="29859B17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035C611" w14:textId="2AC6D92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Problema 3: Desconexión con Egresados: Falta de canales dinámicos y estructurados para que los graduados guíen a estudiantes activos (capital social desaprovechado).</w:t>
            </w:r>
          </w:p>
          <w:p w14:paraId="6896DC3A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9FC50A4" w14:textId="107B6322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Alternativas Existentes en el Mercado:</w:t>
            </w:r>
          </w:p>
          <w:p w14:paraId="3A8CE224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FAE94F3" w14:textId="059B86BE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Sistemas LMS/SIS tradicionales (Moodle, Q10, Banner) sin módulos de analítica predictiva.</w:t>
            </w:r>
          </w:p>
          <w:p w14:paraId="414ACC39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3794DAEF" w14:textId="49CC64FB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Simuladores de entrevista genéricos en inglés y de alto costo corporativo.</w:t>
            </w:r>
          </w:p>
          <w:p w14:paraId="4D5200D6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E770D12" w14:textId="6D8974C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Grupos informales en redes sociales (Facebook/LinkedIn) sin vinculación institucional.</w:t>
            </w:r>
          </w:p>
        </w:tc>
        <w:tc>
          <w:tcPr>
            <w:tcW w:w="3445" w:type="dxa"/>
          </w:tcPr>
          <w:p w14:paraId="4B2D7E73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Solución:</w:t>
            </w:r>
          </w:p>
          <w:p w14:paraId="63E3CE5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7464369" w14:textId="5DF6E609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Semáforo Predictivo de Deserción: Panel administrativo impulsado por Machine Learning (algoritmo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Random Forest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) que analiza variables académicas, socioeconómicas e institucionales en tiempo real.</w:t>
            </w:r>
          </w:p>
          <w:p w14:paraId="3D52898E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D94E45D" w14:textId="4C7B9D68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Simulador de Entrevistas con IA: Motor conversacional de procesamiento de lenguaje natural (NLP) que simula entrevistas técnicas/blandas en español con retroalimentación automatizada instantánea.</w:t>
            </w:r>
          </w:p>
          <w:p w14:paraId="526D2001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409C018" w14:textId="2273E035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b/>
                <w:bCs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Red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Multi-tenant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Mentorías: Módulo social privado para la interacción segura entre estudiantes activos y egresados mediante </w:t>
            </w:r>
            <w:proofErr w:type="spellStart"/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matching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 algorítmico de perfiles formativos.</w:t>
            </w:r>
          </w:p>
          <w:p w14:paraId="083D2A42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49" w:type="dxa"/>
            <w:gridSpan w:val="2"/>
            <w:vMerge w:val="restart"/>
          </w:tcPr>
          <w:p w14:paraId="79281CAE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Propuesta de valor única:</w:t>
            </w:r>
          </w:p>
          <w:p w14:paraId="643C8ED8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  <w:p w14:paraId="01576079" w14:textId="77777777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Mensaje Claro y Convincente: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"Detecta. Prepara. Conecta."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 Una plataforma predictiva e interactiva de acompañamiento estudiantil integral que reduce la deserción académica en un 15% promedio y entrena a los estudiantes con IA para asegurar su éxito en el mercado laboral real, centralizando todo el ciclo del estudiante en un entorno unificado y de bajo costo operativo.</w:t>
            </w:r>
          </w:p>
          <w:p w14:paraId="49257E5C" w14:textId="77777777" w:rsid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01CC240" w14:textId="213353E0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Concepto de Alto Nivel: </w:t>
            </w:r>
            <w:r w:rsidRPr="00EE56B9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"El 'Salesforce' de la retención y éxito estudiantil para instituciones de educación técnica y superior en Latinoamérica."</w:t>
            </w:r>
          </w:p>
          <w:p w14:paraId="2D8ADABA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24" w:type="dxa"/>
          </w:tcPr>
          <w:p w14:paraId="046C5809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Ventaja especial:</w:t>
            </w:r>
          </w:p>
          <w:p w14:paraId="23B5DDD2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  <w:p w14:paraId="24684138" w14:textId="77777777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Algoritmos Predictivos Propios: Modelos de Machine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Learning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optimizados y entrenados con datos históricos de deserción contextualizados a la realidad socioeconómica colombiana (frente a plataformas norteamericanas no adaptadas).</w:t>
            </w:r>
          </w:p>
          <w:p w14:paraId="071ADE49" w14:textId="77777777" w:rsid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2F5E69D" w14:textId="0CB688AD" w:rsidR="00EE56B9" w:rsidRPr="008A50F0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Arquitectura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Serverless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Optimizada (B Bajo Costo): Estructura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multi-tenant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altamente eficiente que reduce el costo de servidor por estudiante activo a menos de $0.05 USD anuales, lo que permite una flexibilidad de precios invencible.</w:t>
            </w:r>
          </w:p>
        </w:tc>
        <w:tc>
          <w:tcPr>
            <w:tcW w:w="3139" w:type="dxa"/>
            <w:vMerge w:val="restart"/>
          </w:tcPr>
          <w:p w14:paraId="1F6676CE" w14:textId="77777777" w:rsidR="00EE56B9" w:rsidRP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  <w:sz w:val="18"/>
                <w:szCs w:val="18"/>
              </w:rPr>
            </w:pPr>
            <w:r w:rsidRPr="00EE56B9">
              <w:rPr>
                <w:rFonts w:asciiTheme="majorHAnsi" w:hAnsiTheme="majorHAnsi" w:cs="Courier New"/>
                <w:b/>
                <w:bCs/>
                <w:sz w:val="18"/>
                <w:szCs w:val="18"/>
              </w:rPr>
              <w:t>Segmento de clientes:</w:t>
            </w:r>
          </w:p>
          <w:p w14:paraId="4BAA5662" w14:textId="77777777" w:rsidR="00EE56B9" w:rsidRPr="00EE56B9" w:rsidRDefault="00EE56B9" w:rsidP="00070DB6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</w:rPr>
            </w:pPr>
          </w:p>
          <w:p w14:paraId="7438088D" w14:textId="143453E9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Segmento B2B (Mercado Principal): 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directores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bienestar institucional, decanos académicos y rectores de instituciones privadas de educación técnica, tecnológica e instituciones universitarias de nivel intermedio en la región andina colombiana (Mercado SOM: 80 instituciones).</w:t>
            </w:r>
          </w:p>
          <w:p w14:paraId="00E1FD98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24ACF93E" w14:textId="5D28CA33" w:rsidR="00EE56B9" w:rsidRPr="00EE56B9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Segmento B2C (Mercado Secundario): Estudiantes y egresados que acceden a la plataforma a través de las licencias institucionales.</w:t>
            </w:r>
          </w:p>
          <w:p w14:paraId="08ACE657" w14:textId="77777777" w:rsidR="008A50F0" w:rsidRDefault="008A50F0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E9CF517" w14:textId="78CA6C62" w:rsidR="00EE56B9" w:rsidRPr="008A50F0" w:rsidRDefault="00EE56B9" w:rsidP="008A50F0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Early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Adopters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(Primeros en Adoptar): Instituciones educativas técnicas y tecnológicas privadas en Bogotá y el departamento de Cundinamarca que cuenten con altos índices de deserción en los primeros tres semestres académicos y busquen acreditar sus procesos de calidad.</w:t>
            </w:r>
          </w:p>
        </w:tc>
      </w:tr>
      <w:tr w:rsidR="00EE56B9" w14:paraId="4907F90C" w14:textId="77777777" w:rsidTr="00EE56B9">
        <w:trPr>
          <w:trHeight w:val="965"/>
        </w:trPr>
        <w:tc>
          <w:tcPr>
            <w:tcW w:w="3686" w:type="dxa"/>
            <w:vMerge/>
          </w:tcPr>
          <w:p w14:paraId="655BCFBF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3445" w:type="dxa"/>
          </w:tcPr>
          <w:p w14:paraId="16C5DA83" w14:textId="77777777" w:rsidR="00EE56B9" w:rsidRPr="003F67E6" w:rsidRDefault="00EE56B9" w:rsidP="003F67E6">
            <w:pPr>
              <w:pStyle w:val="Textosinformato"/>
              <w:jc w:val="both"/>
              <w:rPr>
                <w:rFonts w:asciiTheme="majorHAnsi" w:hAnsiTheme="majorHAnsi" w:cs="Courier New"/>
                <w:b/>
                <w:bCs/>
                <w:sz w:val="18"/>
                <w:szCs w:val="18"/>
              </w:rPr>
            </w:pPr>
            <w:r w:rsidRPr="003F67E6">
              <w:rPr>
                <w:rFonts w:asciiTheme="majorHAnsi" w:hAnsiTheme="majorHAnsi" w:cs="Courier New"/>
                <w:b/>
                <w:bCs/>
                <w:sz w:val="18"/>
                <w:szCs w:val="18"/>
              </w:rPr>
              <w:t>Métricas Claves:</w:t>
            </w:r>
          </w:p>
          <w:p w14:paraId="5FCCB9C5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</w:rPr>
            </w:pPr>
          </w:p>
          <w:p w14:paraId="4DA70BE8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Tasa de Deserción Anual: Reducción porcentual de la deserción académica institucional (Meta: Mitigación del 15% promedio).</w:t>
            </w:r>
          </w:p>
          <w:p w14:paraId="684E97BE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1C8095C8" w14:textId="6DF843D1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lastRenderedPageBreak/>
              <w:t>Engagement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del Estudiante: Frecuencia de uso del simulador de entrevistas con IA y </w:t>
            </w:r>
            <w:proofErr w:type="gram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participación activa</w:t>
            </w:r>
            <w:proofErr w:type="gram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en el módulo de mentorías.</w:t>
            </w:r>
          </w:p>
          <w:p w14:paraId="373E5965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0BFECC9C" w14:textId="322B03D2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Churn Rate de Clientes B2B: Porcentaje de </w:t>
            </w: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desuscripción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de instituciones educativas premium (Meta: Retención anual &gt; 92%).</w:t>
            </w:r>
          </w:p>
          <w:p w14:paraId="6E00DCFF" w14:textId="77777777" w:rsid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48FC43EE" w14:textId="37525E85" w:rsidR="003F67E6" w:rsidRPr="003F67E6" w:rsidRDefault="003F67E6" w:rsidP="003F67E6">
            <w:pPr>
              <w:pStyle w:val="Textosinformato"/>
              <w:ind w:left="360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NPS (Net </w:t>
            </w:r>
            <w:proofErr w:type="spellStart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>Promoter</w:t>
            </w:r>
            <w:proofErr w:type="spellEnd"/>
            <w:r w:rsidRPr="003F67E6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Score): Nivel de satisfacción de directivos de bienestar y estudiantes activos (Meta: &gt; 75 puntos).</w:t>
            </w:r>
          </w:p>
          <w:p w14:paraId="0E3DC6AE" w14:textId="77777777" w:rsidR="003F67E6" w:rsidRPr="003F67E6" w:rsidRDefault="003F67E6" w:rsidP="003F67E6">
            <w:pPr>
              <w:pStyle w:val="Textosinformato"/>
              <w:jc w:val="both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</w:tc>
        <w:tc>
          <w:tcPr>
            <w:tcW w:w="2249" w:type="dxa"/>
            <w:gridSpan w:val="2"/>
            <w:vMerge/>
          </w:tcPr>
          <w:p w14:paraId="72FBB116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2224" w:type="dxa"/>
          </w:tcPr>
          <w:p w14:paraId="1A4E49F1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Canales:</w:t>
            </w:r>
          </w:p>
          <w:p w14:paraId="7E30AF0F" w14:textId="77777777" w:rsid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71BE3CC9" w14:textId="71EBCD52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Venta Directa B2B (Consultoría Informática): Reuniones comerciales estructuradas con directores de bienestar 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lastRenderedPageBreak/>
              <w:t>y rectores educativos apoyadas por demostraciones técnicas del MVP.</w:t>
            </w:r>
          </w:p>
          <w:p w14:paraId="3ED44F1C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61A46240" w14:textId="13EB2417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Eventos y Congresos de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EdTech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: </w:t>
            </w:r>
            <w:proofErr w:type="gram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Participación activa</w:t>
            </w:r>
            <w:proofErr w:type="gram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en foros de innovación educativa de la Red de Instituciones de Educación Superior y el MEN.</w:t>
            </w:r>
          </w:p>
          <w:p w14:paraId="76436E4B" w14:textId="77777777" w:rsidR="00EE56B9" w:rsidRDefault="00EE56B9" w:rsidP="00EE56B9">
            <w:pPr>
              <w:pStyle w:val="Textosinformato"/>
              <w:ind w:left="360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</w:p>
          <w:p w14:paraId="7A5A1A4C" w14:textId="466E0555" w:rsidR="00EE56B9" w:rsidRPr="00EE56B9" w:rsidRDefault="00EE56B9" w:rsidP="00EE56B9">
            <w:pPr>
              <w:pStyle w:val="Textosinformato"/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Canal Social</w:t>
            </w:r>
            <w:r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</w:t>
            </w: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Freemium: Acceso gratuito limitado para escuelas públicas de escasos recursos, actuando como un motor orgánico de visibilidad y posicionamiento de marca a nivel nacional.</w:t>
            </w:r>
          </w:p>
          <w:p w14:paraId="3CC59BD1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  <w:tc>
          <w:tcPr>
            <w:tcW w:w="3139" w:type="dxa"/>
            <w:vMerge/>
          </w:tcPr>
          <w:p w14:paraId="03F78077" w14:textId="77777777" w:rsidR="00EE56B9" w:rsidRPr="00293362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</w:p>
        </w:tc>
      </w:tr>
      <w:tr w:rsidR="00EE56B9" w14:paraId="020454C3" w14:textId="77777777" w:rsidTr="008A50F0">
        <w:trPr>
          <w:trHeight w:val="2525"/>
        </w:trPr>
        <w:tc>
          <w:tcPr>
            <w:tcW w:w="8289" w:type="dxa"/>
            <w:gridSpan w:val="3"/>
          </w:tcPr>
          <w:p w14:paraId="3E71E43E" w14:textId="04F88284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Estructura de Costes:</w:t>
            </w:r>
          </w:p>
          <w:p w14:paraId="29FCCEA4" w14:textId="77777777" w:rsidR="00EE56B9" w:rsidRPr="00EE56B9" w:rsidRDefault="00EE56B9" w:rsidP="00EE56B9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Costos Preoperativos y Legales: Constitución legal de la SAS, registro de marca ante la SIC e inscripción del software: $8,000,000 COP.</w:t>
            </w:r>
          </w:p>
          <w:p w14:paraId="62904058" w14:textId="77777777" w:rsidR="00EE56B9" w:rsidRPr="00EE56B9" w:rsidRDefault="00EE56B9" w:rsidP="00EE56B9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Costos de Infraestructura y Servidores Cloud: Servidores en la nube (PostgreSQL/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Supabase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, AWS Lambda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Serverless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, </w:t>
            </w:r>
            <w:proofErr w:type="spell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APIs</w:t>
            </w:r>
            <w:proofErr w:type="spell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NLP): 300,000 COP/mes).</w:t>
            </w:r>
          </w:p>
          <w:p w14:paraId="530156D8" w14:textId="77777777" w:rsidR="00EE56B9" w:rsidRPr="00EE56B9" w:rsidRDefault="00EE56B9" w:rsidP="00EE56B9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Costos de Maquinaria y Hardware de Desarrollo: Estaciones de desarrollo para el equipo técnico: $12,000,000 COP.</w:t>
            </w:r>
          </w:p>
          <w:p w14:paraId="756D855E" w14:textId="77777777" w:rsidR="00EE56B9" w:rsidRPr="00EE56B9" w:rsidRDefault="00EE56B9" w:rsidP="00EE56B9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Costos de Operación, Marketing y Ventas: Campañas de adquisición digital B2B y material corporativo: $5,000,000 COP/año.</w:t>
            </w:r>
          </w:p>
          <w:p w14:paraId="05A24C61" w14:textId="77777777" w:rsidR="00EE56B9" w:rsidRPr="00EE56B9" w:rsidRDefault="00EE56B9" w:rsidP="00EE56B9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Salarios del Equipo Técnico y Soporte Inicial: $16,400,000 COP (Capital de trabajo inicial).</w:t>
            </w:r>
          </w:p>
          <w:p w14:paraId="51EA1474" w14:textId="0A73F2F9" w:rsidR="00EE56B9" w:rsidRPr="00EE56B9" w:rsidRDefault="00EE56B9" w:rsidP="00070DB6">
            <w:pPr>
              <w:pStyle w:val="Textosinformato"/>
              <w:numPr>
                <w:ilvl w:val="0"/>
                <w:numId w:val="7"/>
              </w:numPr>
              <w:rPr>
                <w:rFonts w:asciiTheme="majorHAnsi" w:hAnsiTheme="majorHAnsi" w:cs="Courier New"/>
                <w:b/>
                <w:bCs/>
                <w:lang w:val="es-CO"/>
              </w:rPr>
            </w:pPr>
            <w:proofErr w:type="gramStart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>Total</w:t>
            </w:r>
            <w:proofErr w:type="gramEnd"/>
            <w:r w:rsidRPr="00EE56B9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 Inversión Inicial Requerida: $45,000,000 COP (20% Aporte propio de socios, 80% Recursos solicitados al Fondo Emprender)</w:t>
            </w:r>
          </w:p>
        </w:tc>
        <w:tc>
          <w:tcPr>
            <w:tcW w:w="6454" w:type="dxa"/>
            <w:gridSpan w:val="3"/>
          </w:tcPr>
          <w:p w14:paraId="5758AFF3" w14:textId="77777777" w:rsidR="00EE56B9" w:rsidRDefault="00EE56B9" w:rsidP="00070DB6">
            <w:pPr>
              <w:pStyle w:val="Textosinformato"/>
              <w:rPr>
                <w:rFonts w:asciiTheme="majorHAnsi" w:hAnsiTheme="majorHAnsi" w:cs="Courier New"/>
                <w:b/>
                <w:bCs/>
              </w:rPr>
            </w:pPr>
            <w:r w:rsidRPr="00293362">
              <w:rPr>
                <w:rFonts w:asciiTheme="majorHAnsi" w:hAnsiTheme="majorHAnsi" w:cs="Courier New"/>
                <w:b/>
                <w:bCs/>
              </w:rPr>
              <w:t>Fuentes de ingreso:</w:t>
            </w:r>
          </w:p>
          <w:p w14:paraId="75E0C024" w14:textId="77777777" w:rsidR="008A50F0" w:rsidRPr="008A50F0" w:rsidRDefault="008A50F0" w:rsidP="008A50F0">
            <w:pPr>
              <w:pStyle w:val="Textosinformato"/>
              <w:numPr>
                <w:ilvl w:val="0"/>
                <w:numId w:val="8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 xml:space="preserve">Modelo B2B SaaS de Suscripción Anual (Premium </w:t>
            </w:r>
            <w:proofErr w:type="spellStart"/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>Multi-tenant</w:t>
            </w:r>
            <w:proofErr w:type="spellEnd"/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>):</w:t>
            </w:r>
          </w:p>
          <w:p w14:paraId="4A382368" w14:textId="77777777" w:rsidR="008A50F0" w:rsidRPr="008A50F0" w:rsidRDefault="008A50F0" w:rsidP="008A50F0">
            <w:pPr>
              <w:pStyle w:val="Textosinformato"/>
              <w:numPr>
                <w:ilvl w:val="1"/>
                <w:numId w:val="8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>Licencia Institucional Core: Para instituciones técnicas y tecnológicas con hasta 2,500 estudiantes activos. Incluye módulo de alertas predictivas básico y simulador de entrevistas.</w:t>
            </w:r>
          </w:p>
          <w:p w14:paraId="66B33036" w14:textId="77777777" w:rsidR="008A50F0" w:rsidRPr="008A50F0" w:rsidRDefault="008A50F0" w:rsidP="008A50F0">
            <w:pPr>
              <w:pStyle w:val="Textosinformato"/>
              <w:numPr>
                <w:ilvl w:val="1"/>
                <w:numId w:val="8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8A50F0">
              <w:rPr>
                <w:rFonts w:asciiTheme="majorHAnsi" w:hAnsiTheme="majorHAnsi" w:cs="Courier New"/>
                <w:i/>
                <w:iCs/>
                <w:sz w:val="18"/>
                <w:szCs w:val="18"/>
                <w:lang w:val="es-CO"/>
              </w:rPr>
              <w:t>Precio promedio anual por cliente:</w:t>
            </w:r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> 4,800,000 COP (Año 2) y $5,100,000 COP (Año 3).</w:t>
            </w:r>
          </w:p>
          <w:p w14:paraId="1C1F90D7" w14:textId="12847F4C" w:rsidR="008A50F0" w:rsidRPr="008A50F0" w:rsidRDefault="008A50F0" w:rsidP="008A50F0">
            <w:pPr>
              <w:pStyle w:val="Textosinformato"/>
              <w:numPr>
                <w:ilvl w:val="0"/>
                <w:numId w:val="8"/>
              </w:numPr>
              <w:rPr>
                <w:rFonts w:asciiTheme="majorHAnsi" w:hAnsiTheme="majorHAnsi" w:cs="Courier New"/>
                <w:sz w:val="18"/>
                <w:szCs w:val="18"/>
                <w:lang w:val="es-CO"/>
              </w:rPr>
            </w:pPr>
            <w:r w:rsidRPr="008A50F0">
              <w:rPr>
                <w:rFonts w:asciiTheme="majorHAnsi" w:hAnsiTheme="majorHAnsi" w:cs="Courier New"/>
                <w:sz w:val="18"/>
                <w:szCs w:val="18"/>
                <w:lang w:val="es-CO"/>
              </w:rPr>
              <w:t>Servicios Profesionales de Consultoría e Integración (CIIU 6202): Carga inicial de bases de datos históricas, integración API con el LMS/SIS institucional y capacitación de docentes directores.</w:t>
            </w:r>
          </w:p>
        </w:tc>
      </w:tr>
    </w:tbl>
    <w:p w14:paraId="24BA5121" w14:textId="77777777" w:rsidR="00EE56B9" w:rsidRDefault="00EE56B9"/>
    <w:p w14:paraId="656F0A9F" w14:textId="77777777" w:rsidR="00EE56B9" w:rsidRDefault="00EE56B9"/>
    <w:sectPr w:rsidR="00EE56B9" w:rsidSect="00EE56B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7FC9"/>
    <w:multiLevelType w:val="multilevel"/>
    <w:tmpl w:val="0D96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96BBA"/>
    <w:multiLevelType w:val="multilevel"/>
    <w:tmpl w:val="189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DE2E54"/>
    <w:multiLevelType w:val="multilevel"/>
    <w:tmpl w:val="08E4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B4081"/>
    <w:multiLevelType w:val="multilevel"/>
    <w:tmpl w:val="D02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A04227"/>
    <w:multiLevelType w:val="multilevel"/>
    <w:tmpl w:val="4CB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962132"/>
    <w:multiLevelType w:val="multilevel"/>
    <w:tmpl w:val="70C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364F40"/>
    <w:multiLevelType w:val="multilevel"/>
    <w:tmpl w:val="094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4C250B"/>
    <w:multiLevelType w:val="multilevel"/>
    <w:tmpl w:val="982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E66EA6"/>
    <w:multiLevelType w:val="multilevel"/>
    <w:tmpl w:val="6F5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727649">
    <w:abstractNumId w:val="8"/>
  </w:num>
  <w:num w:numId="2" w16cid:durableId="1948193856">
    <w:abstractNumId w:val="0"/>
  </w:num>
  <w:num w:numId="3" w16cid:durableId="1768114241">
    <w:abstractNumId w:val="4"/>
  </w:num>
  <w:num w:numId="4" w16cid:durableId="891429054">
    <w:abstractNumId w:val="1"/>
  </w:num>
  <w:num w:numId="5" w16cid:durableId="44720312">
    <w:abstractNumId w:val="2"/>
  </w:num>
  <w:num w:numId="6" w16cid:durableId="2027554884">
    <w:abstractNumId w:val="5"/>
  </w:num>
  <w:num w:numId="7" w16cid:durableId="1166937602">
    <w:abstractNumId w:val="6"/>
  </w:num>
  <w:num w:numId="8" w16cid:durableId="675813684">
    <w:abstractNumId w:val="3"/>
  </w:num>
  <w:num w:numId="9" w16cid:durableId="1148979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9"/>
    <w:rsid w:val="003F67E6"/>
    <w:rsid w:val="004D4D7B"/>
    <w:rsid w:val="008A50F0"/>
    <w:rsid w:val="00AF77BE"/>
    <w:rsid w:val="00EE56B9"/>
    <w:rsid w:val="00F5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DFB3"/>
  <w15:chartTrackingRefBased/>
  <w15:docId w15:val="{183F717F-017C-4930-BA76-1E3B0BD2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6B9"/>
  </w:style>
  <w:style w:type="paragraph" w:styleId="Ttulo1">
    <w:name w:val="heading 1"/>
    <w:basedOn w:val="Normal"/>
    <w:next w:val="Normal"/>
    <w:link w:val="Ttulo1Car"/>
    <w:uiPriority w:val="9"/>
    <w:qFormat/>
    <w:rsid w:val="00EE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6B9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EE56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56B9"/>
    <w:rPr>
      <w:rFonts w:ascii="Consolas" w:hAnsi="Consolas"/>
      <w:sz w:val="21"/>
      <w:szCs w:val="21"/>
    </w:rPr>
  </w:style>
  <w:style w:type="table" w:styleId="Tablaconcuadrcula">
    <w:name w:val="Table Grid"/>
    <w:basedOn w:val="Tablanormal"/>
    <w:uiPriority w:val="39"/>
    <w:rsid w:val="00EE5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Castañeda</dc:creator>
  <cp:keywords/>
  <dc:description/>
  <cp:lastModifiedBy>Sara Castañeda</cp:lastModifiedBy>
  <cp:revision>2</cp:revision>
  <dcterms:created xsi:type="dcterms:W3CDTF">2026-05-26T05:03:00Z</dcterms:created>
  <dcterms:modified xsi:type="dcterms:W3CDTF">2026-05-26T05:03:00Z</dcterms:modified>
</cp:coreProperties>
</file>