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A9B3E" w14:textId="46CDEB4D" w:rsidR="005867A0" w:rsidRDefault="005867A0">
      <w:r w:rsidRPr="005004BF">
        <w:rPr>
          <w:b/>
        </w:rPr>
        <w:t>INCLUDE zcm_inc_generate_s0_top.</w:t>
      </w:r>
      <w:r>
        <w:br/>
        <w:t>Top-Include.</w:t>
      </w:r>
      <w:r>
        <w:br/>
        <w:t xml:space="preserve">Enthält eine Variable </w:t>
      </w:r>
      <w:proofErr w:type="spellStart"/>
      <w:r>
        <w:t>lv_stgnr</w:t>
      </w:r>
      <w:proofErr w:type="spellEnd"/>
      <w:r>
        <w:t xml:space="preserve">, die </w:t>
      </w:r>
      <w:proofErr w:type="gramStart"/>
      <w:r>
        <w:t>vom  Typ</w:t>
      </w:r>
      <w:proofErr w:type="gramEnd"/>
      <w:r>
        <w:t xml:space="preserve"> eine ID eines Studiengangs (SC) ist.</w:t>
      </w:r>
    </w:p>
    <w:p w14:paraId="64C8BE64" w14:textId="043CDEDE" w:rsidR="005004BF" w:rsidRDefault="005004BF"/>
    <w:p w14:paraId="3074E42D" w14:textId="1CBD604B" w:rsidR="005004BF" w:rsidRDefault="005004BF">
      <w:r w:rsidRPr="005004BF">
        <w:rPr>
          <w:b/>
        </w:rPr>
        <w:t>INCLUDE zcm_inc_generate_s0_screen.</w:t>
      </w:r>
      <w:r>
        <w:br/>
      </w:r>
      <w:proofErr w:type="gramStart"/>
      <w:r>
        <w:t>Enthält</w:t>
      </w:r>
      <w:proofErr w:type="gramEnd"/>
      <w:r>
        <w:t xml:space="preserve"> den Aufbau des </w:t>
      </w:r>
      <w:proofErr w:type="spellStart"/>
      <w:r>
        <w:t>Selection</w:t>
      </w:r>
      <w:proofErr w:type="spellEnd"/>
      <w:r>
        <w:t>-Screens</w:t>
      </w:r>
    </w:p>
    <w:p w14:paraId="29AAFFB1" w14:textId="68ED14CB" w:rsidR="001E3F09" w:rsidRDefault="001E3F09">
      <w:r w:rsidRPr="008929F4">
        <w:rPr>
          <w:b/>
        </w:rPr>
        <w:t>INCLUDE zcm_inc_generate_s0_f01.</w:t>
      </w:r>
      <w:r w:rsidR="008929F4">
        <w:br/>
      </w:r>
      <w:proofErr w:type="gramStart"/>
      <w:r>
        <w:t>Enthält</w:t>
      </w:r>
      <w:proofErr w:type="gramEnd"/>
      <w:r>
        <w:t xml:space="preserve"> die Logik zur Ausführung der Aktionen</w:t>
      </w:r>
    </w:p>
    <w:p w14:paraId="6A43AE73" w14:textId="41885189" w:rsidR="008929F4" w:rsidRDefault="008929F4"/>
    <w:p w14:paraId="25ACD3DB" w14:textId="619026C5" w:rsidR="008929F4" w:rsidRDefault="008929F4">
      <w:r>
        <w:t>Hier wird ein LOOP AT gebraucht, da bei Select-Options eine Mehrfachselektion ausgewählt werden kann</w:t>
      </w:r>
      <w:r w:rsidR="00C07041">
        <w:t>.</w:t>
      </w:r>
    </w:p>
    <w:p w14:paraId="722C39B1" w14:textId="25AE2B3F" w:rsidR="007578CF" w:rsidRDefault="007578CF"/>
    <w:p w14:paraId="25BDD1C0" w14:textId="2B1633E1" w:rsidR="007578CF" w:rsidRPr="0096450D" w:rsidRDefault="007578CF">
      <w:pPr>
        <w:rPr>
          <w:b/>
        </w:rPr>
      </w:pPr>
      <w:r w:rsidRPr="0096450D">
        <w:rPr>
          <w:b/>
        </w:rPr>
        <w:t>Klasse z_cm_cl_s0_creation_helper</w:t>
      </w:r>
    </w:p>
    <w:p w14:paraId="0DD0FF41" w14:textId="37FDC9B1" w:rsidR="00EC57F2" w:rsidRDefault="00EC57F2">
      <w:pPr>
        <w:rPr>
          <w:u w:val="single"/>
        </w:rPr>
      </w:pPr>
      <w:r w:rsidRPr="0096450D">
        <w:rPr>
          <w:u w:val="single"/>
        </w:rPr>
        <w:t>Methode: create_s0s_for_sc</w:t>
      </w:r>
    </w:p>
    <w:p w14:paraId="1E2F6A89" w14:textId="05C8A314" w:rsidR="0096450D" w:rsidRDefault="0096450D">
      <w:r>
        <w:t xml:space="preserve">Aufruf der Methode </w:t>
      </w:r>
      <w:proofErr w:type="spellStart"/>
      <w:r>
        <w:t>get_relevant_cg_for_sc</w:t>
      </w:r>
      <w:proofErr w:type="spellEnd"/>
      <w:r>
        <w:br/>
      </w:r>
    </w:p>
    <w:p w14:paraId="7D24D967" w14:textId="0F9E8329" w:rsidR="0096450D" w:rsidRDefault="0096450D">
      <w:r>
        <w:t>Hier wird ermittelt, für welche CGs die Studienangebote angelegt werden sollen</w:t>
      </w:r>
    </w:p>
    <w:p w14:paraId="4F1A68C7" w14:textId="573ABEFF" w:rsidR="00167DDE" w:rsidRDefault="00167DDE">
      <w:r>
        <w:rPr>
          <w:noProof/>
        </w:rPr>
        <w:drawing>
          <wp:inline distT="0" distB="0" distL="0" distR="0" wp14:anchorId="243723B5" wp14:editId="72618FEC">
            <wp:extent cx="3714750" cy="42195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125C" w14:textId="77777777" w:rsidR="006001C0" w:rsidRPr="0096450D" w:rsidRDefault="006001C0"/>
    <w:p w14:paraId="021A9660" w14:textId="77777777" w:rsidR="001E3F09" w:rsidRDefault="001E3F09"/>
    <w:p w14:paraId="2982F68E" w14:textId="12D6A1E2" w:rsidR="005004BF" w:rsidRDefault="006001C0">
      <w:r>
        <w:lastRenderedPageBreak/>
        <w:t>Die Felder der Struktur „</w:t>
      </w:r>
      <w:proofErr w:type="spellStart"/>
      <w:r>
        <w:t>ls_sc_object</w:t>
      </w:r>
      <w:proofErr w:type="spellEnd"/>
      <w:r>
        <w:t>“ werden gefüllt mit Konstanten Werten</w:t>
      </w:r>
      <w:r w:rsidR="00E62DB1">
        <w:t>.</w:t>
      </w:r>
    </w:p>
    <w:p w14:paraId="2049DF65" w14:textId="6ACC0475" w:rsidR="00E62DB1" w:rsidRDefault="00E62DB1">
      <w:r>
        <w:t>Objekttyp = SC (Studiengang).</w:t>
      </w:r>
    </w:p>
    <w:p w14:paraId="710E6EE2" w14:textId="77777777" w:rsidR="001C4A62" w:rsidRDefault="001C4A62" w:rsidP="001C4A62">
      <w:r>
        <w:t>Da die Methode „HRIQ_READ_INFTY_1001“ als Übergabeparameter eine Tabelle benötigt, wird die Struktur zur internen Tabelle „</w:t>
      </w:r>
      <w:proofErr w:type="spellStart"/>
      <w:r>
        <w:t>lt_sc_object</w:t>
      </w:r>
      <w:proofErr w:type="spellEnd"/>
      <w:r>
        <w:t>“ angehängt.</w:t>
      </w:r>
    </w:p>
    <w:p w14:paraId="34BE79F2" w14:textId="577ECEC2" w:rsidR="00383444" w:rsidRDefault="001C4A62">
      <w:r>
        <w:rPr>
          <w:noProof/>
        </w:rPr>
        <w:drawing>
          <wp:inline distT="0" distB="0" distL="0" distR="0" wp14:anchorId="36CED041" wp14:editId="3718170B">
            <wp:extent cx="4410075" cy="8477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DD30" w14:textId="22DEBF1D" w:rsidR="006538D6" w:rsidRDefault="00867C07">
      <w:r>
        <w:t>Nun werden alle 1001-Infotypen, deren Subtyp „A500“ ist, gelesen.</w:t>
      </w:r>
      <w:r w:rsidR="00EF7241">
        <w:br/>
        <w:t>Hier werden alle Verknüpfungen</w:t>
      </w:r>
      <w:r w:rsidR="00035E7A">
        <w:t xml:space="preserve"> des Studiengangs (SC) abgefragt.</w:t>
      </w:r>
      <w:r w:rsidR="006538D6">
        <w:br/>
      </w:r>
      <w:r w:rsidR="006538D6">
        <w:br/>
      </w:r>
      <w:r w:rsidR="006538D6">
        <w:rPr>
          <w:noProof/>
        </w:rPr>
        <w:drawing>
          <wp:inline distT="0" distB="0" distL="0" distR="0" wp14:anchorId="616F9206" wp14:editId="1041CBE5">
            <wp:extent cx="4086225" cy="20955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DA4F" w14:textId="4737D041" w:rsidR="00867C07" w:rsidRDefault="00867C07"/>
    <w:p w14:paraId="500C6A0B" w14:textId="7497C634" w:rsidR="00867C07" w:rsidRDefault="00867C07">
      <w:r>
        <w:t>Anschließend werden aus der internen Tabelle lt_p1001, in der nun alle Einträge enthalten sind, die die richtige Verknüpfungsart haben, alle Einträge, deren SCLAS nicht ‚CG‘ ist, gelöscht</w:t>
      </w:r>
      <w:r w:rsidR="00DA474C">
        <w:t xml:space="preserve"> (es sollen ja CGs, die mit diesem Studiengang verknüpft sind, </w:t>
      </w:r>
      <w:r w:rsidR="00D923E5">
        <w:t>in der internen Tabelle sein)</w:t>
      </w:r>
      <w:r w:rsidR="008D51DD">
        <w:t>.</w:t>
      </w:r>
      <w:r w:rsidR="006538D6">
        <w:br/>
      </w:r>
      <w:r w:rsidR="006538D6">
        <w:br/>
      </w:r>
      <w:r w:rsidR="006538D6">
        <w:rPr>
          <w:noProof/>
        </w:rPr>
        <w:drawing>
          <wp:inline distT="0" distB="0" distL="0" distR="0" wp14:anchorId="1228391C" wp14:editId="2C23B313">
            <wp:extent cx="4562475" cy="1333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AD67" w14:textId="4F6F1310" w:rsidR="006538D6" w:rsidRDefault="006538D6">
      <w:r>
        <w:t>Nun wird eine Struktur für den Infotyp 1000 angelegt.</w:t>
      </w:r>
      <w:r>
        <w:br/>
        <w:t xml:space="preserve">Dazu werden alle gefundenen CG-Verknüpfungen in einer Loop-Schleife durchlaufen und die </w:t>
      </w:r>
      <w:proofErr w:type="spellStart"/>
      <w:r>
        <w:t>Objektids</w:t>
      </w:r>
      <w:proofErr w:type="spellEnd"/>
      <w:r>
        <w:t xml:space="preserve"> zur Struktur zugeordnet und diese wird anschließend an eine Tabelle (</w:t>
      </w:r>
      <w:proofErr w:type="spellStart"/>
      <w:r>
        <w:t>lt_cg_object</w:t>
      </w:r>
      <w:proofErr w:type="spellEnd"/>
      <w:r>
        <w:t>) angehängt.</w:t>
      </w:r>
      <w:r>
        <w:br/>
      </w:r>
      <w:r>
        <w:rPr>
          <w:noProof/>
        </w:rPr>
        <w:drawing>
          <wp:inline distT="0" distB="0" distL="0" distR="0" wp14:anchorId="733B1EC8" wp14:editId="3E18D3EB">
            <wp:extent cx="4057650" cy="11525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F1B8" w14:textId="77777777" w:rsidR="006538D6" w:rsidRDefault="006538D6"/>
    <w:p w14:paraId="21678518" w14:textId="339F0765" w:rsidR="00C079B3" w:rsidRDefault="00B8698E">
      <w:r>
        <w:t>Der Funktionsaufruf „HRIQ_READ_INFTY_1000“ wird benötigt, da im 1000er Infotyp der SHORT-hinterlegt ist, der zwingend benötigt wird</w:t>
      </w:r>
      <w:r w:rsidR="00C351E1">
        <w:t>.</w:t>
      </w:r>
      <w:r w:rsidR="006538D6">
        <w:br/>
      </w:r>
      <w:r w:rsidR="006538D6">
        <w:br/>
      </w:r>
      <w:r w:rsidR="006538D6">
        <w:lastRenderedPageBreak/>
        <w:t>Nachdem man eine Tabelle für den Infotyp 1000 hat, braucht man noch eine für den Infotyp 1733 (Enthält unter anderem die Modulgruppenart)</w:t>
      </w:r>
      <w:r w:rsidR="00C079B3">
        <w:t>. Diese wird wieder ausgehend von den CG-Objekten befüllt</w:t>
      </w:r>
      <w:r w:rsidR="00C059E0">
        <w:t>.</w:t>
      </w:r>
    </w:p>
    <w:p w14:paraId="76EB8B46" w14:textId="6D157CFD" w:rsidR="00C059E0" w:rsidRPr="00C059E0" w:rsidRDefault="00C059E0">
      <w:pPr>
        <w:rPr>
          <w:b/>
        </w:rPr>
      </w:pPr>
      <w:r w:rsidRPr="00C059E0">
        <w:rPr>
          <w:b/>
        </w:rPr>
        <w:t>D.h. Durch die Selektion auf die Verknüpfungen bekommt man alle CGs, die dem SC zugeordnet sind. Anschließend muss man nur noch mit den CGs weiterarbeiten</w:t>
      </w:r>
      <w:r w:rsidR="0088695C">
        <w:rPr>
          <w:b/>
        </w:rPr>
        <w:t>. Bei den hier gefundenen CGs handelt es sich um die CG-Bs (siehe Grafik, S. 1)</w:t>
      </w:r>
    </w:p>
    <w:p w14:paraId="05EF1AED" w14:textId="77777777" w:rsidR="00C079B3" w:rsidRDefault="00C079B3">
      <w:r>
        <w:t>Nun hat man folgende Tabellen:</w:t>
      </w:r>
    </w:p>
    <w:p w14:paraId="4BAF0DED" w14:textId="57677CBC" w:rsidR="00EB6582" w:rsidRDefault="00C079B3">
      <w:r>
        <w:t>Lt_p1000 (</w:t>
      </w:r>
      <w:r w:rsidR="0078737A">
        <w:t>Enthält die Daten der CGs)</w:t>
      </w:r>
      <w:r w:rsidR="00EB6582">
        <w:br/>
      </w:r>
      <w:r>
        <w:t>LT-p1001 (Alle Verknüpfungen mit Typ CG)</w:t>
      </w:r>
      <w:r w:rsidR="00EB6582">
        <w:br/>
      </w:r>
      <w:r>
        <w:t>LT_p1733</w:t>
      </w:r>
      <w:r w:rsidR="0078737A">
        <w:t xml:space="preserve"> (Enthält die Modulgruppenarten der CGs)</w:t>
      </w:r>
    </w:p>
    <w:p w14:paraId="40CFA128" w14:textId="78665332" w:rsidR="00EB6582" w:rsidRDefault="00EB6582">
      <w:r>
        <w:t>Im nächsten Schritt wird die Tabelle p1000 auf Basis des Shorts aufsteigend sortiert.</w:t>
      </w:r>
    </w:p>
    <w:p w14:paraId="089292F0" w14:textId="63286105" w:rsidR="00EB6582" w:rsidRDefault="00EB6582">
      <w:r>
        <w:t xml:space="preserve">Dann werden die Werte von lt_p1000 und lt_p1733 jeweils einer </w:t>
      </w:r>
      <w:proofErr w:type="spellStart"/>
      <w:r>
        <w:t>tmp</w:t>
      </w:r>
      <w:proofErr w:type="spellEnd"/>
      <w:r>
        <w:t>-Tabelle zugewiesen.</w:t>
      </w:r>
    </w:p>
    <w:p w14:paraId="0125FDF2" w14:textId="77777777" w:rsidR="007C4F0F" w:rsidRDefault="00C76824">
      <w:r>
        <w:rPr>
          <w:noProof/>
        </w:rPr>
        <w:drawing>
          <wp:inline distT="0" distB="0" distL="0" distR="0" wp14:anchorId="463876A1" wp14:editId="0C1B9802">
            <wp:extent cx="5760720" cy="4264660"/>
            <wp:effectExtent l="0" t="0" r="0" b="254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7301" w14:textId="77777777" w:rsidR="00B4101B" w:rsidRDefault="007C4F0F">
      <w:r>
        <w:t xml:space="preserve">Jetzt wird die </w:t>
      </w:r>
      <w:proofErr w:type="spellStart"/>
      <w:r>
        <w:t>tmp</w:t>
      </w:r>
      <w:proofErr w:type="spellEnd"/>
      <w:r>
        <w:t xml:space="preserve">-Tabelle des </w:t>
      </w:r>
      <w:proofErr w:type="spellStart"/>
      <w:r>
        <w:t>Infotyps</w:t>
      </w:r>
      <w:proofErr w:type="spellEnd"/>
      <w:r>
        <w:t xml:space="preserve"> 1000 geloopt.</w:t>
      </w:r>
      <w:r>
        <w:br/>
        <w:t>In der Select-Anweisung wird nach der Zuteilung zwischen der „normalen“ Kategorie der vorhandenen Infotypen und der „CGG-Kategorie“ herausgesucht.</w:t>
      </w:r>
      <w:r>
        <w:br/>
        <w:t>Ist eine der Kategorien „ZUMA“ werden die beiden Werte jeweils an eine spezielle Zuma-Tabelle angehängt und aus der „normalen“ Tabelle gelöscht, damit diese nicht doppelt verarbeitet werden.</w:t>
      </w:r>
    </w:p>
    <w:p w14:paraId="3D872A7B" w14:textId="77777777" w:rsidR="00143183" w:rsidRDefault="00143183">
      <w:r>
        <w:br w:type="page"/>
      </w:r>
    </w:p>
    <w:p w14:paraId="07841D0C" w14:textId="223FE5B6" w:rsidR="00143183" w:rsidRDefault="00AC7752">
      <w:r>
        <w:lastRenderedPageBreak/>
        <w:t>Als nächstes wird die Methode „</w:t>
      </w:r>
      <w:proofErr w:type="spellStart"/>
      <w:r>
        <w:t>filter_out_existing_cggs</w:t>
      </w:r>
      <w:proofErr w:type="spellEnd"/>
      <w:r>
        <w:t>“ aufgerufen.</w:t>
      </w:r>
      <w:r>
        <w:br/>
        <w:t xml:space="preserve">Hier werden die Tabellen lt_p1000 und lt_p1733 als </w:t>
      </w:r>
      <w:proofErr w:type="spellStart"/>
      <w:r>
        <w:t>changing</w:t>
      </w:r>
      <w:proofErr w:type="spellEnd"/>
      <w:r>
        <w:t>-Parameter übergeben (sie werden in der Methode direkt bearbeitet und so zurückgegeben).</w:t>
      </w:r>
    </w:p>
    <w:p w14:paraId="085C3F5A" w14:textId="3C8511BF" w:rsidR="00CE5792" w:rsidRDefault="00CE5792">
      <w:r>
        <w:t>Nach Ausführen dieser Methode erhält man eine Liste für alle Verknüpfungen, die noch angelegt werden müssen (</w:t>
      </w:r>
      <w:proofErr w:type="spellStart"/>
      <w:r>
        <w:t>lt_link_tmp</w:t>
      </w:r>
      <w:proofErr w:type="spellEnd"/>
      <w:r>
        <w:t>) und eine Liste, in der alle bereits existierenden CGGs enthalten sind (lt_cgg_1000).</w:t>
      </w:r>
    </w:p>
    <w:p w14:paraId="627449CB" w14:textId="77777777" w:rsidR="00CE5792" w:rsidRDefault="00143183">
      <w:r>
        <w:rPr>
          <w:noProof/>
        </w:rPr>
        <w:drawing>
          <wp:inline distT="0" distB="0" distL="0" distR="0" wp14:anchorId="35CEACD1" wp14:editId="54C897F4">
            <wp:extent cx="4752975" cy="16002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7D71" w14:textId="77777777" w:rsidR="009A1044" w:rsidRDefault="00383444">
      <w:r>
        <w:br/>
      </w:r>
      <w:r w:rsidR="009A1044">
        <w:t>Hier gibt es auch wieder eine interne Tabelle lt_1000_cg, die die übergebenen CGs aus der oberen Methode enthält (Durch Zuweisung über den Importparameter ct_1000_cg).</w:t>
      </w:r>
    </w:p>
    <w:p w14:paraId="6773DE22" w14:textId="77777777" w:rsidR="009A1044" w:rsidRDefault="009A1044">
      <w:r>
        <w:t>Anschließend werden die Werte für ein CG-Objekt wieder mit Konstanten vorbelegt.</w:t>
      </w:r>
    </w:p>
    <w:p w14:paraId="12075C78" w14:textId="77777777" w:rsidR="00AF0555" w:rsidRDefault="009A1044">
      <w:r>
        <w:rPr>
          <w:noProof/>
        </w:rPr>
        <w:drawing>
          <wp:inline distT="0" distB="0" distL="0" distR="0" wp14:anchorId="08686A3E" wp14:editId="28C081F3">
            <wp:extent cx="4067175" cy="638175"/>
            <wp:effectExtent l="0" t="0" r="9525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A3CE" w14:textId="77777777" w:rsidR="00AF0555" w:rsidRDefault="00383444">
      <w:r>
        <w:br/>
      </w:r>
      <w:r w:rsidR="00AF0555">
        <w:t>Nun wird wieder über die lt_1000_cg geloopt.</w:t>
      </w:r>
      <w:r w:rsidR="00AF0555">
        <w:br/>
        <w:t xml:space="preserve">Die Tabelle ct_1733_cg wird anhand der </w:t>
      </w:r>
      <w:proofErr w:type="spellStart"/>
      <w:r w:rsidR="00AF0555">
        <w:t>Objektid</w:t>
      </w:r>
      <w:proofErr w:type="spellEnd"/>
      <w:r w:rsidR="00AF0555">
        <w:t xml:space="preserve"> des aktuellen Wertes von lt_1000_cg gelesen.</w:t>
      </w:r>
    </w:p>
    <w:p w14:paraId="62D4A187" w14:textId="77777777" w:rsidR="00B913DD" w:rsidRDefault="00AF0555">
      <w:r>
        <w:t xml:space="preserve">Ist die </w:t>
      </w:r>
      <w:proofErr w:type="spellStart"/>
      <w:r>
        <w:t>Objektid</w:t>
      </w:r>
      <w:proofErr w:type="spellEnd"/>
      <w:r>
        <w:t xml:space="preserve"> vorhanden</w:t>
      </w:r>
      <w:r w:rsidR="004A5690">
        <w:t>, wird die Generalisationskategorie aus der Mapping-Tabelle gelesen.</w:t>
      </w:r>
      <w:r w:rsidR="001C4A62">
        <w:br/>
      </w:r>
      <w:r w:rsidR="00A4294C">
        <w:rPr>
          <w:noProof/>
        </w:rPr>
        <w:drawing>
          <wp:inline distT="0" distB="0" distL="0" distR="0" wp14:anchorId="2BB411DD" wp14:editId="4180D99D">
            <wp:extent cx="5760720" cy="111125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0DDC" w14:textId="6BFDF677" w:rsidR="00B8698E" w:rsidRDefault="00B913DD">
      <w:r>
        <w:t xml:space="preserve">Wenn ein Eintrag in der Mapping-Tabelle gefunden wurde, werden alle </w:t>
      </w:r>
      <w:proofErr w:type="spellStart"/>
      <w:r>
        <w:t>Objektids</w:t>
      </w:r>
      <w:proofErr w:type="spellEnd"/>
      <w:r>
        <w:t xml:space="preserve"> der Einträge in der Tabelle HRP1733 gelesen, die die Kategorie der zuvor ermittelten Generalisationskategorie</w:t>
      </w:r>
      <w:r w:rsidR="00666D0C">
        <w:t xml:space="preserve"> haben.</w:t>
      </w:r>
      <w:r w:rsidR="001C4A62">
        <w:br/>
      </w:r>
      <w:r w:rsidR="00F73901">
        <w:br/>
      </w:r>
      <w:r w:rsidR="00F73901">
        <w:rPr>
          <w:noProof/>
        </w:rPr>
        <w:drawing>
          <wp:inline distT="0" distB="0" distL="0" distR="0" wp14:anchorId="08E51AEF" wp14:editId="58470549">
            <wp:extent cx="2905125" cy="990600"/>
            <wp:effectExtent l="0" t="0" r="952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31EC" w14:textId="77777777" w:rsidR="00AC0120" w:rsidRDefault="00AC0120"/>
    <w:p w14:paraId="1685A024" w14:textId="77777777" w:rsidR="00DD274F" w:rsidRDefault="00DD274F"/>
    <w:p w14:paraId="19178601" w14:textId="1AA328E8" w:rsidR="00E723D5" w:rsidRDefault="00111524">
      <w:r>
        <w:lastRenderedPageBreak/>
        <w:t xml:space="preserve">Nun wird über die soeben ermittelten </w:t>
      </w:r>
      <w:proofErr w:type="spellStart"/>
      <w:r>
        <w:t>Objektids</w:t>
      </w:r>
      <w:proofErr w:type="spellEnd"/>
      <w:r>
        <w:t xml:space="preserve"> geloopt und dem </w:t>
      </w:r>
      <w:proofErr w:type="spellStart"/>
      <w:r>
        <w:t>ls_cg_object</w:t>
      </w:r>
      <w:proofErr w:type="spellEnd"/>
      <w:r>
        <w:t xml:space="preserve"> zugeordnet. Die anderen Werte wurden bereits am Beginn dieser Methode initialisiert. Jedes Objekt wird wiederum an eine Tabelle angehängt, die benötigt wird, um die zugehörigen Infotypen zu lesen</w:t>
      </w:r>
      <w:r w:rsidR="002E0C95">
        <w:t>.</w:t>
      </w:r>
    </w:p>
    <w:p w14:paraId="00650CF3" w14:textId="306089ED" w:rsidR="00EB2FDB" w:rsidRDefault="00EB2FDB">
      <w:r>
        <w:rPr>
          <w:noProof/>
        </w:rPr>
        <w:drawing>
          <wp:inline distT="0" distB="0" distL="0" distR="0" wp14:anchorId="5A6057C2" wp14:editId="3D13819F">
            <wp:extent cx="4457700" cy="30670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28C9" w14:textId="7B934A24" w:rsidR="00EB2FDB" w:rsidRDefault="00EB2FDB">
      <w:r>
        <w:t>Nun sind in der Tabelle lt_p1000 die Infotypen zu den gefundenen Einträgen, die die gesuchte Generalisationskategorie haben.</w:t>
      </w:r>
    </w:p>
    <w:p w14:paraId="5C90311A" w14:textId="11B7F5C8" w:rsidR="00064343" w:rsidRDefault="00064343">
      <w:r>
        <w:t>Hier werden alle Einträge gelöscht, deren Short-Nummer (die 4-stellige am Anfang) unterschiedlich zur aktuellen Zeile der Loop-Schleife ist.</w:t>
      </w:r>
    </w:p>
    <w:p w14:paraId="091516AB" w14:textId="3AE8A3B7" w:rsidR="00064343" w:rsidRDefault="00064343">
      <w:r>
        <w:rPr>
          <w:noProof/>
        </w:rPr>
        <w:drawing>
          <wp:inline distT="0" distB="0" distL="0" distR="0" wp14:anchorId="1AD0277E" wp14:editId="3E87D215">
            <wp:extent cx="4267200" cy="180975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E0CF" w14:textId="7299A2B4" w:rsidR="00E334F3" w:rsidRDefault="00C53E74">
      <w:r>
        <w:t>Danach wird die Tabelle am Index 1 gelesen (damit wird überprüft, ob überhaupt ein Eintrag vorhanden ist).</w:t>
      </w:r>
      <w:r w:rsidR="00E334F3">
        <w:br/>
      </w:r>
      <w:proofErr w:type="gramStart"/>
      <w:r w:rsidR="003F6EA5">
        <w:t>Wird</w:t>
      </w:r>
      <w:proofErr w:type="gramEnd"/>
      <w:r w:rsidR="003F6EA5">
        <w:t xml:space="preserve"> nichts gefunden, wird der </w:t>
      </w:r>
      <w:proofErr w:type="spellStart"/>
      <w:r w:rsidR="003F6EA5">
        <w:t>Schleifendurchaluf</w:t>
      </w:r>
      <w:proofErr w:type="spellEnd"/>
      <w:r w:rsidR="003F6EA5">
        <w:t xml:space="preserve"> beendet.</w:t>
      </w:r>
      <w:r w:rsidR="00D93BFD">
        <w:br/>
      </w:r>
      <w:r w:rsidR="00D93BFD">
        <w:rPr>
          <w:noProof/>
        </w:rPr>
        <w:drawing>
          <wp:inline distT="0" distB="0" distL="0" distR="0" wp14:anchorId="732A0899" wp14:editId="2E98DA95">
            <wp:extent cx="5248275" cy="962025"/>
            <wp:effectExtent l="0" t="0" r="9525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BFD">
        <w:br/>
      </w:r>
    </w:p>
    <w:p w14:paraId="5D8D94F5" w14:textId="66E9A0EC" w:rsidR="003F6EA5" w:rsidRDefault="003F6EA5">
      <w:r>
        <w:t xml:space="preserve">Wird etwas gefunden, wird die übergebene Tabelle für jeden </w:t>
      </w:r>
      <w:proofErr w:type="gramStart"/>
      <w:r>
        <w:t>Short(</w:t>
      </w:r>
      <w:proofErr w:type="gramEnd"/>
      <w:r>
        <w:t>4), der mit dem Short(4) des aktuellen Schleifendurchlaufs geloopt.</w:t>
      </w:r>
    </w:p>
    <w:p w14:paraId="2BCF6EA7" w14:textId="0B558EF1" w:rsidR="003F6EA5" w:rsidRDefault="003F6EA5">
      <w:r>
        <w:rPr>
          <w:noProof/>
        </w:rPr>
        <w:lastRenderedPageBreak/>
        <w:drawing>
          <wp:inline distT="0" distB="0" distL="0" distR="0" wp14:anchorId="62DDD52B" wp14:editId="5CA399F1">
            <wp:extent cx="5760720" cy="2544445"/>
            <wp:effectExtent l="0" t="0" r="0" b="825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659A" w14:textId="11CC2F92" w:rsidR="003F6EA5" w:rsidRDefault="003F6EA5">
      <w:r>
        <w:t xml:space="preserve">Dann wird die </w:t>
      </w:r>
      <w:proofErr w:type="spellStart"/>
      <w:r>
        <w:t>Objektid</w:t>
      </w:r>
      <w:proofErr w:type="spellEnd"/>
      <w:r>
        <w:t xml:space="preserve"> verglichen. Gibt es zu einem</w:t>
      </w:r>
      <w:r w:rsidR="00C41CB4">
        <w:t xml:space="preserve"> </w:t>
      </w:r>
      <w:proofErr w:type="gramStart"/>
      <w:r w:rsidR="00C41CB4">
        <w:t>Short(</w:t>
      </w:r>
      <w:proofErr w:type="gramEnd"/>
      <w:r w:rsidR="00C41CB4">
        <w:t>4) mehrere Einträge, wird dieser zur Tabelle „et_1000_cg_for_linkage“ hinzugefügt.</w:t>
      </w:r>
    </w:p>
    <w:p w14:paraId="61499BC0" w14:textId="31A8B09F" w:rsidR="00C41CB4" w:rsidRDefault="00C41CB4">
      <w:r>
        <w:t>DELETE ct_1000_cg bewirkt, dass die Zeile, die aktuell im Loop durchlaufen wird, gelöscht wird.</w:t>
      </w:r>
    </w:p>
    <w:p w14:paraId="2F8C7FA1" w14:textId="71BF4B51" w:rsidR="005850A9" w:rsidRDefault="005850A9">
      <w:r>
        <w:t>Wenn die gefundene Kategorie für die Studenten buchbar ist (also alle außer die abgefragten), werden diese der Exporttabelle „et_1000_cgg“ hinzugefügt. D.h. für diese CGs muss noch ein CGG angelegt werden</w:t>
      </w:r>
      <w:r w:rsidR="00775B9A">
        <w:t xml:space="preserve"> (oder?)</w:t>
      </w:r>
    </w:p>
    <w:p w14:paraId="52B95D4F" w14:textId="2C3D7558" w:rsidR="00C35B11" w:rsidRDefault="00C35B11"/>
    <w:p w14:paraId="4CCB7C0C" w14:textId="4D48418B" w:rsidR="00C35B11" w:rsidRDefault="007B46F3">
      <w:r>
        <w:t xml:space="preserve">Nach dieser Methode werden die beiden Tabellen lt_cgg_1000 und </w:t>
      </w:r>
      <w:proofErr w:type="spellStart"/>
      <w:r>
        <w:t>lt_link_tmp</w:t>
      </w:r>
      <w:proofErr w:type="spellEnd"/>
      <w:r>
        <w:t xml:space="preserve"> and die Tabellen et_cg_1000 bzw. </w:t>
      </w:r>
      <w:proofErr w:type="spellStart"/>
      <w:r>
        <w:t>lt_cg_linkage</w:t>
      </w:r>
      <w:proofErr w:type="spellEnd"/>
      <w:r>
        <w:t xml:space="preserve"> angehängt und die Methode erneut ausgeführt, diesmal jedoch mit den Zuma-Tabellen.</w:t>
      </w:r>
    </w:p>
    <w:p w14:paraId="680752D3" w14:textId="445244A6" w:rsidR="00376EA7" w:rsidRDefault="00376EA7">
      <w:r>
        <w:rPr>
          <w:noProof/>
        </w:rPr>
        <w:drawing>
          <wp:inline distT="0" distB="0" distL="0" distR="0" wp14:anchorId="2320624F" wp14:editId="2C68278C">
            <wp:extent cx="4048125" cy="2247900"/>
            <wp:effectExtent l="0" t="0" r="9525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6117" w14:textId="06A46442" w:rsidR="00550D28" w:rsidRDefault="00550D28"/>
    <w:p w14:paraId="6BA6F497" w14:textId="4E77A20D" w:rsidR="00550D28" w:rsidRDefault="005B5D7E">
      <w:r>
        <w:t>Methode PROCESS_1001_FOR_EXISTING_CGG</w:t>
      </w:r>
    </w:p>
    <w:p w14:paraId="5E90A8E2" w14:textId="119A5AF8" w:rsidR="00A92E13" w:rsidRDefault="0080186D">
      <w:r>
        <w:lastRenderedPageBreak/>
        <w:t xml:space="preserve">Hier wird das </w:t>
      </w:r>
      <w:proofErr w:type="spellStart"/>
      <w:r>
        <w:t>ls_cg_object</w:t>
      </w:r>
      <w:proofErr w:type="spellEnd"/>
      <w:r>
        <w:t xml:space="preserve"> wieder mit konstanten Werten vorbelegt</w:t>
      </w:r>
      <w:r w:rsidR="00620C60">
        <w:t>.</w:t>
      </w:r>
      <w:r w:rsidR="00AC4CD2">
        <w:br/>
        <w:t>Außerdem wird eine Struktur für den Infotyp 1001 bereits vorbelegt.</w:t>
      </w:r>
      <w:r w:rsidR="00456354">
        <w:br/>
      </w:r>
      <w:r w:rsidR="00456354">
        <w:rPr>
          <w:noProof/>
        </w:rPr>
        <w:drawing>
          <wp:inline distT="0" distB="0" distL="0" distR="0" wp14:anchorId="4935E26C" wp14:editId="333C2120">
            <wp:extent cx="4057650" cy="129540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84A1" w14:textId="77777777" w:rsidR="00A92E13" w:rsidRDefault="00A92E13">
      <w:r>
        <w:br w:type="page"/>
      </w:r>
    </w:p>
    <w:p w14:paraId="65F56115" w14:textId="32C1FE33" w:rsidR="0080186D" w:rsidRDefault="00A92E13">
      <w:r>
        <w:rPr>
          <w:noProof/>
        </w:rPr>
        <w:lastRenderedPageBreak/>
        <w:drawing>
          <wp:inline distT="0" distB="0" distL="0" distR="0" wp14:anchorId="5917A4E4" wp14:editId="68B3D1AA">
            <wp:extent cx="5760720" cy="3732530"/>
            <wp:effectExtent l="0" t="0" r="0" b="127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CA49" w14:textId="3D843725" w:rsidR="00376EA7" w:rsidRDefault="00376EA7">
      <w:r>
        <w:t xml:space="preserve">Anschließend wird die Methode </w:t>
      </w:r>
      <w:proofErr w:type="spellStart"/>
      <w:r>
        <w:t>Process_cgs</w:t>
      </w:r>
      <w:proofErr w:type="spellEnd"/>
      <w:r>
        <w:t xml:space="preserve"> aufgerufen, die unter anderem die Anlage der CGGs beinhaltet.</w:t>
      </w:r>
      <w:bookmarkStart w:id="0" w:name="_GoBack"/>
      <w:bookmarkEnd w:id="0"/>
    </w:p>
    <w:sectPr w:rsidR="00376E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A3"/>
    <w:rsid w:val="00035E7A"/>
    <w:rsid w:val="00064343"/>
    <w:rsid w:val="00070405"/>
    <w:rsid w:val="00111524"/>
    <w:rsid w:val="001138DE"/>
    <w:rsid w:val="00143183"/>
    <w:rsid w:val="00167DDE"/>
    <w:rsid w:val="001C4A62"/>
    <w:rsid w:val="001E3F09"/>
    <w:rsid w:val="00222082"/>
    <w:rsid w:val="002240B7"/>
    <w:rsid w:val="002377F8"/>
    <w:rsid w:val="002400E0"/>
    <w:rsid w:val="002E0C95"/>
    <w:rsid w:val="00334A40"/>
    <w:rsid w:val="00361BB1"/>
    <w:rsid w:val="00376EA7"/>
    <w:rsid w:val="00383444"/>
    <w:rsid w:val="003F6EA5"/>
    <w:rsid w:val="00456354"/>
    <w:rsid w:val="004A5690"/>
    <w:rsid w:val="004E7704"/>
    <w:rsid w:val="005004BF"/>
    <w:rsid w:val="00550D28"/>
    <w:rsid w:val="005850A9"/>
    <w:rsid w:val="005867A0"/>
    <w:rsid w:val="005B5D7E"/>
    <w:rsid w:val="006001C0"/>
    <w:rsid w:val="00611839"/>
    <w:rsid w:val="00620C60"/>
    <w:rsid w:val="006538D6"/>
    <w:rsid w:val="00666D0C"/>
    <w:rsid w:val="006D3037"/>
    <w:rsid w:val="007578CF"/>
    <w:rsid w:val="00775B9A"/>
    <w:rsid w:val="007809AB"/>
    <w:rsid w:val="0078737A"/>
    <w:rsid w:val="007B46F3"/>
    <w:rsid w:val="007C4F0F"/>
    <w:rsid w:val="007E3F97"/>
    <w:rsid w:val="0080186D"/>
    <w:rsid w:val="00810EA3"/>
    <w:rsid w:val="00867C07"/>
    <w:rsid w:val="0088695C"/>
    <w:rsid w:val="008929F4"/>
    <w:rsid w:val="008D51DD"/>
    <w:rsid w:val="008D74AE"/>
    <w:rsid w:val="00942C1F"/>
    <w:rsid w:val="0096450D"/>
    <w:rsid w:val="00986285"/>
    <w:rsid w:val="009A1044"/>
    <w:rsid w:val="009F3615"/>
    <w:rsid w:val="00A4294C"/>
    <w:rsid w:val="00A92E13"/>
    <w:rsid w:val="00AA0BB0"/>
    <w:rsid w:val="00AC0120"/>
    <w:rsid w:val="00AC4CD2"/>
    <w:rsid w:val="00AC7752"/>
    <w:rsid w:val="00AE15A0"/>
    <w:rsid w:val="00AF0555"/>
    <w:rsid w:val="00AF12C9"/>
    <w:rsid w:val="00B4101B"/>
    <w:rsid w:val="00B8698E"/>
    <w:rsid w:val="00B913DD"/>
    <w:rsid w:val="00BB1784"/>
    <w:rsid w:val="00BD36FF"/>
    <w:rsid w:val="00C059E0"/>
    <w:rsid w:val="00C07041"/>
    <w:rsid w:val="00C079B3"/>
    <w:rsid w:val="00C17C81"/>
    <w:rsid w:val="00C351E1"/>
    <w:rsid w:val="00C35B11"/>
    <w:rsid w:val="00C41CB4"/>
    <w:rsid w:val="00C53E74"/>
    <w:rsid w:val="00C76824"/>
    <w:rsid w:val="00CE5792"/>
    <w:rsid w:val="00D14C66"/>
    <w:rsid w:val="00D41EB9"/>
    <w:rsid w:val="00D57FD5"/>
    <w:rsid w:val="00D923E5"/>
    <w:rsid w:val="00D93BFD"/>
    <w:rsid w:val="00DA474C"/>
    <w:rsid w:val="00DD274F"/>
    <w:rsid w:val="00DD43D2"/>
    <w:rsid w:val="00DF648C"/>
    <w:rsid w:val="00E12A1F"/>
    <w:rsid w:val="00E24541"/>
    <w:rsid w:val="00E334F3"/>
    <w:rsid w:val="00E62DB1"/>
    <w:rsid w:val="00E723D5"/>
    <w:rsid w:val="00EB2FDB"/>
    <w:rsid w:val="00EB6582"/>
    <w:rsid w:val="00EC57F2"/>
    <w:rsid w:val="00EF29AF"/>
    <w:rsid w:val="00EF7241"/>
    <w:rsid w:val="00F50B52"/>
    <w:rsid w:val="00F73901"/>
    <w:rsid w:val="00FC0796"/>
    <w:rsid w:val="00FC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D340C"/>
  <w15:chartTrackingRefBased/>
  <w15:docId w15:val="{C9DC6707-C873-4330-9E73-404C683A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FC07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FC0796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779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Diessner</dc:creator>
  <cp:keywords/>
  <dc:description/>
  <cp:lastModifiedBy>Dominik Diessner</cp:lastModifiedBy>
  <cp:revision>75</cp:revision>
  <dcterms:created xsi:type="dcterms:W3CDTF">2018-10-01T09:24:00Z</dcterms:created>
  <dcterms:modified xsi:type="dcterms:W3CDTF">2018-10-02T11:31:00Z</dcterms:modified>
</cp:coreProperties>
</file>