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848d15a1820e460a" /><Relationship Type="http://schemas.openxmlformats.org/package/2006/relationships/metadata/core-properties" Target="/package/services/metadata/core-properties/062e71c3110c4425b5cecfdc4fa273a1.psmdcp" Id="R8853d22f201f4b43" /></Relationships>
</file>

<file path=word/document.xml><?xml version="1.0" encoding="utf-8"?>
<w:document xmlns:w="http://schemas.openxmlformats.org/wordprocessingml/2006/main">
  <w:body>
    <w:p>
      <w:pPr>
        <w:pStyle w:val="heading1"/>
      </w:pPr>
      <w:r>
        <w:t>Rapport Exhaustif sur les Fonctionnalités et Capacités d’OpenELIS Global pour Équipes Techniques et Implémenteurs</w:t>
      </w:r>
    </w:p>
    <w:p>
      <w:r>
        <w:pict>
          <v:rect xmlns:o="urn:schemas-microsoft-com:office:office" xmlns:v="urn:schemas-microsoft-com:vml" style="height:.05pt;mso-width-percent:1000" o:hr="true" o:hrstd="true" o:hralign="center" fillcolor="A0A0A0" stroked="false"/>
        </w:pict>
      </w:r>
    </w:p>
    <w:p>
      <w:pPr>
        <w:pStyle w:val="heading2"/>
      </w:pPr>
      <w:r>
        <w:t>Introduction</w:t>
      </w:r>
    </w:p>
    <w:p>
      <w:r>
        <w:t>OpenELIS Global s'impose comme l’un des systèmes d’information de laboratoire (LIS, Laboratory Information System) open source les plus robustes et les plus adaptables, conçu expressément pour les besoins évolutifs des laboratoires de santé publique, des réseaux nationaux et des contextes à ressources limitées</w:t>
      </w:r>
      <w:r>
        <w:rPr>
          <w:vertAlign w:val="superscript"/>
        </w:rPr>
        <w:t>1</w:t>
      </w:r>
      <w:r>
        <w:t>. Fruit de nombreuses implémentations nationales (dont Côte d'Ivoire, Maurice, Haïti et de nombreux hôpitaux avec Bahmni), la solution bénéficie d’une communauté active, d’une architecture API moderne et d'une adhésion stricte aux standards mondiaux (HL7 FHIR, LOINC, ISO/SLIPTA), en assurant la conformité, la sécurité et l’interopérabilité de bout en bout</w:t>
      </w:r>
      <w:r>
        <w:rPr>
          <w:vertAlign w:val="superscript"/>
        </w:rPr>
        <w:t>2</w:t>
      </w:r>
      <w:r>
        <w:rPr>
          <w:vertAlign w:val="superscript"/>
        </w:rPr>
        <w:t>1</w:t>
      </w:r>
      <w:r>
        <w:t>. Ce rapport a pour but de dresser une cartographie exhaustive des fonctionnalités, sans aborder la partie infrastructure ou conseils d’implémentation, et en mettant l’accent sur chaque module, interaction, et capacités attendues pour un usage intensif, à grande échelle et conforme aux meilleures pratiques internationales.</w:t>
      </w:r>
    </w:p>
    <w:p>
      <w:r>
        <w:pict>
          <v:rect xmlns:o="urn:schemas-microsoft-com:office:office" xmlns:v="urn:schemas-microsoft-com:vml" style="height:.05pt;mso-width-percent:1000" o:hr="true" o:hrstd="true" o:hralign="center" fillcolor="A0A0A0" stroked="false"/>
        </w:pict>
      </w:r>
    </w:p>
    <w:p>
      <w:pPr>
        <w:pStyle w:val="heading2"/>
      </w:pPr>
      <w:r>
        <w:t>Tableau Synthétique des Fonctionnalités Principales d’OpenELIS Global</w:t>
      </w:r>
    </w:p>
    <w:tbl>
      <w:tblPr>
        <w:tblStyle w:val="TableGrid"/>
        <w:tblW w:w="5000" w:type="pct"/>
      </w:tblPr>
      <w:tr>
        <w:trPr>
          <w:cnfStyle w:firstRow="true"/>
        </w:trPr>
        <w:tc>
          <w:p>
            <w:r>
              <w:t>Catégorie Fonctionnelle</w:t>
            </w:r>
          </w:p>
        </w:tc>
        <w:tc>
          <w:p>
            <w:r>
              <w:t>Description Résumée</w:t>
            </w:r>
          </w:p>
        </w:tc>
      </w:tr>
      <w:tr>
        <w:tc>
          <w:p>
            <w:r/>
            <w:r>
              <w:rPr>
                <w:b/>
              </w:rPr>
              <w:t>Gestion des patients</w:t>
            </w:r>
            <w:r/>
          </w:p>
        </w:tc>
        <w:tc>
          <w:p>
            <w:r>
              <w:t>Dossiers patients unifiés, recherche multi-sources, intégration CR et EMR, synchronisation centrale</w:t>
            </w:r>
          </w:p>
        </w:tc>
      </w:tr>
      <w:tr>
        <w:tc>
          <w:p>
            <w:r/>
            <w:r>
              <w:rPr>
                <w:b/>
              </w:rPr>
              <w:t>Gestion des échantillons</w:t>
            </w:r>
            <w:r/>
          </w:p>
        </w:tc>
        <w:tc>
          <w:p>
            <w:r>
              <w:t>Typage configurable, suivi du prélèvement à l’archivage, workflows personnalisables</w:t>
            </w:r>
          </w:p>
        </w:tc>
      </w:tr>
      <w:tr>
        <w:tc>
          <w:p>
            <w:r/>
            <w:r>
              <w:rPr>
                <w:b/>
              </w:rPr>
              <w:t>Catalogue de tests &amp; algorithmes</w:t>
            </w:r>
            <w:r/>
          </w:p>
        </w:tc>
        <w:tc>
          <w:p>
            <w:r>
              <w:t>Création de panels, logique de tests réflexes avancés, support LOINC, personnalisation</w:t>
            </w:r>
          </w:p>
        </w:tc>
      </w:tr>
      <w:tr>
        <w:tc>
          <w:p>
            <w:r/>
            <w:r>
              <w:rPr>
                <w:b/>
              </w:rPr>
              <w:t>Saisie des résultats &amp; CQ</w:t>
            </w:r>
            <w:r/>
          </w:p>
        </w:tc>
        <w:tc>
          <w:p>
            <w:r>
              <w:t>Interface input multi-type, calculs, gestion CQ/CI, alertes automatiques</w:t>
            </w:r>
          </w:p>
        </w:tc>
      </w:tr>
      <w:tr>
        <w:tc>
          <w:p>
            <w:r/>
            <w:r>
              <w:rPr>
                <w:b/>
              </w:rPr>
              <w:t>Intégration HL7 FHIR</w:t>
            </w:r>
            <w:r/>
          </w:p>
        </w:tc>
        <w:tc>
          <w:p>
            <w:r>
              <w:t>APIs FHIR R4 complètes, support de bundle, mappings LOINC, bidirectionnalité avec EMR et analyzers</w:t>
            </w:r>
          </w:p>
        </w:tc>
      </w:tr>
      <w:tr>
        <w:tc>
          <w:p>
            <w:r/>
            <w:r>
              <w:rPr>
                <w:b/>
              </w:rPr>
              <w:t>Interopérabilité OpenMRS</w:t>
            </w:r>
            <w:r/>
          </w:p>
        </w:tc>
        <w:tc>
          <w:p>
            <w:r>
              <w:t>Échanges bidirectionnels automatisés via modules FHIR, synchronisation statuts</w:t>
            </w:r>
          </w:p>
        </w:tc>
      </w:tr>
      <w:tr>
        <w:tc>
          <w:p>
            <w:r/>
            <w:r>
              <w:rPr>
                <w:b/>
              </w:rPr>
              <w:t>Gestion des utilisateurs &amp; rôles</w:t>
            </w:r>
            <w:r/>
          </w:p>
        </w:tc>
        <w:tc>
          <w:p>
            <w:r>
              <w:t>RBAC avancé, intégration SAML/OAuth2/Keycloak, gestion contextuelle par section/laboratoire</w:t>
            </w:r>
          </w:p>
        </w:tc>
      </w:tr>
      <w:tr>
        <w:tc>
          <w:p>
            <w:r/>
            <w:r>
              <w:rPr>
                <w:b/>
              </w:rPr>
              <w:t>Sécurité &amp; conformité</w:t>
            </w:r>
            <w:r/>
          </w:p>
        </w:tc>
        <w:tc>
          <w:p>
            <w:r>
              <w:t>Chiffrement AES-256, SSL, audit, conformité RGPD, HIPAA, ISO/SLIPTA</w:t>
            </w:r>
          </w:p>
        </w:tc>
      </w:tr>
      <w:tr>
        <w:tc>
          <w:p>
            <w:r/>
            <w:r>
              <w:rPr>
                <w:b/>
              </w:rPr>
              <w:t>Gestion stocks &amp; inventaire</w:t>
            </w:r>
            <w:r/>
          </w:p>
        </w:tc>
        <w:tc>
          <w:p>
            <w:r>
              <w:t>Couplage Odoo ERP, notions de lots, expirations, commandes auto, alertes stocks bas</w:t>
            </w:r>
          </w:p>
        </w:tc>
      </w:tr>
      <w:tr>
        <w:tc>
          <w:p>
            <w:r/>
            <w:r>
              <w:rPr>
                <w:b/>
              </w:rPr>
              <w:t>Maintenance des équipements</w:t>
            </w:r>
            <w:r/>
          </w:p>
        </w:tc>
        <w:tc>
          <w:p>
            <w:r>
              <w:t>Module planification entretien, historique interventions, suivi calibration</w:t>
            </w:r>
          </w:p>
        </w:tc>
      </w:tr>
      <w:tr>
        <w:tc>
          <w:p>
            <w:r/>
            <w:r>
              <w:rPr>
                <w:b/>
              </w:rPr>
              <w:t>Personnalisation UI &amp; workflows</w:t>
            </w:r>
            <w:r/>
          </w:p>
        </w:tc>
        <w:tc>
          <w:p>
            <w:r>
              <w:t>UI réactive React, thèmes, branding, adaptation des interfaces &amp; processus par section</w:t>
            </w:r>
          </w:p>
        </w:tc>
      </w:tr>
      <w:tr>
        <w:tc>
          <w:p>
            <w:r/>
            <w:r>
              <w:rPr>
                <w:b/>
              </w:rPr>
              <w:t>Dashboards &amp; monitoring temps réel</w:t>
            </w:r>
            <w:r/>
          </w:p>
        </w:tc>
        <w:tc>
          <w:p>
            <w:r>
              <w:t>Prometheus/Grafana, KPIs système, flux de données, alertes techniques en temps réel</w:t>
            </w:r>
          </w:p>
        </w:tc>
      </w:tr>
      <w:tr>
        <w:tc>
          <w:p>
            <w:r/>
            <w:r>
              <w:rPr>
                <w:b/>
              </w:rPr>
              <w:t>Alertes &amp; notifications</w:t>
            </w:r>
            <w:r/>
          </w:p>
        </w:tc>
        <w:tc>
          <w:p>
            <w:r>
              <w:t>Règles custom, SMS/email, gestion événements critiques</w:t>
            </w:r>
          </w:p>
        </w:tc>
      </w:tr>
      <w:tr>
        <w:tc>
          <w:p>
            <w:r/>
            <w:r>
              <w:rPr>
                <w:b/>
              </w:rPr>
              <w:t>Référentiel central &amp; synchronisation</w:t>
            </w:r>
          </w:p>
        </w:tc>
        <w:tc>
          <w:p>
            <w:r>
              <w:t>Consolidated Server, SHR, synchronisation sites multiples, patient summary, data mart</w:t>
            </w:r>
          </w:p>
        </w:tc>
      </w:tr>
      <w:tr>
        <w:tc>
          <w:p>
            <w:r/>
            <w:r>
              <w:rPr>
                <w:b/>
              </w:rPr>
              <w:t>Entrepôt de données &amp; reporting</w:t>
            </w:r>
            <w:r/>
          </w:p>
        </w:tc>
        <w:tc>
          <w:p>
            <w:r>
              <w:t>Data warehouse, reporting indicateurs spécifiques, exports pour BI externes</w:t>
            </w:r>
          </w:p>
        </w:tc>
      </w:tr>
    </w:tbl>
    <w:p>
      <w:r>
        <w:pict>
          <v:rect xmlns:o="urn:schemas-microsoft-com:office:office" xmlns:v="urn:schemas-microsoft-com:vml" style="height:.05pt;mso-width-percent:1000" o:hr="true" o:hrstd="true" o:hralign="center" fillcolor="A0A0A0" stroked="false"/>
        </w:pict>
      </w:r>
    </w:p>
    <w:p>
      <w:r>
        <w:t>Chaque fonctionnalité du tableau ci-dessus est approfondie dans les sections suivantes, à travers une approche modulaire, détaillée et adaptée aux besoins des équipes techniques cherchant à concevoir, intégrer, exploiter ou enrichir le système à grande échelle.</w:t>
      </w:r>
    </w:p>
    <w:p>
      <w:r>
        <w:pict>
          <v:rect xmlns:o="urn:schemas-microsoft-com:office:office" xmlns:v="urn:schemas-microsoft-com:vml" style="height:.05pt;mso-width-percent:1000" o:hr="true" o:hrstd="true" o:hralign="center" fillcolor="A0A0A0" stroked="false"/>
        </w:pict>
      </w:r>
    </w:p>
    <w:p>
      <w:pPr>
        <w:pStyle w:val="heading2"/>
      </w:pPr>
      <w:r>
        <w:t>Modules de Base</w:t>
      </w:r>
    </w:p>
    <w:p>
      <w:pPr>
        <w:pStyle w:val="heading3"/>
      </w:pPr>
      <w:r>
        <w:t>Gestion des patients</w:t>
      </w:r>
    </w:p>
    <w:p>
      <w:r>
        <w:t>OpenELIS Global place la gestion unifiée du patient au cœur de ses processus. Le module patient propose la création, modification, consultation et synchronisation de dossiers complets, avec des capacités de recherche locale et fédérée跨域(CR, EMR, client registry). Il permet d’</w:t>
      </w:r>
      <w:r>
        <w:rPr>
          <w:b/>
        </w:rPr>
        <w:t>ajouter rapidement des nouveaux patients</w:t>
      </w:r>
      <w:r>
        <w:t xml:space="preserve"> localement tout en synchronisant en temps réel avec un registre centralisé de clients, garantissant l’absence de doublons et la qualité des données. Si le patient existe déjà dans le système, il est possible d’</w:t>
      </w:r>
      <w:r>
        <w:rPr>
          <w:b/>
        </w:rPr>
        <w:t>importer automatiquement les champs démographiques</w:t>
      </w:r>
      <w:r>
        <w:t>, y compris ceux renseignés dans les systèmes EMR tiers</w:t>
      </w:r>
      <w:r>
        <w:rPr>
          <w:vertAlign w:val="superscript"/>
        </w:rPr>
        <w:t>3</w:t>
      </w:r>
      <w:r>
        <w:t>.</w:t>
      </w:r>
    </w:p>
    <w:p>
      <w:r>
        <w:t xml:space="preserve">L'intégration native avec un client registry FHIR (OpenCR/HIE) permet à l’utilisateur, lors de la création d’un ordre de test, de rechercher d’abord dans la base locale, puis, en cas d’échec, d’interroger le référentiel national/CR pour éviter les redondances et favoriser une </w:t>
      </w:r>
      <w:r>
        <w:rPr>
          <w:b/>
        </w:rPr>
        <w:t>interopérabilité robuste</w:t>
      </w:r>
      <w:r>
        <w:t>. Tous les champs démographiques-clefs (nom, prénom, âge, sexe, adresses, nationalité, identifiants multiples) sont pris en charge (compatibilité multi-sources, gestion des identités concurrentes), et la solution peut prendre en compte l’évolution des identités au fil des synchronisations</w:t>
      </w:r>
      <w:r>
        <w:rPr>
          <w:vertAlign w:val="superscript"/>
        </w:rPr>
        <w:t>3</w:t>
      </w:r>
      <w:r>
        <w:t>.</w:t>
      </w:r>
    </w:p>
    <w:p>
      <w:r>
        <w:t xml:space="preserve">La gestion des historiques patients est également avancée et supporte une </w:t>
      </w:r>
      <w:r>
        <w:rPr>
          <w:b/>
        </w:rPr>
        <w:t>visualisation consolidée</w:t>
      </w:r>
      <w:r>
        <w:t xml:space="preserve"> (graphiques de résultats précédents, histoire longitudinale par site, médecins prescripteurs) et même la génération d’un récapitulatif patient au format </w:t>
      </w:r>
      <w:r>
        <w:rPr>
          <w:b/>
        </w:rPr>
        <w:t>International Patient Summary</w:t>
      </w:r>
      <w:r>
        <w:t xml:space="preserve"> ou Shared Health Record</w:t>
      </w:r>
      <w:r>
        <w:rPr>
          <w:vertAlign w:val="superscript"/>
        </w:rPr>
        <w:t>4</w:t>
      </w:r>
      <w:r>
        <w:t>.</w:t>
      </w:r>
    </w:p>
    <w:p>
      <w:r>
        <w:pict>
          <v:rect xmlns:o="urn:schemas-microsoft-com:office:office" xmlns:v="urn:schemas-microsoft-com:vml" style="height:.05pt;mso-width-percent:1000" o:hr="true" o:hrstd="true" o:hralign="center" fillcolor="A0A0A0" stroked="false"/>
        </w:pict>
      </w:r>
    </w:p>
    <w:p>
      <w:pPr>
        <w:pStyle w:val="heading3"/>
      </w:pPr>
      <w:r>
        <w:t>Gestion des échantillons</w:t>
      </w:r>
    </w:p>
    <w:p>
      <w:r>
        <w:t xml:space="preserve">Le module échantillon offre une gestion très fine des types (sang, sang total, plasma, urine, etc.), de leurs propriétés et du cycle de vie complet d’un spécimen : </w:t>
      </w:r>
      <w:r>
        <w:rPr>
          <w:b/>
        </w:rPr>
        <w:t>de la collecte</w:t>
      </w:r>
      <w:r>
        <w:t xml:space="preserve"> (enregistrement date/heure, conditions du site, responsable du prélèvement) jusqu’au stockage, suivi, déplacement, stockage secondaire (hors patient), jusqu’à leur destruction ou archivage</w:t>
      </w:r>
      <w:r>
        <w:rPr>
          <w:vertAlign w:val="superscript"/>
        </w:rPr>
        <w:t>5</w:t>
      </w:r>
      <w:r>
        <w:t>.</w:t>
      </w:r>
    </w:p>
    <w:p>
      <w:r>
        <w:t xml:space="preserve">Il inclut le support natif des </w:t>
      </w:r>
      <w:r>
        <w:rPr>
          <w:b/>
        </w:rPr>
        <w:t>numérotations personnalisables et lisibles</w:t>
      </w:r>
      <w:r>
        <w:t xml:space="preserve"> (nouveautés v3.0), la gestion multi-échantillons par patient, la gestion d’échantillons référés (internalisation/externalisation), des workflow sur-mesure pour pathologie, histopathologie, cytologie et plus</w:t>
      </w:r>
      <w:r>
        <w:rPr>
          <w:vertAlign w:val="superscript"/>
        </w:rPr>
        <w:t>6</w:t>
      </w:r>
      <w:r>
        <w:t xml:space="preserve">. La solution permet également le </w:t>
      </w:r>
      <w:r>
        <w:rPr>
          <w:b/>
        </w:rPr>
        <w:t>scannage de codes-barres</w:t>
      </w:r>
      <w:r>
        <w:t>, la création rapide de lots/box pour l’envoi en labo de référence, et la gestion du flux de réception et de suivi par simple scan.</w:t>
      </w:r>
    </w:p>
    <w:p>
      <w:r>
        <w:t xml:space="preserve">Les utilisateurs retrouveront des fonctions telles que les </w:t>
      </w:r>
      <w:r>
        <w:rPr>
          <w:b/>
        </w:rPr>
        <w:t>accès multi-site</w:t>
      </w:r>
      <w:r>
        <w:t>, la mémorisation d’informations de prélèvement (site, service, médecin...), et la gestion dynamique des sous-localisations (services, wards).</w:t>
      </w:r>
    </w:p>
    <w:p>
      <w:r>
        <w:pict>
          <v:rect xmlns:o="urn:schemas-microsoft-com:office:office" xmlns:v="urn:schemas-microsoft-com:vml" style="height:.05pt;mso-width-percent:1000" o:hr="true" o:hrstd="true" o:hralign="center" fillcolor="A0A0A0" stroked="false"/>
        </w:pict>
      </w:r>
    </w:p>
    <w:p>
      <w:pPr>
        <w:pStyle w:val="heading3"/>
      </w:pPr>
      <w:r>
        <w:t>Catalogue de tests &amp; algorithmes personnalisés</w:t>
      </w:r>
    </w:p>
    <w:p>
      <w:r>
        <w:t xml:space="preserve">L’un des atouts majeurs d’OpenELIS est la paramétrisation avancée du </w:t>
      </w:r>
      <w:r>
        <w:rPr>
          <w:b/>
        </w:rPr>
        <w:t>catalogue de tests</w:t>
      </w:r>
      <w:r>
        <w:t xml:space="preserve">. Il prend en charge les panels/groupes de tests, les tests composés, l’ajout de nouveaux types, le mapping automatique sur le standard </w:t>
      </w:r>
      <w:r>
        <w:rPr>
          <w:b/>
        </w:rPr>
        <w:t>LOINC</w:t>
      </w:r>
      <w:r>
        <w:t>, la compatibilité multi-langues (notamment le français), et la gestion de panels par section de laboratoire.</w:t>
      </w:r>
    </w:p>
    <w:p>
      <w:r>
        <w:t>La création d’</w:t>
      </w:r>
      <w:r>
        <w:rPr>
          <w:b/>
        </w:rPr>
        <w:t>algorithmes de tests réflexes</w:t>
      </w:r>
      <w:r>
        <w:t xml:space="preserve"> et calculés est rendue très flexible grâce à un </w:t>
      </w:r>
      <w:r>
        <w:rPr>
          <w:b/>
        </w:rPr>
        <w:t>Rule Builder</w:t>
      </w:r>
      <w:r>
        <w:t xml:space="preserve"> graphique intégré (nouveauté v3.0) permettant la définition de règles complexes de tests supplémentaires en fonction de résultats, la prise en charge des calculs automatiques avancés (mise en œuvre des formules personnalisées), ainsi que le support de valeurs calculées adjointes au résultat numérique</w:t>
      </w:r>
      <w:r>
        <w:rPr>
          <w:vertAlign w:val="superscript"/>
        </w:rPr>
        <w:t>6</w:t>
      </w:r>
      <w:r>
        <w:t>. Les administrateurs peuvent également définir des plages de référence (adulte, pédiatrique, etc.), des listes/méthodologies, et des méthodes associées à chaque test.</w:t>
      </w:r>
    </w:p>
    <w:p>
      <w:r>
        <w:t>Les concepts OpenELIS sont liés aux terminologie services type OpenConceptLab permettant de maintenir l’alignement sémantique du catalogue avec les standards internationaux tout au long du cycle de vie du référentiel.</w:t>
      </w:r>
    </w:p>
    <w:p>
      <w:r>
        <w:pict>
          <v:rect xmlns:o="urn:schemas-microsoft-com:office:office" xmlns:v="urn:schemas-microsoft-com:vml" style="height:.05pt;mso-width-percent:1000" o:hr="true" o:hrstd="true" o:hralign="center" fillcolor="A0A0A0" stroked="false"/>
        </w:pict>
      </w:r>
    </w:p>
    <w:p>
      <w:pPr>
        <w:pStyle w:val="heading3"/>
      </w:pPr>
      <w:r>
        <w:t>Saisie des résultats et contrôle qualité (CQ)</w:t>
      </w:r>
    </w:p>
    <w:p>
      <w:r>
        <w:t xml:space="preserve">La </w:t>
      </w:r>
      <w:r>
        <w:rPr>
          <w:b/>
        </w:rPr>
        <w:t>saisie des résultats</w:t>
      </w:r>
      <w:r>
        <w:t xml:space="preserve"> bénéficie d’une interface input moderne (React) adaptée à tous les types de résultats : numériques, qualitatifs/listes, calculs automatisés, valeurs limites signalées (e.g. “&lt;”, “&gt;”), résultats multiples par test (nouveauté v3.0, ex : valeur brute + résultat calculé), support d’</w:t>
      </w:r>
      <w:r>
        <w:rPr>
          <w:b/>
        </w:rPr>
        <w:t>attachements</w:t>
      </w:r>
      <w:r>
        <w:t xml:space="preserve"> (fichiers, images, PDF pour preuves ou contextes cliniques)</w:t>
      </w:r>
      <w:r>
        <w:rPr>
          <w:vertAlign w:val="superscript"/>
        </w:rPr>
        <w:t>6</w:t>
      </w:r>
      <w:r>
        <w:t>.</w:t>
      </w:r>
    </w:p>
    <w:p>
      <w:r>
        <w:t>Le workflow inclut une validation biologique et/ou administrative, la gestion de notifications en cas de valeurs critiques (plages personnalisables, alertes automatiques en cas de non-conformité, saisie hors plage, etc.), la gestion des contrôles de qualité, l’affichage des valeurs de référence (cachables pour choix de clarté), et la possibilité de valider l’ensemble des résultats en un clic si tous sont dans la norme.</w:t>
      </w:r>
    </w:p>
    <w:p>
      <w:r>
        <w:t>Le système permet aussi de configurer des notifications automatiques destinées aux prescripteurs ou patients (par mail/SMS), avec conditions spécifiques (</w:t>
      </w:r>
      <w:r>
        <w:rPr>
          <w:rStyle w:val="Code"/>
        </w:rPr>
        <w:t>non-normal range</w:t>
      </w:r>
      <w:r>
        <w:t>, test particulier, etc.), et gère la signature électronique des rapports si activée(conformité OMS SLIPTA)​</w:t>
      </w:r>
      <w:r>
        <w:rPr>
          <w:vertAlign w:val="superscript"/>
        </w:rPr>
        <w:t>6</w:t>
      </w:r>
      <w:r>
        <w:t>.</w:t>
      </w:r>
    </w:p>
    <w:p>
      <w:r>
        <w:pict>
          <v:rect xmlns:o="urn:schemas-microsoft-com:office:office" xmlns:v="urn:schemas-microsoft-com:vml" style="height:.05pt;mso-width-percent:1000" o:hr="true" o:hrstd="true" o:hralign="center" fillcolor="A0A0A0" stroked="false"/>
        </w:pict>
      </w:r>
    </w:p>
    <w:p>
      <w:pPr>
        <w:pStyle w:val="heading2"/>
      </w:pPr>
      <w:r>
        <w:t>Outils de Déploiement Intégrés</w:t>
      </w:r>
    </w:p>
    <w:p>
      <w:pPr>
        <w:pStyle w:val="heading3"/>
      </w:pPr>
      <w:r>
        <w:t>Administration centralisée &amp; profils de base de données</w:t>
      </w:r>
    </w:p>
    <w:p>
      <w:r>
        <w:t xml:space="preserve">OpenELIS offre aux administrateurs la possibilité d’effectuer des </w:t>
      </w:r>
      <w:r>
        <w:rPr>
          <w:b/>
        </w:rPr>
        <w:t>mises à jour massives</w:t>
      </w:r>
      <w:r>
        <w:t xml:space="preserve"> du catalogue des sites ou des tests via l’import de profils CSV, utile pour la désactivation de lots de tests ou de sites non utilisés sur une nouvelle instance, ou la réinitialisation rapide dans le contexte d’une configuration nationale</w:t>
      </w:r>
      <w:r>
        <w:rPr>
          <w:vertAlign w:val="superscript"/>
        </w:rPr>
        <w:t>7</w:t>
      </w:r>
      <w:r>
        <w:t>.</w:t>
      </w:r>
    </w:p>
    <w:p>
      <w:r>
        <w:t>L’interface administrative permet, en outre, la gestion centrale de toutes les entités de configuration métier (sections, unités, emplacements géographiques, modes analytiques, listages d’utilisateurs, etc.) avec une capacité de customisation sur mesure par contexte local, réseau régional ou national</w:t>
      </w:r>
      <w:r>
        <w:rPr>
          <w:vertAlign w:val="superscript"/>
        </w:rPr>
        <w:t>4</w:t>
      </w:r>
      <w:r>
        <w:t>.</w:t>
      </w:r>
    </w:p>
    <w:p>
      <w:r>
        <w:pict>
          <v:rect xmlns:o="urn:schemas-microsoft-com:office:office" xmlns:v="urn:schemas-microsoft-com:vml" style="height:.05pt;mso-width-percent:1000" o:hr="true" o:hrstd="true" o:hralign="center" fillcolor="A0A0A0" stroked="false"/>
        </w:pict>
      </w:r>
    </w:p>
    <w:p>
      <w:pPr>
        <w:pStyle w:val="heading3"/>
      </w:pPr>
      <w:r>
        <w:t>Référentiel central, synchronisation multisite et Consolidated Server</w:t>
      </w:r>
    </w:p>
    <w:p>
      <w:r>
        <w:t xml:space="preserve">Un des points forts d’OpenELIS est la </w:t>
      </w:r>
      <w:r>
        <w:rPr>
          <w:b/>
        </w:rPr>
        <w:t>gestion synchronisée multisite</w:t>
      </w:r>
      <w:r>
        <w:t xml:space="preserve"> avec consolidation centrale. La plate-forme s’appuie sur un ensemble d’applications serveur (consolidated server) pour la </w:t>
      </w:r>
      <w:r>
        <w:rPr>
          <w:b/>
        </w:rPr>
        <w:t>synchronisation d’informations patients, facility registry, listes de médecins, structure SHR</w:t>
      </w:r>
      <w:r>
        <w:t xml:space="preserve"> (Shared Health Record) et international patient summary, visant à fédérer l’ensemble des données au niveau d’un réseau complet de laboratoires</w:t>
      </w:r>
      <w:r>
        <w:rPr>
          <w:vertAlign w:val="superscript"/>
        </w:rPr>
        <w:t>4</w:t>
      </w:r>
      <w:r>
        <w:t>.</w:t>
      </w:r>
    </w:p>
    <w:p>
      <w:r>
        <w:t>La synchronisation bidirectionnelle permet la continuité d’activité même en cas de coupure réseau (design “offline-first”) : chaque site fonctionne en local et synchronise dès que la connexion est restaurée. Les capacités de synchronisation couvrent les ordres, résultats, inventaires, référentiels de catalogues, et profils utilisateurs.</w:t>
      </w:r>
    </w:p>
    <w:p>
      <w:r>
        <w:t>Le consolidated server centralise aussi les informations de configuration (ex : facilities/wards issues du Global Open Facility Registry - GOFR), assurant la cohérence nationale des emplacements et de la gestion des structures organisationnelles</w:t>
      </w:r>
      <w:r>
        <w:rPr>
          <w:vertAlign w:val="superscript"/>
        </w:rPr>
        <w:t>4</w:t>
      </w:r>
      <w:r>
        <w:t>.</w:t>
      </w:r>
    </w:p>
    <w:p>
      <w:r>
        <w:pict>
          <v:rect xmlns:o="urn:schemas-microsoft-com:office:office" xmlns:v="urn:schemas-microsoft-com:vml" style="height:.05pt;mso-width-percent:1000" o:hr="true" o:hrstd="true" o:hralign="center" fillcolor="A0A0A0" stroked="false"/>
        </w:pict>
      </w:r>
    </w:p>
    <w:p>
      <w:pPr>
        <w:pStyle w:val="heading3"/>
      </w:pPr>
      <w:r>
        <w:t>Entrepôt de données, reporting et exports analytiques</w:t>
      </w:r>
    </w:p>
    <w:p>
      <w:r>
        <w:t xml:space="preserve">OpenELIS Global met à disposition un </w:t>
      </w:r>
      <w:r>
        <w:rPr>
          <w:b/>
        </w:rPr>
        <w:t>data warehouse analytique</w:t>
      </w:r>
      <w:r>
        <w:t xml:space="preserve"> conçu pour l’analyse épidémiologique, la génération d’indicateurs santé publique et la production de rapports standards ou personnalisés, à partir de données agrégées, plates (data mart), normalisées FHIR</w:t>
      </w:r>
      <w:r>
        <w:rPr>
          <w:vertAlign w:val="superscript"/>
        </w:rPr>
        <w:t>4</w:t>
      </w:r>
      <w:r>
        <w:t>.</w:t>
      </w:r>
    </w:p>
    <w:p>
      <w:r>
        <w:t>L’ensemble des tests exécutés au niveau du réseau, les indicateurs COVID-19, la surveillance microbiologique, la traçabilité des tests référés et la production de rapports par site, région ou indicateur, sont préconfigurés (ex : exports classiques CSV, ou extraction pour PowerBI, Tableau, BigQuery). Ce mécanisme permet de répondre à la fois aux exigences nationales d’indicateurs (vertical, horizontal, multi-programmes), à la remontée SLIPTA, ou à l’intégration avec les plateformes de santé digitale nationales</w:t>
      </w:r>
      <w:r>
        <w:rPr>
          <w:vertAlign w:val="superscript"/>
        </w:rPr>
        <w:t>4</w:t>
      </w:r>
      <w:r>
        <w:t>.</w:t>
      </w:r>
    </w:p>
    <w:p>
      <w:r>
        <w:pict>
          <v:rect xmlns:o="urn:schemas-microsoft-com:office:office" xmlns:v="urn:schemas-microsoft-com:vml" style="height:.05pt;mso-width-percent:1000" o:hr="true" o:hrstd="true" o:hralign="center" fillcolor="A0A0A0" stroked="false"/>
        </w:pict>
      </w:r>
    </w:p>
    <w:p>
      <w:pPr>
        <w:pStyle w:val="heading2"/>
      </w:pPr>
      <w:r>
        <w:t>Capacités d’Intégration et d’Interopérabilité</w:t>
      </w:r>
    </w:p>
    <w:p>
      <w:pPr>
        <w:pStyle w:val="heading3"/>
      </w:pPr>
      <w:r>
        <w:t>APIs HL7 FHIR et intégration EMR/LIS</w:t>
      </w:r>
    </w:p>
    <w:p>
      <w:r>
        <w:t>OpenELIS Global possède l’un des moteurs HL7 FHIR les plus aboutis du marché open source. Il repose sur un FHIR server co-localisé (HAPI FHIR JPA), disponible en HTTPS client-auth, qui expose un ensemble d’objets métiers normalisés autour des principales ressources FHIR : Patient, Task, ServiceRequest, DiagnosticReport, Observation, Specimen, Practitioner, Encounter, Communication, etc.</w:t>
      </w:r>
      <w:r>
        <w:rPr>
          <w:vertAlign w:val="superscript"/>
        </w:rPr>
        <w:t>8</w:t>
      </w:r>
      <w:r>
        <w:t>.</w:t>
      </w:r>
    </w:p>
    <w:p>
      <w:r>
        <w:t xml:space="preserve">Les mécanismes de communication sont </w:t>
      </w:r>
      <w:r>
        <w:rPr>
          <w:b/>
        </w:rPr>
        <w:t>bidirectionnels</w:t>
      </w:r>
      <w:r>
        <w:t xml:space="preserve"> : réception des ordres de tests (EMR -&gt; LIS) en bundle FHIR, export automatique des résultats intégrés, gestion de l’état d’avancement (</w:t>
      </w:r>
      <w:r>
        <w:rPr>
          <w:rStyle w:val="Code"/>
        </w:rPr>
        <w:t>Task.status</w:t>
      </w:r>
      <w:r>
        <w:t>), notification asynchrone, import/export par polling ou push selon le paramétrage de l’intégration avec des plateformes tierces (not. OpenMRS, Ozone, Bahmni, etc.)</w:t>
      </w:r>
      <w:r>
        <w:rPr>
          <w:vertAlign w:val="superscript"/>
        </w:rPr>
        <w:t>9</w:t>
      </w:r>
      <w:r>
        <w:t>.</w:t>
      </w:r>
    </w:p>
    <w:p>
      <w:r>
        <w:t>Chaque test, pour une prise en charge optimale, est mappé à un code LOINC (ou autre codification compatible FHIR), excluant tout recours à des attributs propriétaires et facilitant l’interopérabilité internationale ou la connexion au Health Information Exchange (HIE) le cas échéant</w:t>
      </w:r>
      <w:r>
        <w:rPr>
          <w:vertAlign w:val="superscript"/>
        </w:rPr>
        <w:t>10</w:t>
      </w:r>
      <w:r>
        <w:t>.</w:t>
      </w:r>
    </w:p>
    <w:p>
      <w:r>
        <w:pict>
          <v:rect xmlns:o="urn:schemas-microsoft-com:office:office" xmlns:v="urn:schemas-microsoft-com:vml" style="height:.05pt;mso-width-percent:1000" o:hr="true" o:hrstd="true" o:hralign="center" fillcolor="A0A0A0" stroked="false"/>
        </w:pict>
      </w:r>
    </w:p>
    <w:p>
      <w:pPr>
        <w:pStyle w:val="heading3"/>
      </w:pPr>
      <w:r>
        <w:t>Interopérabilité avec OpenMRS et modules “Lab on FHIR”</w:t>
      </w:r>
    </w:p>
    <w:p>
      <w:r>
        <w:t xml:space="preserve">OpenELIS Global possède une </w:t>
      </w:r>
      <w:r>
        <w:rPr>
          <w:b/>
        </w:rPr>
        <w:t>interopérabilité native</w:t>
      </w:r>
      <w:r>
        <w:t xml:space="preserve"> avec OpenMRS, via les modules openmrs-module-labintegration (HL7 V2.5.1 historique pour ISantéPlus) ou openmrs-module-labonfhir (nouvelle génération, FHIR 2.x+), permettant le couplage profond entre le LIS et l’EMR patient.</w:t>
      </w:r>
    </w:p>
    <w:p>
      <w:r>
        <w:t>Le workflow Lab Order repose sur la création de commandes dans OpenMRS, la transmission des bundles FHIR à OpenELIS, puis le réacheminement des rapports diagnostics et observations une fois les résultats validés. Les statuts et le suivi de chaîne sont synchronisés (ex : Task, ServiceRequest, DiagnosticReport), les identifiants croisés (UUID, LOINC) sont automatiquement résolus</w:t>
      </w:r>
      <w:r>
        <w:rPr>
          <w:vertAlign w:val="superscript"/>
        </w:rPr>
        <w:t>9</w:t>
      </w:r>
      <w:r>
        <w:t>.</w:t>
      </w:r>
    </w:p>
    <w:p>
      <w:r>
        <w:t>La solution supporte les cascade de flux multi-sites, la gestion multicanal (push/pull) et la synchronisation dans les contextes nationaux où l’EMR est massivement déployé (Haïti, Côte d’Ivoire).</w:t>
      </w:r>
    </w:p>
    <w:p>
      <w:r>
        <w:pict>
          <v:rect xmlns:o="urn:schemas-microsoft-com:office:office" xmlns:v="urn:schemas-microsoft-com:vml" style="height:.05pt;mso-width-percent:1000" o:hr="true" o:hrstd="true" o:hralign="center" fillcolor="A0A0A0" stroked="false"/>
        </w:pict>
      </w:r>
    </w:p>
    <w:p>
      <w:pPr>
        <w:pStyle w:val="heading3"/>
      </w:pPr>
      <w:r>
        <w:t>Intégration ASTM/HL7 vers analyseurs et automates de laboratoire</w:t>
      </w:r>
    </w:p>
    <w:p>
      <w:r>
        <w:t xml:space="preserve">La connectivité vers les analyseurs cliniques est opérée par des </w:t>
      </w:r>
      <w:r>
        <w:rPr>
          <w:b/>
        </w:rPr>
        <w:t>protocoles standards ASTM et HL7</w:t>
      </w:r>
      <w:r>
        <w:t xml:space="preserve"> (bidirectionnels). Les analyseurs peuvent interroger OpenELIS pour connaître les tests en attente, extraire les fiches patient/échantillon, puis injecter les résultats directement dans le LIS. Les workflows LS/RS, plate-setup pour QuantStudio 3 (COVID-19 PCR), et interfaces personnalisées sont fournis</w:t>
      </w:r>
      <w:r>
        <w:rPr>
          <w:vertAlign w:val="superscript"/>
        </w:rPr>
        <w:t>4</w:t>
      </w:r>
      <w:r>
        <w:t>.</w:t>
      </w:r>
    </w:p>
    <w:p>
      <w:r>
        <w:t>Cela permet, en routine, de fluidifier l’automatisation, d’éviter la double saisie, d'améliorer la traçabilité et de mieux sécuriser la chaîne analytique.</w:t>
      </w:r>
    </w:p>
    <w:p>
      <w:r>
        <w:pict>
          <v:rect xmlns:o="urn:schemas-microsoft-com:office:office" xmlns:v="urn:schemas-microsoft-com:vml" style="height:.05pt;mso-width-percent:1000" o:hr="true" o:hrstd="true" o:hralign="center" fillcolor="A0A0A0" stroked="false"/>
        </w:pict>
      </w:r>
    </w:p>
    <w:p>
      <w:pPr>
        <w:pStyle w:val="heading3"/>
      </w:pPr>
      <w:r>
        <w:t>Intégration avec Odoo ERP pour inventaire/facturation</w:t>
      </w:r>
    </w:p>
    <w:p>
      <w:r>
        <w:t xml:space="preserve">Depuis la version 2.7, OpenELIS s’intègre nativement à Odoo ERP open source pour la </w:t>
      </w:r>
      <w:r>
        <w:rPr>
          <w:b/>
        </w:rPr>
        <w:t>gestion des stocks, inventaire, consommables, réactifs, kits de test, équipements</w:t>
      </w:r>
      <w:r>
        <w:t>, et jusqu’à la facturation</w:t>
      </w:r>
      <w:r>
        <w:rPr>
          <w:vertAlign w:val="superscript"/>
        </w:rPr>
        <w:t>11</w:t>
      </w:r>
      <w:r>
        <w:rPr>
          <w:vertAlign w:val="superscript"/>
        </w:rPr>
        <w:t>12</w:t>
      </w:r>
      <w:r>
        <w:t>.</w:t>
      </w:r>
    </w:p>
    <w:p>
      <w:r>
        <w:t>L’inventaire profite du suivi des lots/numéros, des dates d’expiration, du réapprovisionnement automatique, de la génération d’alertes de stocks faibles, du scannage codes-barres, du rapprochement avec les bons de commande et du support de la synchronisation inter-laboratoires.</w:t>
      </w:r>
    </w:p>
    <w:p>
      <w:r>
        <w:t>Des modules complémentaires permettent la gestion des commandes, la génération automatique d’écritures de facturation et la traçabilité complète des mouvements d’inventaire parallèlement à l’activité analytique.</w:t>
      </w:r>
    </w:p>
    <w:p>
      <w:r>
        <w:pict>
          <v:rect xmlns:o="urn:schemas-microsoft-com:office:office" xmlns:v="urn:schemas-microsoft-com:vml" style="height:.05pt;mso-width-percent:1000" o:hr="true" o:hrstd="true" o:hralign="center" fillcolor="A0A0A0" stroked="false"/>
        </w:pict>
      </w:r>
    </w:p>
    <w:p>
      <w:pPr>
        <w:pStyle w:val="heading2"/>
      </w:pPr>
      <w:r>
        <w:t>Gestion des Utilisateurs, Rôles et Sécurité</w:t>
      </w:r>
    </w:p>
    <w:p>
      <w:pPr>
        <w:pStyle w:val="heading3"/>
      </w:pPr>
      <w:r>
        <w:t>Gestion avancée des utilisateurs et RBAC</w:t>
      </w:r>
    </w:p>
    <w:p>
      <w:r>
        <w:t xml:space="preserve">OpenELIS propose une </w:t>
      </w:r>
      <w:r>
        <w:rPr>
          <w:b/>
        </w:rPr>
        <w:t>gestion granulée des utilisateurs et des rôles par section/unité de laboratoire</w:t>
      </w:r>
      <w:r>
        <w:t xml:space="preserve"> : chaque utilisateur peut avoir un accès centré sur une ou plusieurs sections (ex : microbiologie, sérologie, biochimie), avec des droits spécifiques par fonctionnalité (réception, saisie, validation), une simplification du paramétrage et la possibilité de filtrer les accès et écrans par contexte</w:t>
      </w:r>
      <w:r>
        <w:rPr>
          <w:vertAlign w:val="superscript"/>
        </w:rPr>
        <w:t>4</w:t>
      </w:r>
      <w:r>
        <w:t>.</w:t>
      </w:r>
    </w:p>
    <w:p>
      <w:r>
        <w:t>La gestion “base permissions on user” (héritage, simplification des rôles), les filtres par utilisateur/section/test, et la gestion de listes actives/désactivées permettent d’adapter très précisément la solution aux procédures métiers locales.</w:t>
      </w:r>
    </w:p>
    <w:p>
      <w:r>
        <w:pict>
          <v:rect xmlns:o="urn:schemas-microsoft-com:office:office" xmlns:v="urn:schemas-microsoft-com:vml" style="height:.05pt;mso-width-percent:1000" o:hr="true" o:hrstd="true" o:hralign="center" fillcolor="A0A0A0" stroked="false"/>
        </w:pict>
      </w:r>
    </w:p>
    <w:p>
      <w:pPr>
        <w:pStyle w:val="heading3"/>
      </w:pPr>
      <w:r>
        <w:t>Authentification, SSO et intégration avec Keycloak/SAML/OAuth2</w:t>
      </w:r>
    </w:p>
    <w:p>
      <w:r>
        <w:t xml:space="preserve">OpenELIS Global supporte le </w:t>
      </w:r>
      <w:r>
        <w:rPr>
          <w:b/>
        </w:rPr>
        <w:t>Single Sign-On (SSO) complet</w:t>
      </w:r>
      <w:r>
        <w:t xml:space="preserve"> via l’intégration à </w:t>
      </w:r>
      <w:r>
        <w:rPr>
          <w:b/>
        </w:rPr>
        <w:t>Keycloak</w:t>
      </w:r>
      <w:r>
        <w:t>, SAML 2.0 ou OAuth2, permettant de coupler le contrôle d’accès avec l’annuaire d’entreprise ou une fédération nationale. La gestion de l’authentification multi-facteurs est également supportée, ainsi que le mapping d’attributs de groupes pour une gestion dynamique des accès par profil ou organisation</w:t>
      </w:r>
      <w:r>
        <w:rPr>
          <w:vertAlign w:val="superscript"/>
        </w:rPr>
        <w:t>4</w:t>
      </w:r>
      <w:r>
        <w:t>.</w:t>
      </w:r>
    </w:p>
    <w:p>
      <w:r>
        <w:t>Le module admin permet de configurer exactement la politique d’accès, de définir les rôles métiers (manager, technicien, CQ, validation, etc.), d’appliquer une séparation des responsabilités conforme au principe du moindre privilège.</w:t>
      </w:r>
    </w:p>
    <w:p>
      <w:r>
        <w:pict>
          <v:rect xmlns:o="urn:schemas-microsoft-com:office:office" xmlns:v="urn:schemas-microsoft-com:vml" style="height:.05pt;mso-width-percent:1000" o:hr="true" o:hrstd="true" o:hralign="center" fillcolor="A0A0A0" stroked="false"/>
        </w:pict>
      </w:r>
    </w:p>
    <w:p>
      <w:pPr>
        <w:pStyle w:val="heading3"/>
      </w:pPr>
      <w:r>
        <w:t>Sécurité des données, conformité et audit</w:t>
      </w:r>
    </w:p>
    <w:p>
      <w:r>
        <w:t xml:space="preserve">La sécurité est assurée avec </w:t>
      </w:r>
      <w:r>
        <w:rPr>
          <w:b/>
        </w:rPr>
        <w:t>chiffrement fort AES-256</w:t>
      </w:r>
      <w:r>
        <w:t xml:space="preserve"> pour les données au repos, SSL/TLS pour les communications, stockage sécurisé des secrets, et audit logging centralisé. Chaque action utilisateur, chaque interaction API, est enregistrée pour permettre un audit forensique et un suivi de conformité (notamment avec le RGPD, HIPAA, ISO15189, SLIPTA, etc.)</w:t>
      </w:r>
      <w:r>
        <w:rPr>
          <w:vertAlign w:val="superscript"/>
        </w:rPr>
        <w:t>4</w:t>
      </w:r>
      <w:r>
        <w:t>.</w:t>
      </w:r>
    </w:p>
    <w:p>
      <w:r>
        <w:t>Les politiques de sauvegarde, la réplication, les options de backup de configuration sont accessibles au niveau central et local, garantissant la résilience face aux pannes ou aux incidents de sécurité. Les administrateurs disposent de mécanismes pour contrôler qui accède à quelles ressources et vérifier la conformité au fil des utilisations.</w:t>
      </w:r>
    </w:p>
    <w:p>
      <w:r>
        <w:pict>
          <v:rect xmlns:o="urn:schemas-microsoft-com:office:office" xmlns:v="urn:schemas-microsoft-com:vml" style="height:.05pt;mso-width-percent:1000" o:hr="true" o:hrstd="true" o:hralign="center" fillcolor="A0A0A0" stroked="false"/>
        </w:pict>
      </w:r>
    </w:p>
    <w:p>
      <w:pPr>
        <w:pStyle w:val="heading2"/>
      </w:pPr>
      <w:r>
        <w:t>Gestion des processus de laboratoire et personnalisation</w:t>
      </w:r>
    </w:p>
    <w:p>
      <w:pPr>
        <w:pStyle w:val="heading3"/>
      </w:pPr>
      <w:r>
        <w:t>Workflows personnalisables et adaptation UI</w:t>
      </w:r>
    </w:p>
    <w:p>
      <w:r>
        <w:t xml:space="preserve">OpenELIS met l’accent sur la </w:t>
      </w:r>
      <w:r>
        <w:rPr>
          <w:b/>
        </w:rPr>
        <w:t>modularité et la personnalisation des workflows</w:t>
      </w:r>
      <w:r>
        <w:t xml:space="preserve"> métier, possible via des interfaces graphiques React modernes et flexibles. Les écrans, les menus, les processus (de la réception à la validation) peuvent être ajustés pour chaque contexte, chaque section laboratoire, chaque type de test</w:t>
      </w:r>
      <w:r>
        <w:rPr>
          <w:vertAlign w:val="superscript"/>
        </w:rPr>
        <w:t>4</w:t>
      </w:r>
      <w:r>
        <w:t>. Le thème graphique, le branding institutionnel, et l’ensemble des libellés (multi-langues, dont français natif complet) sont personnalisables via la configuration.</w:t>
      </w:r>
    </w:p>
    <w:p>
      <w:r>
        <w:t>La plateforme gère également la présentation spécifique à certains parcours analytiques complexes (histologie, cytologie, TB, pandémie, etc.), en permettant l’ajout de champs personnalisés, de questionnaires conditionnels par programme, d’affichages dédiés par étape d’un workflow (coupe, coloration, numérisation de lames, etc.)</w:t>
      </w:r>
      <w:r>
        <w:rPr>
          <w:vertAlign w:val="superscript"/>
        </w:rPr>
        <w:t>4</w:t>
      </w:r>
      <w:r>
        <w:t>.</w:t>
      </w:r>
    </w:p>
    <w:p>
      <w:r>
        <w:pict>
          <v:rect xmlns:o="urn:schemas-microsoft-com:office:office" xmlns:v="urn:schemas-microsoft-com:vml" style="height:.05pt;mso-width-percent:1000" o:hr="true" o:hrstd="true" o:hralign="center" fillcolor="A0A0A0" stroked="false"/>
        </w:pict>
      </w:r>
    </w:p>
    <w:p>
      <w:pPr>
        <w:pStyle w:val="heading3"/>
      </w:pPr>
      <w:r>
        <w:t>Gestion des notifications, alertes et communication</w:t>
      </w:r>
    </w:p>
    <w:p>
      <w:r>
        <w:t xml:space="preserve">Les </w:t>
      </w:r>
      <w:r>
        <w:rPr>
          <w:b/>
        </w:rPr>
        <w:t>notifications automatiques</w:t>
      </w:r>
      <w:r>
        <w:t xml:space="preserve"> constituent un outil puissant pour la gestion pro-active du circuit patient-échantillon-test. Les administrateurs peuvent définir des stratégies d’alerte par type de résultat, valeur critique, hors-plage, ou lors de la validation biologique ou technique, et paramétrer des envois SMS/email tant pour les patients que pour les prescripteurs</w:t>
      </w:r>
      <w:r>
        <w:rPr>
          <w:vertAlign w:val="superscript"/>
        </w:rPr>
        <w:t>4</w:t>
      </w:r>
      <w:r>
        <w:t>.</w:t>
      </w:r>
    </w:p>
    <w:p>
      <w:r>
        <w:t>Les règles sont définies au niveau du catalogue et personnalisables : qui doit recevoir l’alerte, pour quel test/scénario, et par quel canal. Le système prend aussi en charge les relances automatiques et l’escalade en cas d’absence de réaction aux alertes critiques.</w:t>
      </w:r>
    </w:p>
    <w:p>
      <w:r>
        <w:pict>
          <v:rect xmlns:o="urn:schemas-microsoft-com:office:office" xmlns:v="urn:schemas-microsoft-com:vml" style="height:.05pt;mso-width-percent:1000" o:hr="true" o:hrstd="true" o:hralign="center" fillcolor="A0A0A0" stroked="false"/>
        </w:pict>
      </w:r>
    </w:p>
    <w:p>
      <w:pPr>
        <w:pStyle w:val="heading3"/>
      </w:pPr>
      <w:r>
        <w:t>Maintenance des équipements</w:t>
      </w:r>
    </w:p>
    <w:p>
      <w:r>
        <w:t xml:space="preserve">Un module dédiée permet la </w:t>
      </w:r>
      <w:r>
        <w:rPr>
          <w:b/>
        </w:rPr>
        <w:t>planification, le suivi des maintenances</w:t>
      </w:r>
      <w:r>
        <w:t>, la consignation des historiques de calibrage, la gestion des pannes ou interventions techniques sur les analyseurs et équipements, donnant la possibilité de minimiser les arrêts. Les utilisateurs peuvent enregistrer chaque intervention, renseigner le responsable, exporter le registre pour audits internes ou conformité qualité</w:t>
      </w:r>
      <w:r>
        <w:rPr>
          <w:vertAlign w:val="superscript"/>
        </w:rPr>
        <w:t>4</w:t>
      </w:r>
      <w:r>
        <w:t>.</w:t>
      </w:r>
    </w:p>
    <w:p>
      <w:r>
        <w:pict>
          <v:rect xmlns:o="urn:schemas-microsoft-com:office:office" xmlns:v="urn:schemas-microsoft-com:vml" style="height:.05pt;mso-width-percent:1000" o:hr="true" o:hrstd="true" o:hralign="center" fillcolor="A0A0A0" stroked="false"/>
        </w:pict>
      </w:r>
    </w:p>
    <w:p>
      <w:pPr>
        <w:pStyle w:val="heading2"/>
      </w:pPr>
      <w:r>
        <w:t>Monitoring, Dashboards et Performance</w:t>
      </w:r>
    </w:p>
    <w:p>
      <w:pPr>
        <w:pStyle w:val="heading3"/>
      </w:pPr>
      <w:r>
        <w:t>Dashboards en temps réel et monitoring technique</w:t>
      </w:r>
    </w:p>
    <w:p>
      <w:r>
        <w:t xml:space="preserve">OpenELIS Global se distingue par la présence d’un </w:t>
      </w:r>
      <w:r>
        <w:rPr>
          <w:b/>
        </w:rPr>
        <w:t>monitoring intégré</w:t>
      </w:r>
      <w:r>
        <w:t>, basé sur la stack Prometheus/Grafana, pour le suivi en temps réel du système : usage du CPU, mémoire, stockage, volumétrie, statuts des flux de données inter-applications, latence des transmissions, indicateurs de performance métier, etc.</w:t>
      </w:r>
      <w:r>
        <w:rPr>
          <w:vertAlign w:val="superscript"/>
        </w:rPr>
        <w:t>13</w:t>
      </w:r>
      <w:r>
        <w:t>.</w:t>
      </w:r>
    </w:p>
    <w:p>
      <w:r>
        <w:t>Les dashboards sont personnalisables, accessibles pour chaque administrateur système, avec la possibilité de définir des seuils d’alerte automatique en cas de dégradation ou d’incident (ex : réplication en retard, stockage bientôt saturé, incident sur analyseur, etc.)</w:t>
      </w:r>
      <w:r>
        <w:rPr>
          <w:vertAlign w:val="superscript"/>
        </w:rPr>
        <w:t>14</w:t>
      </w:r>
      <w:r>
        <w:t>.</w:t>
      </w:r>
    </w:p>
    <w:p>
      <w:r>
        <w:t>L’architecture API-driven, le mode containerisé (Docker), la gestion de la haute disponibilité (plus de 99% de disponibilité mesurée), la capacité à supporter des déploiements massifs, et la résilience (failover, synchronisation automatique) font d’OpenELIS l’un des LIS les plus robustes pour des environnements critiques ou multisites</w:t>
      </w:r>
      <w:r>
        <w:rPr>
          <w:vertAlign w:val="superscript"/>
        </w:rPr>
        <w:t>6</w:t>
      </w:r>
      <w:r>
        <w:t>.</w:t>
      </w:r>
    </w:p>
    <w:p>
      <w:r>
        <w:pict>
          <v:rect xmlns:o="urn:schemas-microsoft-com:office:office" xmlns:v="urn:schemas-microsoft-com:vml" style="height:.05pt;mso-width-percent:1000" o:hr="true" o:hrstd="true" o:hralign="center" fillcolor="A0A0A0" stroked="false"/>
        </w:pict>
      </w:r>
    </w:p>
    <w:p>
      <w:pPr>
        <w:pStyle w:val="heading3"/>
      </w:pPr>
      <w:r>
        <w:t>Gestion de la résilience et de la continuité</w:t>
      </w:r>
    </w:p>
    <w:p>
      <w:r>
        <w:t>Le design “offline-first” assure la poursuite de l’activité même en cas de coupure du réseau internet, avec une politique de synchronisation automatique et de “réconciliation” des données dès le rétablissement. La plateforme maintient également une duplication active de la base, avec clustering, load balancing, monitoring “heartbeat” pour la bascule automatique sur serveurs de secours</w:t>
      </w:r>
      <w:r>
        <w:rPr>
          <w:vertAlign w:val="superscript"/>
        </w:rPr>
        <w:t>4</w:t>
      </w:r>
      <w:r>
        <w:t>.</w:t>
      </w:r>
    </w:p>
    <w:p>
      <w:r>
        <w:t>La politique de backup local/central, la tolérance aux erreurs, et les tests réguliers de récupération font partie intégrante de la gestion technique du système.</w:t>
      </w:r>
    </w:p>
    <w:p>
      <w:r>
        <w:pict>
          <v:rect xmlns:o="urn:schemas-microsoft-com:office:office" xmlns:v="urn:schemas-microsoft-com:vml" style="height:.05pt;mso-width-percent:1000" o:hr="true" o:hrstd="true" o:hralign="center" fillcolor="A0A0A0" stroked="false"/>
        </w:pict>
      </w:r>
    </w:p>
    <w:p>
      <w:pPr>
        <w:pStyle w:val="heading2"/>
      </w:pPr>
      <w:r>
        <w:t>Innovations récentes, évolutivité et alignement aux standards</w:t>
      </w:r>
    </w:p>
    <w:p>
      <w:pPr>
        <w:pStyle w:val="heading3"/>
      </w:pPr>
      <w:r>
        <w:t>Innovations majeures des versions récentes</w:t>
      </w:r>
    </w:p>
    <w:p>
      <w:r>
        <w:t>OpenELIS Global évolue rapidement : la version 3.0 (été 2024) apporte une UI/UX modernisée selon le Carbon Design System, la gestion des résultats multiples par test, l’ajout d’attachements, l’intégration directe avec des services de terminologie, le support natif des workflows complexes (histopathologie, cytologie, IHC), la possibilité d’ajouter des questions personnalisées selon les programmes, le support des critical ranges, les dashboards internes personnalisés, l’historique patient longitudinal multi-site, la gestion améliorée des alertes et la simplification des parcours scripts métier</w:t>
      </w:r>
      <w:r>
        <w:rPr>
          <w:vertAlign w:val="superscript"/>
        </w:rPr>
        <w:t>6</w:t>
      </w:r>
      <w:r>
        <w:t>.</w:t>
      </w:r>
    </w:p>
    <w:p>
      <w:r>
        <w:t>Au niveau du catalogue, on note une gestion enrichie des méthodes d’analyse, la configuration avancée des panels, la possibilité de construire rapidement des “boxes” pour les tests référés, la gestion mémoire des entités contextuelles (site/médecin/service), et une refonte ergonomique du processus de prescription/saisie qui colle mieux aux procédures de travail clinique</w:t>
      </w:r>
      <w:r>
        <w:rPr>
          <w:vertAlign w:val="superscript"/>
        </w:rPr>
        <w:t>4</w:t>
      </w:r>
      <w:r>
        <w:t>.</w:t>
      </w:r>
    </w:p>
    <w:p>
      <w:r>
        <w:pict>
          <v:rect xmlns:o="urn:schemas-microsoft-com:office:office" xmlns:v="urn:schemas-microsoft-com:vml" style="height:.05pt;mso-width-percent:1000" o:hr="true" o:hrstd="true" o:hralign="center" fillcolor="A0A0A0" stroked="false"/>
        </w:pict>
      </w:r>
    </w:p>
    <w:p>
      <w:pPr>
        <w:pStyle w:val="heading3"/>
      </w:pPr>
      <w:r>
        <w:t>Alignement strict sur les standards internationaux</w:t>
      </w:r>
    </w:p>
    <w:p>
      <w:r>
        <w:t>OpenELIS Global s’aligne nativement sur les standards HL7 FHIR R4, LOINC, HL7 v2 et v3 là où nécessaire, et garantit une migration sans douleur entre contextes locaux et nationaux, tout en offrant un niveau de conformité ISO15189/SLIPTA/OMS exceptionnel (jusqu’à l’accréditation possible du laboratoire sur la base du LIS).</w:t>
      </w:r>
    </w:p>
    <w:p>
      <w:r>
        <w:t>Ses interfaces sont prévues pour intégrer n’importe quel système métier tiers compatible FHIR (EMR, HIE, HPR, SHR, Facility Registry...), ce qui favorise son adoption à grande échelle dans des environnements très hétérogènes.</w:t>
      </w:r>
    </w:p>
    <w:p>
      <w:r>
        <w:pict>
          <v:rect xmlns:o="urn:schemas-microsoft-com:office:office" xmlns:v="urn:schemas-microsoft-com:vml" style="height:.05pt;mso-width-percent:1000" o:hr="true" o:hrstd="true" o:hralign="center" fillcolor="A0A0A0" stroked="false"/>
        </w:pict>
      </w:r>
    </w:p>
    <w:p>
      <w:pPr>
        <w:pStyle w:val="heading3"/>
      </w:pPr>
      <w:r>
        <w:t>Internationalisation et personnalisation</w:t>
      </w:r>
    </w:p>
    <w:p>
      <w:r>
        <w:t xml:space="preserve">OpenELIS Global est disponible en </w:t>
      </w:r>
      <w:r>
        <w:rPr>
          <w:b/>
        </w:rPr>
        <w:t>français natif complet</w:t>
      </w:r>
      <w:r>
        <w:t xml:space="preserve"> (UI, catalogues, reporting, documentation) ainsi qu’en anglais. L’ajout de langues (ex : espagnol, portugais) est possible via la gestion centralisée des ressources de traduction. Les catalogues, labels, rapports et interfaces sont adaptables aux besoins contextuels (référentiels nationaux, analytiques ou métiers locaux)</w:t>
      </w:r>
      <w:r>
        <w:rPr>
          <w:vertAlign w:val="superscript"/>
        </w:rPr>
        <w:t>1</w:t>
      </w:r>
      <w:r>
        <w:t>.</w:t>
      </w:r>
    </w:p>
    <w:p>
      <w:r>
        <w:pict>
          <v:rect xmlns:o="urn:schemas-microsoft-com:office:office" xmlns:v="urn:schemas-microsoft-com:vml" style="height:.05pt;mso-width-percent:1000" o:hr="true" o:hrstd="true" o:hralign="center" fillcolor="A0A0A0" stroked="false"/>
        </w:pict>
      </w:r>
    </w:p>
    <w:p>
      <w:pPr>
        <w:pStyle w:val="heading2"/>
      </w:pPr>
      <w:r>
        <w:t>Points Clés de Résilience, Scalabilité et Résultats de Déploiements Nationaux</w:t>
      </w:r>
    </w:p>
    <w:p>
      <w:r>
        <w:t>OpenELIS est prouvé à grande échelle (180+ laboratoires en Côte d’Ivoire, toutes tailles du général au national, gestion de 500 000+ tests en pic dans le cas du COVID à Maurice et connectivité HIE de bout en bout à Haïti)</w:t>
      </w:r>
      <w:r>
        <w:rPr>
          <w:vertAlign w:val="superscript"/>
        </w:rPr>
        <w:t>15</w:t>
      </w:r>
      <w:r>
        <w:rPr>
          <w:vertAlign w:val="superscript"/>
        </w:rPr>
        <w:t>16</w:t>
      </w:r>
      <w:r>
        <w:t>. Ses mécanismes off-line/online hybrides et de synchronisation font leurs preuves dans les environnements à connectivité intermittente.</w:t>
      </w:r>
    </w:p>
    <w:p>
      <w:r>
        <w:t>L’aspect open source évite toute barrière de licence et favorise l’innovation collective et la mutualisation des ressources entre pays, régions, et laboratoires. L’adaptabilité à de multiples cas d’usage (laboratoire clinique, de référence, animal, environnemental, pathologie, biologie moléculaire, dépistage) en fait l’un des LIS les plus polyvalents.</w:t>
      </w:r>
    </w:p>
    <w:p>
      <w:r>
        <w:pict>
          <v:rect xmlns:o="urn:schemas-microsoft-com:office:office" xmlns:v="urn:schemas-microsoft-com:vml" style="height:.05pt;mso-width-percent:1000" o:hr="true" o:hrstd="true" o:hralign="center" fillcolor="A0A0A0" stroked="false"/>
        </w:pict>
      </w:r>
    </w:p>
    <w:p>
      <w:pPr>
        <w:pStyle w:val="heading2"/>
      </w:pPr>
      <w:r>
        <w:t>Conclusion</w:t>
      </w:r>
    </w:p>
    <w:p>
      <w:r>
        <w:t>OpenELIS Global offre une palette fonctionnelle exhaustive, mature et éprouvée, adaptée tant aux besoins pointus des laboratoires individuels que des acteurs nationaux. Chaque module est conçu pour la traçabilité totale, la conformité réglementaire maximale, et une ouverture extrême aux écosystèmes SIEMR/HIE internationaux. Les implémenteurs bénéficient ainsi d'une base solidement documentée, évolutive et sécurisée, capable de répondre aux enjeux actuels et futurs du secteur de la biologie médicale et de la santé publique, sans compromis sur la qualité, la sécurité ou l’interopérabilité.</w:t>
      </w:r>
    </w:p>
    <w:p>
      <w:r>
        <w:pict>
          <v:rect xmlns:o="urn:schemas-microsoft-com:office:office" xmlns:v="urn:schemas-microsoft-com:vml" style="height:.05pt;mso-width-percent:1000" o:hr="true" o:hrstd="true" o:hralign="center" fillcolor="A0A0A0" stroked="false"/>
        </w:pict>
      </w:r>
    </w:p>
    <w:p>
      <w:r>
        <w:rPr>
          <w:b/>
        </w:rPr>
        <w:t>Ce rapport s'appuie sur les dernières documentations officielles OpenELIS Global, leurs bases wiki publiques, la documentation utilisateur et technique, les forums communautaires, ainsi que diverses analyses sectorielles, et apporte une description opérationnelle détaillée et contextualisée de chaque capacité listée.</w:t>
      </w:r>
    </w:p>
    <w:p>
      <w:r>
        <w:pict>
          <v:rect xmlns:o="urn:schemas-microsoft-com:office:office" xmlns:v="urn:schemas-microsoft-com:vml" style="height:.05pt;mso-width-percent:1000" o:hr="true" o:hrstd="true" o:hralign="center" fillcolor="A0A0A0" stroked="false"/>
        </w:pict>
      </w:r>
    </w:p>
    <w:p>
      <w:pPr>
        <w:pStyle w:val="heading1"/>
      </w:pPr>
      <w:r>
        <w:t>References (17)</w:t>
      </w:r>
    </w:p>
    <w:p>
      <w:r>
        <w:t xml:space="preserve">1. </w:t>
      </w:r>
      <w:r>
        <w:rPr>
          <w:i/>
        </w:rPr>
        <w:t>OpenELIS Global - Global Goods Guidebook</w:t>
      </w:r>
      <w:r>
        <w:t xml:space="preserve">. </w:t>
      </w:r>
      <w:hyperlink xmlns:r="http://schemas.openxmlformats.org/officeDocument/2006/relationships" r:id="R4ffb811060d54a4f">
        <w:r>
          <w:t>https://globalgoodsguidebook.org/?global_goods=openelis-global</w:t>
        </w:r>
      </w:hyperlink>
    </w:p>
    <w:p>
      <w:r>
        <w:t xml:space="preserve">2. </w:t>
      </w:r>
      <w:r>
        <w:rPr>
          <w:i/>
        </w:rPr>
        <w:t>Digital X Solution: OpenELIS Global</w:t>
      </w:r>
      <w:r>
        <w:t xml:space="preserve">. </w:t>
      </w:r>
      <w:hyperlink xmlns:r="http://schemas.openxmlformats.org/officeDocument/2006/relationships" r:id="R0083058f6f79443e">
        <w:r>
          <w:t>https://digitalx.undp.org/openelis-global_1.html</w:t>
        </w:r>
      </w:hyperlink>
    </w:p>
    <w:p>
      <w:r>
        <w:t xml:space="preserve">3. </w:t>
      </w:r>
      <w:r>
        <w:rPr>
          <w:i/>
        </w:rPr>
        <w:t>GitHub - mherman22/OpenELIS-OpenCR-HIE-Setup</w:t>
      </w:r>
      <w:r>
        <w:t xml:space="preserve">. </w:t>
      </w:r>
      <w:hyperlink xmlns:r="http://schemas.openxmlformats.org/officeDocument/2006/relationships" r:id="R53fd53ff3a304b75">
        <w:r>
          <w:t>https://github.com/mherman22/OpenELIS-OpenCR-HIE-Setup</w:t>
        </w:r>
      </w:hyperlink>
    </w:p>
    <w:p>
      <w:r>
        <w:t xml:space="preserve">4. </w:t>
      </w:r>
      <w:r>
        <w:rPr>
          <w:i/>
        </w:rPr>
        <w:t>Download OpenELIS Global</w:t>
      </w:r>
      <w:r>
        <w:t xml:space="preserve">. </w:t>
      </w:r>
      <w:hyperlink xmlns:r="http://schemas.openxmlformats.org/officeDocument/2006/relationships" r:id="R2ec7d9e1fa45407d">
        <w:r>
          <w:t>https://openelis-global.org/getting-started/download/</w:t>
        </w:r>
      </w:hyperlink>
    </w:p>
    <w:p>
      <w:r>
        <w:t xml:space="preserve">5. </w:t>
      </w:r>
      <w:r>
        <w:rPr>
          <w:i/>
        </w:rPr>
        <w:t>Software - Open ELIS Foundation</w:t>
      </w:r>
      <w:r>
        <w:t xml:space="preserve">. </w:t>
      </w:r>
      <w:hyperlink xmlns:r="http://schemas.openxmlformats.org/officeDocument/2006/relationships" r:id="R70dc962d4e4c4e50">
        <w:r>
          <w:t>https://openelis.org/software/</w:t>
        </w:r>
      </w:hyperlink>
    </w:p>
    <w:p>
      <w:r>
        <w:t xml:space="preserve">6. </w:t>
      </w:r>
      <w:r>
        <w:rPr>
          <w:i/>
        </w:rPr>
        <w:t>Features and Functionality - OpenELIS Global</w:t>
      </w:r>
      <w:r>
        <w:t xml:space="preserve">. </w:t>
      </w:r>
      <w:hyperlink xmlns:r="http://schemas.openxmlformats.org/officeDocument/2006/relationships" r:id="R8b7e814525b04327">
        <w:r>
          <w:t>https://openelis-global.org/features-and-functionality/</w:t>
        </w:r>
      </w:hyperlink>
    </w:p>
    <w:p>
      <w:r>
        <w:t xml:space="preserve">7. </w:t>
      </w:r>
      <w:r>
        <w:rPr>
          <w:i/>
        </w:rPr>
        <w:t>Database Profiles Mass facility and test catalog updates - OpenELIS ...</w:t>
      </w:r>
      <w:r>
        <w:t xml:space="preserve">. </w:t>
      </w:r>
      <w:hyperlink xmlns:r="http://schemas.openxmlformats.org/officeDocument/2006/relationships" r:id="Rda29c3067406450c">
        <w:r>
          <w:t>https://docs.openelisci.org/en/latest/dbprofiles/</w:t>
        </w:r>
      </w:hyperlink>
    </w:p>
    <w:p>
      <w:r>
        <w:t xml:space="preserve">8. </w:t>
      </w:r>
      <w:r>
        <w:rPr>
          <w:i/>
        </w:rPr>
        <w:t>OpenELIS Global2 FHIR Implementation Guide - GitHub</w:t>
      </w:r>
      <w:r>
        <w:t xml:space="preserve">. </w:t>
      </w:r>
      <w:hyperlink xmlns:r="http://schemas.openxmlformats.org/officeDocument/2006/relationships" r:id="Rd04dc8740b964fef">
        <w:r>
          <w:t>https://github.com/DIGI-UW/openelis-global2-fhir-ig</w:t>
        </w:r>
      </w:hyperlink>
    </w:p>
    <w:p>
      <w:r>
        <w:t xml:space="preserve">9. </w:t>
      </w:r>
      <w:r>
        <w:rPr>
          <w:i/>
        </w:rPr>
        <w:t>GitHub - openmrs/openmrs-module-labonfhir: A FHIR-based Lab Workflow ...</w:t>
      </w:r>
      <w:r>
        <w:t xml:space="preserve">. </w:t>
      </w:r>
      <w:hyperlink xmlns:r="http://schemas.openxmlformats.org/officeDocument/2006/relationships" r:id="Rd8a16192fb364861">
        <w:r>
          <w:t>https://github.com/openmrs/openmrs-module-labonfhir</w:t>
        </w:r>
      </w:hyperlink>
    </w:p>
    <w:p>
      <w:r>
        <w:t xml:space="preserve">10. </w:t>
      </w:r>
      <w:r>
        <w:rPr>
          <w:i/>
        </w:rPr>
        <w:t>Lab Integration Workflow - Documentation - OpenMRS Wiki</w:t>
      </w:r>
      <w:r>
        <w:t xml:space="preserve">. </w:t>
      </w:r>
      <w:hyperlink xmlns:r="http://schemas.openxmlformats.org/officeDocument/2006/relationships" r:id="Ra4d51eab32b44256">
        <w:r>
          <w:t>https://openmrs.atlassian.net/wiki/spaces/docs/pages/26937569/Lab+Integration+Workflow</w:t>
        </w:r>
      </w:hyperlink>
    </w:p>
    <w:p>
      <w:r>
        <w:t xml:space="preserve">11. </w:t>
      </w:r>
      <w:r>
        <w:rPr>
          <w:i/>
        </w:rPr>
        <w:t>GitHub - vickabire/OpenELIS-Odoo-Integration</w:t>
      </w:r>
      <w:r>
        <w:t xml:space="preserve">. </w:t>
      </w:r>
      <w:hyperlink xmlns:r="http://schemas.openxmlformats.org/officeDocument/2006/relationships" r:id="R99280dbab31f4161">
        <w:r>
          <w:t>https://github.com/vickabire/OpenELIS-Odoo-Integration</w:t>
        </w:r>
      </w:hyperlink>
    </w:p>
    <w:p>
      <w:r>
        <w:t xml:space="preserve">12. </w:t>
      </w:r>
      <w:r>
        <w:rPr>
          <w:i/>
        </w:rPr>
        <w:t>GitHub - vickabire/odoo-openelis-connector</w:t>
      </w:r>
      <w:r>
        <w:t xml:space="preserve">. </w:t>
      </w:r>
      <w:hyperlink xmlns:r="http://schemas.openxmlformats.org/officeDocument/2006/relationships" r:id="Rc93aa15de9c94695">
        <w:r>
          <w:t>https://github.com/vickabire/odoo-openelis-connector</w:t>
        </w:r>
      </w:hyperlink>
    </w:p>
    <w:p>
      <w:r>
        <w:t xml:space="preserve">13. </w:t>
      </w:r>
      <w:r>
        <w:rPr>
          <w:i/>
        </w:rPr>
        <w:t xml:space="preserve">Configure the Prometheus data source </w:t>
      </w:r>
      <w:r>
        <w:t xml:space="preserve">. </w:t>
      </w:r>
      <w:hyperlink xmlns:r="http://schemas.openxmlformats.org/officeDocument/2006/relationships" r:id="R77104c867aaa4441">
        <w:r>
          <w:t>https://grafana.com/docs/grafana/latest/datasources/prometheus/configure/</w:t>
        </w:r>
      </w:hyperlink>
    </w:p>
    <w:p>
      <w:r>
        <w:t xml:space="preserve">14. </w:t>
      </w:r>
      <w:r>
        <w:rPr>
          <w:i/>
        </w:rPr>
        <w:t>Integration of Prometheus and Grafana for Monitoring - Codez Up</w:t>
      </w:r>
      <w:r>
        <w:t xml:space="preserve">. </w:t>
      </w:r>
      <w:hyperlink xmlns:r="http://schemas.openxmlformats.org/officeDocument/2006/relationships" r:id="Rceea9beee7dc45bb">
        <w:r>
          <w:t>https://codezup.com/integration-of-prometheus-and-grafana-for-monitoring/</w:t>
        </w:r>
      </w:hyperlink>
    </w:p>
    <w:p>
      <w:r>
        <w:t xml:space="preserve">15. </w:t>
      </w:r>
      <w:r>
        <w:rPr>
          <w:i/>
        </w:rPr>
        <w:t>Digital X Solution: OpenELIS Global</w:t>
      </w:r>
      <w:r>
        <w:t xml:space="preserve">. </w:t>
      </w:r>
      <w:hyperlink xmlns:r="http://schemas.openxmlformats.org/officeDocument/2006/relationships" r:id="R62e615c45f63464f">
        <w:r>
          <w:t>https://digitalx.undp.org/catalogs/openelis-global.html</w:t>
        </w:r>
      </w:hyperlink>
    </w:p>
    <w:p>
      <w:r>
        <w:t xml:space="preserve">16. </w:t>
      </w:r>
      <w:r>
        <w:rPr>
          <w:i/>
        </w:rPr>
        <w:t>DIGI - OpenELIS One Pager - I-TECH</w:t>
      </w:r>
      <w:r>
        <w:t xml:space="preserve">. </w:t>
      </w:r>
      <w:hyperlink xmlns:r="http://schemas.openxmlformats.org/officeDocument/2006/relationships" r:id="R16acfdfc3a964e53">
        <w:r>
          <w:t>https://www.go2itech.org/wp-content/uploads/2024/03/DIGI_OpenELIS_Overview.pdf</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8df8cb6d10d6445e" /><Relationship Type="http://schemas.openxmlformats.org/officeDocument/2006/relationships/settings" Target="/word/settings.xml" Id="Rf4497b58d5224483" /><Relationship Type="http://schemas.openxmlformats.org/officeDocument/2006/relationships/styles" Target="/word/styles.xml" Id="R44caf96c8fce4a82" /><Relationship Type="http://schemas.openxmlformats.org/officeDocument/2006/relationships/hyperlink" Target="https://globalgoodsguidebook.org/?global_goods=openelis-global" TargetMode="External" Id="R4ffb811060d54a4f" /><Relationship Type="http://schemas.openxmlformats.org/officeDocument/2006/relationships/hyperlink" Target="https://digitalx.undp.org/openelis-global_1.html" TargetMode="External" Id="R0083058f6f79443e" /><Relationship Type="http://schemas.openxmlformats.org/officeDocument/2006/relationships/hyperlink" Target="https://github.com/mherman22/OpenELIS-OpenCR-HIE-Setup" TargetMode="External" Id="R53fd53ff3a304b75" /><Relationship Type="http://schemas.openxmlformats.org/officeDocument/2006/relationships/hyperlink" Target="https://openelis-global.org/getting-started/download/" TargetMode="External" Id="R2ec7d9e1fa45407d" /><Relationship Type="http://schemas.openxmlformats.org/officeDocument/2006/relationships/hyperlink" Target="https://openelis.org/software/" TargetMode="External" Id="R70dc962d4e4c4e50" /><Relationship Type="http://schemas.openxmlformats.org/officeDocument/2006/relationships/hyperlink" Target="https://openelis-global.org/features-and-functionality/" TargetMode="External" Id="R8b7e814525b04327" /><Relationship Type="http://schemas.openxmlformats.org/officeDocument/2006/relationships/hyperlink" Target="https://docs.openelisci.org/en/latest/dbprofiles/" TargetMode="External" Id="Rda29c3067406450c" /><Relationship Type="http://schemas.openxmlformats.org/officeDocument/2006/relationships/hyperlink" Target="https://github.com/DIGI-UW/openelis-global2-fhir-ig" TargetMode="External" Id="Rd04dc8740b964fef" /><Relationship Type="http://schemas.openxmlformats.org/officeDocument/2006/relationships/hyperlink" Target="https://github.com/openmrs/openmrs-module-labonfhir" TargetMode="External" Id="Rd8a16192fb364861" /><Relationship Type="http://schemas.openxmlformats.org/officeDocument/2006/relationships/hyperlink" Target="https://openmrs.atlassian.net/wiki/spaces/docs/pages/26937569/Lab+Integration+Workflow" TargetMode="External" Id="Ra4d51eab32b44256" /><Relationship Type="http://schemas.openxmlformats.org/officeDocument/2006/relationships/hyperlink" Target="https://github.com/vickabire/OpenELIS-Odoo-Integration" TargetMode="External" Id="R99280dbab31f4161" /><Relationship Type="http://schemas.openxmlformats.org/officeDocument/2006/relationships/hyperlink" Target="https://github.com/vickabire/odoo-openelis-connector" TargetMode="External" Id="Rc93aa15de9c94695" /><Relationship Type="http://schemas.openxmlformats.org/officeDocument/2006/relationships/hyperlink" Target="https://grafana.com/docs/grafana/latest/datasources/prometheus/configure/" TargetMode="External" Id="R77104c867aaa4441" /><Relationship Type="http://schemas.openxmlformats.org/officeDocument/2006/relationships/hyperlink" Target="https://codezup.com/integration-of-prometheus-and-grafana-for-monitoring/" TargetMode="External" Id="Rceea9beee7dc45bb" /><Relationship Type="http://schemas.openxmlformats.org/officeDocument/2006/relationships/hyperlink" Target="https://digitalx.undp.org/catalogs/openelis-global.html" TargetMode="External" Id="R62e615c45f63464f" /><Relationship Type="http://schemas.openxmlformats.org/officeDocument/2006/relationships/hyperlink" Target="https://www.go2itech.org/wp-content/uploads/2024/03/DIGI_OpenELIS_Overview.pdf" TargetMode="External" Id="R16acfdfc3a964e53"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