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A5276"/>
          <w:sz w:val="52"/>
          <w:szCs w:val="52"/>
        </w:rPr>
        <w:t xml:space="preserve">OpenELIS Global</w:t>
      </w:r>
    </w:p>
    <w:p>
      <w:pPr>
        <w:spacing w:after="120" w:before="0"/>
        <w:jc w:val="center"/>
      </w:pPr>
      <w:r>
        <w:rPr>
          <w:rFonts w:ascii="Arial" w:cs="Arial" w:eastAsia="Arial" w:hAnsi="Arial"/>
          <w:b/>
          <w:bCs/>
          <w:color w:val="1F618D"/>
          <w:sz w:val="40"/>
          <w:szCs w:val="40"/>
        </w:rPr>
        <w:t xml:space="preserve">Aspect &amp; GxAlert Replacement</w:t>
      </w:r>
    </w:p>
    <w:p>
      <w:pPr>
        <w:spacing w:after="360" w:before="0"/>
        <w:jc w:val="center"/>
      </w:pPr>
      <w:r>
        <w:rPr>
          <w:rFonts w:ascii="Arial" w:cs="Arial" w:eastAsia="Arial" w:hAnsi="Arial"/>
          <w:color w:val="5D6D7E"/>
          <w:sz w:val="32"/>
          <w:szCs w:val="32"/>
        </w:rPr>
        <w:t xml:space="preserve">Gap Analysis &amp; Migration Plan</w:t>
      </w:r>
    </w:p>
    <w:p>
      <w:pPr>
        <w:pBdr>
          <w:bottom w:val="single" w:color="AED6F1" w:sz="6" w:space="1"/>
        </w:pBdr>
        <w:spacing w:after="120" w:before="120"/>
      </w:pPr>
      <w:r>
        <w:t xml:space="preserve"/>
      </w:r>
    </w:p>
    <w:p>
      <w:pPr>
        <w:spacing w:after="80" w:before="200"/>
        <w:jc w:val="center"/>
      </w:pPr>
      <w:r>
        <w:rPr>
          <w:rFonts w:ascii="Arial" w:cs="Arial" w:eastAsia="Arial" w:hAnsi="Arial"/>
          <w:color w:val="5D6D7E"/>
          <w:sz w:val="22"/>
          <w:szCs w:val="22"/>
        </w:rPr>
        <w:t xml:space="preserve">National Program (Ministry-Level)  ·  Multi-Site TB/HIV Deployment</w:t>
      </w:r>
    </w:p>
    <w:p>
      <w:pPr>
        <w:spacing w:after="80" w:before="80"/>
        <w:jc w:val="center"/>
      </w:pPr>
      <w:r>
        <w:rPr>
          <w:rFonts w:ascii="Arial" w:cs="Arial" w:eastAsia="Arial" w:hAnsi="Arial"/>
          <w:color w:val="5D6D7E"/>
          <w:sz w:val="22"/>
          <w:szCs w:val="22"/>
        </w:rPr>
        <w:t xml:space="preserve">March 2026</w:t>
      </w:r>
    </w:p>
    <w:p>
      <w:pPr>
        <w:spacing w:after="0" w:before="1400"/>
      </w:pPr>
      <w:r>
        <w:br w:type="page"/>
      </w:r>
    </w:p>
    <w:p>
      <w:pPr>
        <w:pStyle w:val="Heading1"/>
        <w:spacing w:after="160" w:before="320"/>
      </w:pPr>
      <w:r>
        <w:rPr>
          <w:rFonts w:ascii="Arial" w:cs="Arial" w:eastAsia="Arial" w:hAnsi="Arial"/>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5276"/>
          <w:sz w:val="32"/>
          <w:szCs w:val="32"/>
        </w:rPr>
        <w:t xml:space="preserve">1. Executive Summary</w:t>
      </w:r>
    </w:p>
    <w:p>
      <w:pPr>
        <w:spacing w:after="80" w:before="80"/>
      </w:pPr>
      <w:r>
        <w:rPr>
          <w:rFonts w:ascii="Arial" w:cs="Arial" w:eastAsia="Arial" w:hAnsi="Arial"/>
          <w:sz w:val="22"/>
          <w:szCs w:val="22"/>
        </w:rPr>
        <w:t xml:space="preserve">This document presents a structured gap analysis and phased migration plan for replacing SystemOne's Aspect and GxAlert platforms with OpenELIS Global as the primary laboratory data management system for a national TB/HIV program.</w:t>
      </w:r>
    </w:p>
    <w:p>
      <w:pPr>
        <w:spacing w:after="60" w:before="60"/>
      </w:pPr>
      <w:r>
        <w:t xml:space="preserve"/>
      </w:r>
    </w:p>
    <w:p>
      <w:pPr>
        <w:spacing w:after="80" w:before="80"/>
      </w:pPr>
      <w:r>
        <w:rPr>
          <w:rFonts w:ascii="Arial" w:cs="Arial" w:eastAsia="Arial" w:hAnsi="Arial"/>
          <w:sz w:val="22"/>
          <w:szCs w:val="22"/>
        </w:rPr>
        <w:t xml:space="preserve">Aspect (the successor to GxAlert) is a specialized disease intelligence and device connectivity platform — not a full Laboratory Information System (LIS). It excels at GeneXpert instrument connectivity, real-time SMS result delivery, supply chain monitoring, and ministry-level disease surveillance. OpenELIS Global is a full-featured, open-source LIS that natively supports GeneXpert integration and covers the end-to-end laboratory workflow.</w:t>
      </w:r>
    </w:p>
    <w:p>
      <w:pPr>
        <w:spacing w:after="60" w:before="60"/>
      </w:pPr>
      <w:r>
        <w:t xml:space="preserve"/>
      </w:r>
    </w:p>
    <w:p>
      <w:pPr>
        <w:spacing w:after="80" w:before="80"/>
      </w:pPr>
      <w:r>
        <w:rPr>
          <w:rFonts w:ascii="Arial" w:cs="Arial" w:eastAsia="Arial" w:hAnsi="Arial"/>
          <w:sz w:val="22"/>
          <w:szCs w:val="22"/>
        </w:rPr>
        <w:t xml:space="preserve">The migration is feasible, but four capability gaps require deliberate solutions before go-live: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 Area</w:t>
            </w:r>
          </w:p>
        </w:tc>
        <w:tc>
          <w:tcPr>
            <w:tcW w:type="dxa" w:w="1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Level</w:t>
            </w:r>
          </w:p>
        </w:tc>
        <w:tc>
          <w:tcPr>
            <w:tcW w:type="dxa" w:w="49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Resolution Path</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GeneXpert Result Collection</w:t>
            </w:r>
          </w:p>
        </w:tc>
        <w:tc>
          <w:tcPr>
            <w:tcW w:type="dxa" w:w="1200"/>
            <w:tcBorders>
              <w:top w:val="single" w:color="CCCCCC" w:sz="1"/>
              <w:left w:val="single" w:color="CCCCCC" w:sz="1"/>
              <w:bottom w:val="single" w:color="CCCCCC" w:sz="1"/>
              <w:right w:val="single" w:color="CCCCCC" w:sz="1"/>
            </w:tcBorders>
            <w:shd w:fill="28B46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4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native plugin — configuration and testing required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SMS / Real-time Clinical Alerts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Integrate SMS gateway (e.g., RapidPro, Africa's Talking, Twilio) via OpenELIS FHIR R4 or custom hook</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Supply Chain &amp; Inventory</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inventory module covers reagents; national forecasting requires DHIS2 integration or custom reporting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Ministry Disease Surveillance Dashboards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DHIS2 integration via FHIR R4 bridge, or OpenELIS custom reporting module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Low-connectivity / Offline Facilities</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Network infrastructure planning; OpenELIS offline mode or satellite connectivity required at weak-signal sites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Treatment Linkage Tracking</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OpenMRS/EMR integration via FHIR R4; OpenELIS is specimen-focused and does not manage case follow-up natively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RDT / Point-of-Care Data Capture</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handles laboratory samples; RDT data requires a separate POC integration strategy or DHIS2 ingestion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Multi-site Specimen Referral</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Sample Shipment &amp; Referral with electronic manifests natively covers this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Patient Registration &amp; Sample Tracking</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49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Core OpenELIS capability — full patient registration, barcode tracking, test lifecycle management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Quality Control (Westgard, EQA)</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QC module exceeds GxAlert/Aspect — Westgard rules, EQA, critical value alerts built-in</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2"/>
          <w:szCs w:val="32"/>
        </w:rPr>
        <w:t xml:space="preserve">2. System Overviews</w:t>
      </w:r>
    </w:p>
    <w:p>
      <w:pPr>
        <w:pStyle w:val="Heading2"/>
        <w:spacing w:after="120" w:before="240"/>
      </w:pPr>
      <w:r>
        <w:rPr>
          <w:rFonts w:ascii="Arial" w:cs="Arial" w:eastAsia="Arial" w:hAnsi="Arial"/>
          <w:b/>
          <w:bCs/>
          <w:color w:val="1F618D"/>
          <w:sz w:val="26"/>
          <w:szCs w:val="26"/>
        </w:rPr>
        <w:t xml:space="preserve">2.1  Aspect &amp; GxAlert (SystemOne)</w:t>
      </w:r>
    </w:p>
    <w:p>
      <w:pPr>
        <w:spacing w:after="80" w:before="80"/>
      </w:pPr>
      <w:r>
        <w:rPr>
          <w:rFonts w:ascii="Arial" w:cs="Arial" w:eastAsia="Arial" w:hAnsi="Arial"/>
          <w:sz w:val="22"/>
          <w:szCs w:val="22"/>
        </w:rPr>
        <w:t xml:space="preserve">GxAlert was originally launched to provide real-time GeneXpert (Cepheid) connectivity for TB and HIV programs in low- and middle-income countries (LMICs). It is deployed in over 38 countries across more than 3,500 laboratories. Aspect is the next-generation successor to GxAlert, repositioned as a multi-disease, multi-instrument disease intelligence platform.</w:t>
      </w:r>
    </w:p>
    <w:p>
      <w:pPr>
        <w:spacing w:after="60" w:before="60"/>
      </w:pPr>
      <w:r>
        <w:t xml:space="preserve"/>
      </w:r>
    </w:p>
    <w:p>
      <w:pPr>
        <w:spacing w:after="80" w:before="80"/>
      </w:pPr>
      <w:r>
        <w:rPr>
          <w:rFonts w:ascii="Arial" w:cs="Arial" w:eastAsia="Arial" w:hAnsi="Arial"/>
          <w:sz w:val="22"/>
          <w:szCs w:val="22"/>
        </w:rPr>
        <w:t xml:space="preserve">SystemOne's platforms are purpose-built connectivity and surveillance tools — not full LIS systems. Their core value proposition is bridging the gap in countries that lack mature health IT infrastructure: a modem with a local SIM card can connect a GeneXpert machine to a national dashboard within 15 minutes.</w:t>
      </w:r>
    </w:p>
    <w:p>
      <w:pPr>
        <w:spacing w:after="60" w:before="60"/>
      </w:pPr>
      <w:r>
        <w:t xml:space="preserve"/>
      </w:r>
    </w:p>
    <w:p>
      <w:pPr>
        <w:spacing w:after="80" w:before="80"/>
      </w:pPr>
      <w:r>
        <w:rPr>
          <w:rFonts w:ascii="Arial" w:cs="Arial" w:eastAsia="Arial" w:hAnsi="Arial"/>
          <w:b/>
          <w:bCs/>
          <w:sz w:val="22"/>
          <w:szCs w:val="22"/>
        </w:rPr>
        <w:t xml:space="preserve">Key capabilities of Aspect / GxAlert:</w:t>
      </w:r>
    </w:p>
    <w:p>
      <w:pPr>
        <w:pStyle w:val="ListParagraph"/>
        <w:numPr>
          <w:ilvl w:val="0"/>
          <w:numId w:val="2"/>
        </w:numPr>
        <w:spacing w:after="60" w:before="60"/>
      </w:pPr>
      <w:r>
        <w:rPr>
          <w:rFonts w:ascii="Arial" w:cs="Arial" w:eastAsia="Arial" w:hAnsi="Arial"/>
          <w:sz w:val="22"/>
          <w:szCs w:val="22"/>
        </w:rPr>
        <w:t xml:space="preserve">Direct GeneXpert device connectivity via modem/SIM (works without fixed internet)</w:t>
      </w:r>
    </w:p>
    <w:p>
      <w:pPr>
        <w:pStyle w:val="ListParagraph"/>
        <w:numPr>
          <w:ilvl w:val="0"/>
          <w:numId w:val="2"/>
        </w:numPr>
        <w:spacing w:after="60" w:before="60"/>
      </w:pPr>
      <w:r>
        <w:rPr>
          <w:rFonts w:ascii="Arial" w:cs="Arial" w:eastAsia="Arial" w:hAnsi="Arial"/>
          <w:sz w:val="22"/>
          <w:szCs w:val="22"/>
        </w:rPr>
        <w:t xml:space="preserve">Multi-disease support: TB, HIV, HCV, SARS-CoV-2, Ebola, Zika</w:t>
      </w:r>
    </w:p>
    <w:p>
      <w:pPr>
        <w:pStyle w:val="ListParagraph"/>
        <w:numPr>
          <w:ilvl w:val="0"/>
          <w:numId w:val="2"/>
        </w:numPr>
        <w:spacing w:after="60" w:before="60"/>
      </w:pPr>
      <w:r>
        <w:rPr>
          <w:rFonts w:ascii="Arial" w:cs="Arial" w:eastAsia="Arial" w:hAnsi="Arial"/>
          <w:sz w:val="22"/>
          <w:szCs w:val="22"/>
        </w:rPr>
        <w:t xml:space="preserve">Real-time SMS and email result delivery to clinicians, supervisors, and ministry officials</w:t>
      </w:r>
    </w:p>
    <w:p>
      <w:pPr>
        <w:pStyle w:val="ListParagraph"/>
        <w:numPr>
          <w:ilvl w:val="0"/>
          <w:numId w:val="2"/>
        </w:numPr>
        <w:spacing w:after="60" w:before="60"/>
      </w:pPr>
      <w:r>
        <w:rPr>
          <w:rFonts w:ascii="Arial" w:cs="Arial" w:eastAsia="Arial" w:hAnsi="Arial"/>
          <w:sz w:val="22"/>
          <w:szCs w:val="22"/>
        </w:rPr>
        <w:t xml:space="preserve">Patient data capture: age, sex, reason for test, custom fields</w:t>
      </w:r>
    </w:p>
    <w:p>
      <w:pPr>
        <w:pStyle w:val="ListParagraph"/>
        <w:numPr>
          <w:ilvl w:val="0"/>
          <w:numId w:val="2"/>
        </w:numPr>
        <w:spacing w:after="60" w:before="60"/>
      </w:pPr>
      <w:r>
        <w:rPr>
          <w:rFonts w:ascii="Arial" w:cs="Arial" w:eastAsia="Arial" w:hAnsi="Arial"/>
          <w:sz w:val="22"/>
          <w:szCs w:val="22"/>
        </w:rPr>
        <w:t xml:space="preserve">Diagnosis-to-treatment linkage tracking</w:t>
      </w:r>
    </w:p>
    <w:p>
      <w:pPr>
        <w:pStyle w:val="ListParagraph"/>
        <w:numPr>
          <w:ilvl w:val="0"/>
          <w:numId w:val="2"/>
        </w:numPr>
        <w:spacing w:after="60" w:before="60"/>
      </w:pPr>
      <w:r>
        <w:rPr>
          <w:rFonts w:ascii="Arial" w:cs="Arial" w:eastAsia="Arial" w:hAnsi="Arial"/>
          <w:sz w:val="22"/>
          <w:szCs w:val="22"/>
        </w:rPr>
        <w:t xml:space="preserve">Cartridge/reagent inventory monitoring and consumption forecasting by site</w:t>
      </w:r>
    </w:p>
    <w:p>
      <w:pPr>
        <w:pStyle w:val="ListParagraph"/>
        <w:numPr>
          <w:ilvl w:val="0"/>
          <w:numId w:val="2"/>
        </w:numPr>
        <w:spacing w:after="60" w:before="60"/>
      </w:pPr>
      <w:r>
        <w:rPr>
          <w:rFonts w:ascii="Arial" w:cs="Arial" w:eastAsia="Arial" w:hAnsi="Arial"/>
          <w:sz w:val="22"/>
          <w:szCs w:val="22"/>
        </w:rPr>
        <w:t xml:space="preserve">Ministry-level aggregated disease surveillance dashboards</w:t>
      </w:r>
    </w:p>
    <w:p>
      <w:pPr>
        <w:pStyle w:val="ListParagraph"/>
        <w:numPr>
          <w:ilvl w:val="0"/>
          <w:numId w:val="2"/>
        </w:numPr>
        <w:spacing w:after="60" w:before="60"/>
      </w:pPr>
      <w:r>
        <w:rPr>
          <w:rFonts w:ascii="Arial" w:cs="Arial" w:eastAsia="Arial" w:hAnsi="Arial"/>
          <w:sz w:val="22"/>
          <w:szCs w:val="22"/>
        </w:rPr>
        <w:t xml:space="preserve">Aspect Mobile: dedicated mobile app for POC result delivery</w:t>
      </w:r>
    </w:p>
    <w:p>
      <w:pPr>
        <w:pStyle w:val="ListParagraph"/>
        <w:numPr>
          <w:ilvl w:val="0"/>
          <w:numId w:val="2"/>
        </w:numPr>
        <w:spacing w:after="60" w:before="60"/>
      </w:pPr>
      <w:r>
        <w:rPr>
          <w:rFonts w:ascii="Arial" w:cs="Arial" w:eastAsia="Arial" w:hAnsi="Arial"/>
          <w:sz w:val="22"/>
          <w:szCs w:val="22"/>
        </w:rPr>
        <w:t xml:space="preserve">RDT digital integration</w:t>
      </w:r>
    </w:p>
    <w:p>
      <w:pPr>
        <w:pStyle w:val="ListParagraph"/>
        <w:numPr>
          <w:ilvl w:val="0"/>
          <w:numId w:val="2"/>
        </w:numPr>
        <w:spacing w:after="60" w:before="60"/>
      </w:pPr>
      <w:r>
        <w:rPr>
          <w:rFonts w:ascii="Arial" w:cs="Arial" w:eastAsia="Arial" w:hAnsi="Arial"/>
          <w:sz w:val="22"/>
          <w:szCs w:val="22"/>
        </w:rPr>
        <w:t xml:space="preserve">Multi-country, multi-site architecture with flexible reporting</w:t>
      </w:r>
    </w:p>
    <w:p>
      <w:pPr>
        <w:spacing w:after="60" w:before="60"/>
      </w:pPr>
      <w:r>
        <w:t xml:space="preserve"/>
      </w:r>
    </w:p>
    <w:p>
      <w:pPr>
        <w:spacing w:after="80" w:before="80"/>
      </w:pPr>
      <w:r>
        <w:rPr>
          <w:rFonts w:ascii="Arial" w:cs="Arial" w:eastAsia="Arial" w:hAnsi="Arial"/>
          <w:b/>
          <w:bCs/>
          <w:sz w:val="22"/>
          <w:szCs w:val="22"/>
        </w:rPr>
        <w:t xml:space="preserve">Structural limitations:</w:t>
      </w:r>
    </w:p>
    <w:p>
      <w:pPr>
        <w:pStyle w:val="ListParagraph"/>
        <w:numPr>
          <w:ilvl w:val="0"/>
          <w:numId w:val="2"/>
        </w:numPr>
        <w:spacing w:after="60" w:before="60"/>
      </w:pPr>
      <w:r>
        <w:rPr>
          <w:rFonts w:ascii="Arial" w:cs="Arial" w:eastAsia="Arial" w:hAnsi="Arial"/>
          <w:sz w:val="22"/>
          <w:szCs w:val="22"/>
        </w:rPr>
        <w:t xml:space="preserve">Not a full LIS — no end-to-end test order management, specimen lifecycle, or QC framework</w:t>
      </w:r>
    </w:p>
    <w:p>
      <w:pPr>
        <w:pStyle w:val="ListParagraph"/>
        <w:numPr>
          <w:ilvl w:val="0"/>
          <w:numId w:val="2"/>
        </w:numPr>
        <w:spacing w:after="60" w:before="60"/>
      </w:pPr>
      <w:r>
        <w:rPr>
          <w:rFonts w:ascii="Arial" w:cs="Arial" w:eastAsia="Arial" w:hAnsi="Arial"/>
          <w:sz w:val="22"/>
          <w:szCs w:val="22"/>
        </w:rPr>
        <w:t xml:space="preserve">Not open-source; requires licensing and vendor dependency</w:t>
      </w:r>
    </w:p>
    <w:p>
      <w:pPr>
        <w:pStyle w:val="ListParagraph"/>
        <w:numPr>
          <w:ilvl w:val="0"/>
          <w:numId w:val="2"/>
        </w:numPr>
        <w:spacing w:after="60" w:before="60"/>
      </w:pPr>
      <w:r>
        <w:rPr>
          <w:rFonts w:ascii="Arial" w:cs="Arial" w:eastAsia="Arial" w:hAnsi="Arial"/>
          <w:sz w:val="22"/>
          <w:szCs w:val="22"/>
        </w:rPr>
        <w:t xml:space="preserve">Limited interoperability with EMRs and national health information exchanges</w:t>
      </w:r>
    </w:p>
    <w:p>
      <w:pPr>
        <w:pStyle w:val="ListParagraph"/>
        <w:numPr>
          <w:ilvl w:val="0"/>
          <w:numId w:val="2"/>
        </w:numPr>
        <w:spacing w:after="60" w:before="60"/>
      </w:pPr>
      <w:r>
        <w:rPr>
          <w:rFonts w:ascii="Arial" w:cs="Arial" w:eastAsia="Arial" w:hAnsi="Arial"/>
          <w:sz w:val="22"/>
          <w:szCs w:val="22"/>
        </w:rPr>
        <w:t xml:space="preserve">Reporting customization is constrained to the vendor's module set</w:t>
      </w:r>
    </w:p>
    <w:p>
      <w:pPr>
        <w:spacing w:after="60" w:before="60"/>
      </w:pPr>
      <w:r>
        <w:t xml:space="preserve"/>
      </w:r>
    </w:p>
    <w:p>
      <w:pPr>
        <w:pStyle w:val="Heading2"/>
        <w:spacing w:after="120" w:before="240"/>
      </w:pPr>
      <w:r>
        <w:rPr>
          <w:rFonts w:ascii="Arial" w:cs="Arial" w:eastAsia="Arial" w:hAnsi="Arial"/>
          <w:b/>
          <w:bCs/>
          <w:color w:val="1F618D"/>
          <w:sz w:val="26"/>
          <w:szCs w:val="26"/>
        </w:rPr>
        <w:t xml:space="preserve">2.2  OpenELIS Global</w:t>
      </w:r>
    </w:p>
    <w:p>
      <w:pPr>
        <w:spacing w:after="80" w:before="80"/>
      </w:pPr>
      <w:r>
        <w:rPr>
          <w:rFonts w:ascii="Arial" w:cs="Arial" w:eastAsia="Arial" w:hAnsi="Arial"/>
          <w:sz w:val="22"/>
          <w:szCs w:val="22"/>
        </w:rPr>
        <w:t xml:space="preserve">OpenELIS Global is the leading open-source Laboratory Information System, deployed from single-facility labs to entire national laboratory networks. It is maintained by DIGI (University of Washington) and an active global community, with production deployments in Haiti, Ivory Coast, Pakistan, and other countries.</w:t>
      </w:r>
    </w:p>
    <w:p>
      <w:pPr>
        <w:spacing w:after="60" w:before="60"/>
      </w:pPr>
      <w:r>
        <w:t xml:space="preserve"/>
      </w:r>
    </w:p>
    <w:p>
      <w:pPr>
        <w:spacing w:after="80" w:before="80"/>
      </w:pPr>
      <w:r>
        <w:rPr>
          <w:rFonts w:ascii="Arial" w:cs="Arial" w:eastAsia="Arial" w:hAnsi="Arial"/>
          <w:sz w:val="22"/>
          <w:szCs w:val="22"/>
        </w:rPr>
        <w:t xml:space="preserve">OpenELIS is a full-featured LIS covering the complete specimen lifecycle, with growing interoperability capabilities. It is not primarily a disease surveillance or device connectivity tool, but it provides robust integration hooks that can bridge those functions.</w:t>
      </w:r>
    </w:p>
    <w:p>
      <w:pPr>
        <w:spacing w:after="60" w:before="60"/>
      </w:pPr>
      <w:r>
        <w:t xml:space="preserve"/>
      </w:r>
    </w:p>
    <w:p>
      <w:pPr>
        <w:spacing w:after="80" w:before="80"/>
      </w:pPr>
      <w:r>
        <w:rPr>
          <w:rFonts w:ascii="Arial" w:cs="Arial" w:eastAsia="Arial" w:hAnsi="Arial"/>
          <w:b/>
          <w:bCs/>
          <w:sz w:val="22"/>
          <w:szCs w:val="22"/>
        </w:rPr>
        <w:t xml:space="preserve">Key capabilities of OpenELIS Global:</w:t>
      </w:r>
    </w:p>
    <w:p>
      <w:pPr>
        <w:pStyle w:val="ListParagraph"/>
        <w:numPr>
          <w:ilvl w:val="0"/>
          <w:numId w:val="2"/>
        </w:numPr>
        <w:spacing w:after="60" w:before="60"/>
      </w:pPr>
      <w:r>
        <w:rPr>
          <w:rFonts w:ascii="Arial" w:cs="Arial" w:eastAsia="Arial" w:hAnsi="Arial"/>
          <w:sz w:val="22"/>
          <w:szCs w:val="22"/>
        </w:rPr>
        <w:t xml:space="preserve">Patient registration, test ordering, and specimen barcode tracking</w:t>
      </w:r>
    </w:p>
    <w:p>
      <w:pPr>
        <w:pStyle w:val="ListParagraph"/>
        <w:numPr>
          <w:ilvl w:val="0"/>
          <w:numId w:val="2"/>
        </w:numPr>
        <w:spacing w:after="60" w:before="60"/>
      </w:pPr>
      <w:r>
        <w:rPr>
          <w:rFonts w:ascii="Arial" w:cs="Arial" w:eastAsia="Arial" w:hAnsi="Arial"/>
          <w:sz w:val="22"/>
          <w:szCs w:val="22"/>
        </w:rPr>
        <w:t xml:space="preserve">Automated analyzer interfaces — native GeneXpert plugin, Sysmex, Cobas (HL7/ASTM)</w:t>
      </w:r>
    </w:p>
    <w:p>
      <w:pPr>
        <w:pStyle w:val="ListParagraph"/>
        <w:numPr>
          <w:ilvl w:val="0"/>
          <w:numId w:val="2"/>
        </w:numPr>
        <w:spacing w:after="60" w:before="60"/>
      </w:pPr>
      <w:r>
        <w:rPr>
          <w:rFonts w:ascii="Arial" w:cs="Arial" w:eastAsia="Arial" w:hAnsi="Arial"/>
          <w:sz w:val="22"/>
          <w:szCs w:val="22"/>
        </w:rPr>
        <w:t xml:space="preserve">Result entry, validation, and electronic reporting</w:t>
      </w:r>
    </w:p>
    <w:p>
      <w:pPr>
        <w:pStyle w:val="ListParagraph"/>
        <w:numPr>
          <w:ilvl w:val="0"/>
          <w:numId w:val="2"/>
        </w:numPr>
        <w:spacing w:after="60" w:before="60"/>
      </w:pPr>
      <w:r>
        <w:rPr>
          <w:rFonts w:ascii="Arial" w:cs="Arial" w:eastAsia="Arial" w:hAnsi="Arial"/>
          <w:sz w:val="22"/>
          <w:szCs w:val="22"/>
        </w:rPr>
        <w:t xml:space="preserve">Westgard Rules QC dashboard and EQA/proficiency testing module</w:t>
      </w:r>
    </w:p>
    <w:p>
      <w:pPr>
        <w:pStyle w:val="ListParagraph"/>
        <w:numPr>
          <w:ilvl w:val="0"/>
          <w:numId w:val="2"/>
        </w:numPr>
        <w:spacing w:after="60" w:before="60"/>
      </w:pPr>
      <w:r>
        <w:rPr>
          <w:rFonts w:ascii="Arial" w:cs="Arial" w:eastAsia="Arial" w:hAnsi="Arial"/>
          <w:sz w:val="22"/>
          <w:szCs w:val="22"/>
        </w:rPr>
        <w:t xml:space="preserve">Critical value alerts (internal system notifications)</w:t>
      </w:r>
    </w:p>
    <w:p>
      <w:pPr>
        <w:pStyle w:val="ListParagraph"/>
        <w:numPr>
          <w:ilvl w:val="0"/>
          <w:numId w:val="2"/>
        </w:numPr>
        <w:spacing w:after="60" w:before="60"/>
      </w:pPr>
      <w:r>
        <w:rPr>
          <w:rFonts w:ascii="Arial" w:cs="Arial" w:eastAsia="Arial" w:hAnsi="Arial"/>
          <w:sz w:val="22"/>
          <w:szCs w:val="22"/>
        </w:rPr>
        <w:t xml:space="preserve">Reflex test rule builder — visual, no-code configuration</w:t>
      </w:r>
    </w:p>
    <w:p>
      <w:pPr>
        <w:pStyle w:val="ListParagraph"/>
        <w:numPr>
          <w:ilvl w:val="0"/>
          <w:numId w:val="2"/>
        </w:numPr>
        <w:spacing w:after="60" w:before="60"/>
      </w:pPr>
      <w:r>
        <w:rPr>
          <w:rFonts w:ascii="Arial" w:cs="Arial" w:eastAsia="Arial" w:hAnsi="Arial"/>
          <w:sz w:val="22"/>
          <w:szCs w:val="22"/>
        </w:rPr>
        <w:t xml:space="preserve">Sample storage management and sample shipment/referral with chain of custody</w:t>
      </w:r>
    </w:p>
    <w:p>
      <w:pPr>
        <w:pStyle w:val="ListParagraph"/>
        <w:numPr>
          <w:ilvl w:val="0"/>
          <w:numId w:val="2"/>
        </w:numPr>
        <w:spacing w:after="60" w:before="60"/>
      </w:pPr>
      <w:r>
        <w:rPr>
          <w:rFonts w:ascii="Arial" w:cs="Arial" w:eastAsia="Arial" w:hAnsi="Arial"/>
          <w:sz w:val="22"/>
          <w:szCs w:val="22"/>
        </w:rPr>
        <w:t xml:space="preserve">FHIR R4 support — connects to EMRs, client registries, DHIS2, and national HIEs</w:t>
      </w:r>
    </w:p>
    <w:p>
      <w:pPr>
        <w:pStyle w:val="ListParagraph"/>
        <w:numPr>
          <w:ilvl w:val="0"/>
          <w:numId w:val="2"/>
        </w:numPr>
        <w:spacing w:after="60" w:before="60"/>
      </w:pPr>
      <w:r>
        <w:rPr>
          <w:rFonts w:ascii="Arial" w:cs="Arial" w:eastAsia="Arial" w:hAnsi="Arial"/>
          <w:sz w:val="22"/>
          <w:szCs w:val="22"/>
        </w:rPr>
        <w:t xml:space="preserve">Inventory management (reagents and supplies)</w:t>
      </w:r>
    </w:p>
    <w:p>
      <w:pPr>
        <w:pStyle w:val="ListParagraph"/>
        <w:numPr>
          <w:ilvl w:val="0"/>
          <w:numId w:val="2"/>
        </w:numPr>
        <w:spacing w:after="60" w:before="60"/>
      </w:pPr>
      <w:r>
        <w:rPr>
          <w:rFonts w:ascii="Arial" w:cs="Arial" w:eastAsia="Arial" w:hAnsi="Arial"/>
          <w:sz w:val="22"/>
          <w:szCs w:val="22"/>
        </w:rPr>
        <w:t xml:space="preserve">Multi-site, multi-laboratory architecture</w:t>
      </w:r>
    </w:p>
    <w:p>
      <w:pPr>
        <w:pStyle w:val="ListParagraph"/>
        <w:numPr>
          <w:ilvl w:val="0"/>
          <w:numId w:val="2"/>
        </w:numPr>
        <w:spacing w:after="60" w:before="60"/>
      </w:pPr>
      <w:r>
        <w:rPr>
          <w:rFonts w:ascii="Arial" w:cs="Arial" w:eastAsia="Arial" w:hAnsi="Arial"/>
          <w:sz w:val="22"/>
          <w:szCs w:val="22"/>
        </w:rPr>
        <w:t xml:space="preserve">Full i18n support — deployed in French, Malagasy, Indonesian, and more</w:t>
      </w:r>
    </w:p>
    <w:p>
      <w:pPr>
        <w:pStyle w:val="ListParagraph"/>
        <w:numPr>
          <w:ilvl w:val="0"/>
          <w:numId w:val="2"/>
        </w:numPr>
        <w:spacing w:after="60" w:before="60"/>
      </w:pPr>
      <w:r>
        <w:rPr>
          <w:rFonts w:ascii="Arial" w:cs="Arial" w:eastAsia="Arial" w:hAnsi="Arial"/>
          <w:sz w:val="22"/>
          <w:szCs w:val="22"/>
        </w:rPr>
        <w:t xml:space="preserve">Zero licensing cost; open-source under AGPL-3.0</w:t>
      </w:r>
    </w:p>
    <w:p>
      <w:pPr>
        <w:spacing w:after="60" w:before="60"/>
      </w:pPr>
      <w:r>
        <w:t xml:space="preserve"/>
      </w:r>
    </w:p>
    <w:p>
      <w:pPr>
        <w:spacing w:after="80" w:before="80"/>
      </w:pPr>
      <w:r>
        <w:rPr>
          <w:rFonts w:ascii="Arial" w:cs="Arial" w:eastAsia="Arial" w:hAnsi="Arial"/>
          <w:b/>
          <w:bCs/>
          <w:sz w:val="22"/>
          <w:szCs w:val="22"/>
        </w:rPr>
        <w:t xml:space="preserve">Current gaps relative to Aspect:</w:t>
      </w:r>
    </w:p>
    <w:p>
      <w:pPr>
        <w:pStyle w:val="ListParagraph"/>
        <w:numPr>
          <w:ilvl w:val="0"/>
          <w:numId w:val="2"/>
        </w:numPr>
        <w:spacing w:after="60" w:before="60"/>
      </w:pPr>
      <w:r>
        <w:rPr>
          <w:rFonts w:ascii="Arial" w:cs="Arial" w:eastAsia="Arial" w:hAnsi="Arial"/>
          <w:sz w:val="22"/>
          <w:szCs w:val="22"/>
        </w:rPr>
        <w:t xml:space="preserve">No native SMS gateway for external result delivery to clinicians</w:t>
      </w:r>
    </w:p>
    <w:p>
      <w:pPr>
        <w:pStyle w:val="ListParagraph"/>
        <w:numPr>
          <w:ilvl w:val="0"/>
          <w:numId w:val="2"/>
        </w:numPr>
        <w:spacing w:after="60" w:before="60"/>
      </w:pPr>
      <w:r>
        <w:rPr>
          <w:rFonts w:ascii="Arial" w:cs="Arial" w:eastAsia="Arial" w:hAnsi="Arial"/>
          <w:sz w:val="22"/>
          <w:szCs w:val="22"/>
        </w:rPr>
        <w:t xml:space="preserve">No dedicated mobile app for POC result push</w:t>
      </w:r>
    </w:p>
    <w:p>
      <w:pPr>
        <w:pStyle w:val="ListParagraph"/>
        <w:numPr>
          <w:ilvl w:val="0"/>
          <w:numId w:val="2"/>
        </w:numPr>
        <w:spacing w:after="60" w:before="60"/>
      </w:pPr>
      <w:r>
        <w:rPr>
          <w:rFonts w:ascii="Arial" w:cs="Arial" w:eastAsia="Arial" w:hAnsi="Arial"/>
          <w:sz w:val="22"/>
          <w:szCs w:val="22"/>
        </w:rPr>
        <w:t xml:space="preserve">No built-in national disease surveillance dashboards (requires DHIS2 or custom layer)</w:t>
      </w:r>
    </w:p>
    <w:p>
      <w:pPr>
        <w:pStyle w:val="ListParagraph"/>
        <w:numPr>
          <w:ilvl w:val="0"/>
          <w:numId w:val="2"/>
        </w:numPr>
        <w:spacing w:after="60" w:before="60"/>
      </w:pPr>
      <w:r>
        <w:rPr>
          <w:rFonts w:ascii="Arial" w:cs="Arial" w:eastAsia="Arial" w:hAnsi="Arial"/>
          <w:sz w:val="22"/>
          <w:szCs w:val="22"/>
        </w:rPr>
        <w:t xml:space="preserve">Requires consistent network access (no cellular modem fallback for offline facilities)</w:t>
      </w:r>
    </w:p>
    <w:p>
      <w:pPr>
        <w:pStyle w:val="ListParagraph"/>
        <w:numPr>
          <w:ilvl w:val="0"/>
          <w:numId w:val="2"/>
        </w:numPr>
        <w:spacing w:after="60" w:before="60"/>
      </w:pPr>
      <w:r>
        <w:rPr>
          <w:rFonts w:ascii="Arial" w:cs="Arial" w:eastAsia="Arial" w:hAnsi="Arial"/>
          <w:sz w:val="22"/>
          <w:szCs w:val="22"/>
        </w:rPr>
        <w:t xml:space="preserve">No RDT data capture module</w:t>
      </w:r>
    </w:p>
    <w:p>
      <w:pPr>
        <w:pStyle w:val="ListParagraph"/>
        <w:numPr>
          <w:ilvl w:val="0"/>
          <w:numId w:val="2"/>
        </w:numPr>
        <w:spacing w:after="60" w:before="60"/>
      </w:pPr>
      <w:r>
        <w:rPr>
          <w:rFonts w:ascii="Arial" w:cs="Arial" w:eastAsia="Arial" w:hAnsi="Arial"/>
          <w:sz w:val="22"/>
          <w:szCs w:val="22"/>
        </w:rPr>
        <w:t xml:space="preserve">No native diagnosis-to-treatment case management</w:t>
      </w:r>
    </w:p>
    <w:p>
      <w:r>
        <w:br w:type="page"/>
      </w:r>
    </w:p>
    <w:p>
      <w:pPr>
        <w:pStyle w:val="Heading1"/>
        <w:spacing w:after="160" w:before="320"/>
      </w:pPr>
      <w:r>
        <w:rPr>
          <w:rFonts w:ascii="Arial" w:cs="Arial" w:eastAsia="Arial" w:hAnsi="Arial"/>
          <w:b/>
          <w:bCs/>
          <w:color w:val="1A5276"/>
          <w:sz w:val="32"/>
          <w:szCs w:val="32"/>
        </w:rPr>
        <w:t xml:space="preserve">3. Detailed Gap Analysis</w:t>
      </w:r>
    </w:p>
    <w:p>
      <w:pPr>
        <w:pStyle w:val="Heading2"/>
        <w:spacing w:after="120" w:before="240"/>
      </w:pPr>
      <w:r>
        <w:rPr>
          <w:rFonts w:ascii="Arial" w:cs="Arial" w:eastAsia="Arial" w:hAnsi="Arial"/>
          <w:b/>
          <w:bCs/>
          <w:color w:val="1F618D"/>
          <w:sz w:val="26"/>
          <w:szCs w:val="26"/>
        </w:rPr>
        <w:t xml:space="preserve">3.1  GeneXpert Result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28B46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Native GeneXpert connectivity via cellular modem/SIM. Installation takes ~15 minutes per device. Works without fixed internet. Supports all GeneXpert models (1, 2, 4, 16, 48, 80 module).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Ready-to-use GeneXpert analyzer plugin via HL7/ASTM LIS2-A2. Visual drag-and-drop test code mapping. Pending test lists pushed to analyzer; results pulled automatically. No restart required to add new analyzers.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Remaining Gap</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requires a stable network connection between the GeneXpert device and the OpenELIS server. Aspect's cellular modem approach works at facilities with no fixed internet. Facilities relying on Aspect's SIM-based connectivity will need a network upgrade or a local OpenELIS instance with sync.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Conduct connectivity audit at all sites. (2) Deploy OpenELIS GeneXpert plugin at connected sites. (3) For offline/low-connectivity sites, evaluate local OpenELIS instance with central sync, or cellular data plan for device-to-server communication.</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3.2  SMS / Real-time Clinical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Core feature. Configurable rules push results via SMS and email to clinicians, supervisors, and ministry contacts in real-time. Aspect Mobile extends this to a dedicated mobile app. Critical for accelerating time-to-treatment in national TB/HIV programs.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has internal critical value alerts (notifies logged-in system users). It does NOT have a native SMS gateway for pushing results to external clinicians or patients. FHIR R4 subscription resources can trigger external notifications if a middleware layer is present.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Remaining Gap</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This is the most significant functional gap. A direct replacement for Aspect's SMS result delivery capability does not exist natively in OpenELIS and must be explicitly built or integrated.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 Options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CONFIRMED: TextIt (hosted RapidPro). Integration path: OpenELIS validates result → FHIR R4 DiagnosticReport posted to central FHIR repo → TextIt webhook subscription triggers SMS to configured clinician contacts. Alert rules configured in TextIt flows to mirror prior Aspect behavior. No custom middleware required.</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3.3  Supply Chain &amp; 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Tracks cartridge and reagent consumption by site. Monitors stock levels across the national network. Supports inter-site transfers. Generates consumption forecasts. Dashboards enable supply chain managers and manufacturers to anticipate shortfalls.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includes an inventory management module covering reagents and supplies at the facility level. It records usage but does not have a native multi-site supply chain forecasting engine or stock transfer workflow across facilities.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Remaining Gap</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Facility-level inventory is covered. National-level supply chain visibility (consumption forecasting, inter-facility transfers, manufacturer dashboards) is not natively provided by OpenELIS.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CONFIRMED: OpenELIS central FHIR lab data repo as the single source of truth. (1) Per-facility stock managed in OpenELIS inventory module. (2) Consumption and stock data exposed via FHIR R4 to Apache Superset for national forecasting dashboards. (3) Reagent forecasting module to be specced as a new OpenELIS feature. DHIS2 receives aggregated supply data via FHIR push for external ministry visibility.</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3.4  Ministry-Level Disease Surveillance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Provides national aggregated dashboards showing disease burden by geography, test positivity trends, equipment utilization, and device error rates. Ministries of health use these to guide policy and resource allocation in real time.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reporting is primarily facility-level and operational (QC dashboards, workload reports, turnaround time). It supports FHIR R4 and can export structured data to DHIS2 or national HIEs. Aggregate disease intelligence dashboards are not a native module.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Remaining Gap</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 direct ministry-facing disease intelligence dashboard does not exist in OpenELIS. This is a significant gap for programs that rely on Aspect's national-level reporting as their primary disease surveillance tool.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CONFIRMED ARCHITECTURE: All data routes through OpenELIS central FHIR lab data repository. DUAL PATH: (1) Apache Superset connected to the central FHIR repo for program-owned disease intelligence dashboards — test positivity, TAT, volume by site, equipment utilization — specced as new OpenELIS feature; (2) FHIR R4 push to DHIS2 (hosted by external org) for ministry-level national reporting. No Aspect retained. No hybrid.</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3.5  Low-Connectivity &amp; Offline Facility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Designed specifically for LMICs with unreliable internet. Uses cellular modem with local SIM to transmit data independently of facility network infrastructure. Deployable in 15 minutes per device.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is a web application that requires stable network access between client browsers/analyzers and the server. Central deployment requires reliable WAN or internet; local deployment requires server hardware at each facility.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Conduct site connectivity assessment before migration. (2) For facilities with unreliable internet: deploy local OpenELIS Docker instance with sync to central FHIR repo. (3) Provision 4G/LTE data SIM for analyzer-to-server communication at remote sites. All sites migrate fully to OpenELIS — no GxAlert fallback retained.</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3.6  Treatment Linkage &amp;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Supports linkage from diagnosis to treatment initiation. Custom patient fields allow tracking of treatment status, follow-up tests, and outcomes. This is especially relevant for rifampicin-resistant TB case management.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is specimen and result-focused. It does not have case management, treatment initiation tracking, or patient follow-up workflows. Patient records link to test history only.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Treatment linkage requires an EMR or case management system. Options: (1) OpenMRS integrated via FHIR R4 (common in PEPFAR programs). (2) DHIS2 Tracker for case-based surveillance. (3) Existing national EMR if present. OpenELIS should be positioned as the LIS layer; case management is out of scope for OpenELIS by design.</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3.7  RDT / Point-of-Care Data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Gap Level</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Aspect / GxAlert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Aspect supports digital RDT integration (launched 2018). Captures rapid diagnostic test results from POC devices, including malaria RDTs and antigen tests, alongside GeneXpert data in a unified dashboard.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OpenELIS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OpenELIS handles formal laboratory sample processing. It does not have a dedicated RDT module or POC data capture flow. RDT results can be manually entered as test results but there is no automated digital RDT integration.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CONFIRMED: Aspect fully off. All RDT data must route through OpenELIS. Path: (1) Short-term — manual RDT result entry in OpenELIS as test results. (2) Medium-term — evaluate CommCare or ODK mobile forms with FHIR output posting results to OpenELIS central FHIR repo. (3) Long-term — dedicated RDT analyzer integration spec if digital POC devices are in use. All data centralizes in the FHIR repo regardless of capture method.</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2"/>
          <w:szCs w:val="32"/>
        </w:rPr>
        <w:t xml:space="preserve">4. Gap Summary Heat Map</w:t>
      </w:r>
    </w:p>
    <w:p>
      <w:pPr>
        <w:spacing w:after="80" w:before="80"/>
      </w:pPr>
      <w:r>
        <w:rPr>
          <w:rFonts w:ascii="Arial" w:cs="Arial" w:eastAsia="Arial" w:hAnsi="Arial"/>
          <w:sz w:val="22"/>
          <w:szCs w:val="22"/>
        </w:rPr>
        <w:t xml:space="preserve">The table below summarizes all capability areas with their gap severity and recommended approach. Use this as the primary reference for migration planning and stakeholder communication.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80"/>
        <w:gridCol w:w="3280"/>
      </w:tblGrid>
      <w:tr>
        <w:tc>
          <w:tcPr>
            <w:tcW w:type="dxa" w:w="26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 Area</w:t>
            </w:r>
          </w:p>
        </w:tc>
        <w:tc>
          <w:tcPr>
            <w:tcW w:type="dxa" w:w="12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W w:type="dxa" w:w="228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328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Path</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GeneXpert Result Collection</w:t>
            </w:r>
          </w:p>
        </w:tc>
        <w:tc>
          <w:tcPr>
            <w:tcW w:type="dxa" w:w="1200"/>
            <w:tcBorders>
              <w:top w:val="single" w:color="CCCCCC" w:sz="1"/>
              <w:left w:val="single" w:color="CCCCCC" w:sz="1"/>
              <w:bottom w:val="single" w:color="CCCCCC" w:sz="1"/>
              <w:right w:val="single" w:color="CCCCCC" w:sz="1"/>
            </w:tcBorders>
            <w:shd w:fill="28B46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GeneXpert plugin + connectivity audit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SMS / Real-time Alerts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 + Program</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TextIt (hosted RapidPro) via FHIR R4 central repo subscription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Supply Chain / Inventory + Forecasting</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Supply Chain Team</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inventory + reagent forecasting module (to be specced) + Superset via FHIR repo</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Disease Surveillance Dashboards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M&amp;E / Informatics</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Apache Superset on FHIR central repo (program-owned) + FHIR push to external DHIS2</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Low-connectivity Facilities</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IT / Infrastructure</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Local OpenELIS Docker + FHIR sync to central repo; 4G SIM at remote sites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Treatment Linkage</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Clinical / Program</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DHIS2 Tracker (external org) or national EMR via FHIR R4</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RDT / POC Data Capture</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Program / Technical</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Manual entry short-term; CommCare/ODK-to-FHIR into central repo medium-term</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Multi-site Specimen Referral</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Sample Shipment module — native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Patient Registration &amp; Tracking</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Core OpenELIS — full-featured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Quality Control (QC / EQA)</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QC exceeds Aspect — Westgard, EQA built-in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Analyzer Integration (non-GX)</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supports Sysmex, Cobas, and ASTM/HL7 devices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Licensing Cost</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Finance</w:t>
            </w:r>
          </w:p>
        </w:tc>
        <w:tc>
          <w:tcPr>
            <w:tcW w:type="dxa" w:w="32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is open-source (AGPL-3.0) — zero licensing cost</w:t>
            </w:r>
          </w:p>
        </w:tc>
      </w:tr>
    </w:tbl>
    <w:p>
      <w:pPr>
        <w:spacing w:after="60" w:before="60"/>
      </w:pPr>
      <w:r>
        <w:t xml:space="preserve"/>
      </w:r>
    </w:p>
    <w:p>
      <w:pPr>
        <w:spacing w:after="80" w:before="80"/>
      </w:pPr>
      <w:r>
        <w:rPr>
          <w:rFonts w:ascii="Arial" w:cs="Arial" w:eastAsia="Arial" w:hAnsi="Arial"/>
          <w:b/>
          <w:bCs/>
          <w:sz w:val="22"/>
          <w:szCs w:val="22"/>
        </w:rPr>
        <w:t xml:space="preserve">Gap Level Key:</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COVERED</w:t>
            </w:r>
          </w:p>
        </w:tc>
        <w:tc>
          <w:tcPr>
            <w:tcW w:type="dxa" w:w="4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OpenELIS meets or exceeds the capability natively — no action required.</w:t>
            </w:r>
          </w:p>
        </w:tc>
      </w:tr>
      <w:tr>
        <w:tc>
          <w:tcPr>
            <w:tcW w:type="dxa" w:w="1200"/>
            <w:tcBorders>
              <w:top w:val="single" w:color="CCCCCC" w:sz="1"/>
              <w:left w:val="single" w:color="CCCCCC" w:sz="1"/>
              <w:bottom w:val="single" w:color="CCCCCC" w:sz="1"/>
              <w:right w:val="single" w:color="CCCCCC" w:sz="1"/>
            </w:tcBorders>
            <w:shd w:fill="28B46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4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Minor configuration or testing required; no custom development needed.</w:t>
            </w:r>
          </w:p>
        </w:tc>
      </w:tr>
      <w:tr>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Requires integration work or a companion tool; feasible within migration timeline.</w:t>
            </w:r>
          </w:p>
        </w:tc>
      </w:tr>
      <w:tr>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Significant gap requiring custom development or a strategic architecture decision.</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2"/>
          <w:szCs w:val="32"/>
        </w:rPr>
        <w:t xml:space="preserve">5. Phased Migration Plan</w:t>
      </w:r>
    </w:p>
    <w:p>
      <w:pPr>
        <w:spacing w:after="80" w:before="80"/>
      </w:pPr>
      <w:r>
        <w:rPr>
          <w:rFonts w:ascii="Arial" w:cs="Arial" w:eastAsia="Arial" w:hAnsi="Arial"/>
          <w:sz w:val="22"/>
          <w:szCs w:val="22"/>
        </w:rPr>
        <w:t xml:space="preserve">The migration is structured in four phases over approximately 12–18 months, depending on the number of sites and infrastructure readiness. HIGH gap items are addressed in parallel with the core deployment to avoid blocking go-live.</w:t>
      </w:r>
    </w:p>
    <w:p>
      <w:pPr>
        <w:spacing w:after="60" w:before="60"/>
      </w:pPr>
      <w:r>
        <w:t xml:space="preserve"/>
      </w:r>
    </w:p>
    <w:p>
      <w:pPr>
        <w:pStyle w:val="Heading2"/>
        <w:spacing w:after="120" w:before="240"/>
      </w:pPr>
      <w:r>
        <w:rPr>
          <w:rFonts w:ascii="Arial" w:cs="Arial" w:eastAsia="Arial" w:hAnsi="Arial"/>
          <w:b/>
          <w:bCs/>
          <w:color w:val="1F618D"/>
          <w:sz w:val="26"/>
          <w:szCs w:val="26"/>
        </w:rPr>
        <w:t xml:space="preserve">Phase 1: Foundation &amp; Connectivity Assessment (Months 1–3)</w:t>
      </w:r>
    </w:p>
    <w:p>
      <w:pPr>
        <w:pStyle w:val="Heading3"/>
        <w:spacing w:after="100" w:before="200"/>
      </w:pPr>
      <w:r>
        <w:rPr>
          <w:rFonts w:ascii="Arial" w:cs="Arial" w:eastAsia="Arial" w:hAnsi="Arial"/>
          <w:b/>
          <w:bCs/>
          <w:color w:val="2874A6"/>
          <w:sz w:val="24"/>
          <w:szCs w:val="24"/>
        </w:rPr>
        <w:t xml:space="preserve">Objectives</w:t>
      </w:r>
    </w:p>
    <w:p>
      <w:pPr>
        <w:pStyle w:val="ListParagraph"/>
        <w:numPr>
          <w:ilvl w:val="0"/>
          <w:numId w:val="2"/>
        </w:numPr>
        <w:spacing w:after="60" w:before="60"/>
      </w:pPr>
      <w:r>
        <w:rPr>
          <w:rFonts w:ascii="Arial" w:cs="Arial" w:eastAsia="Arial" w:hAnsi="Arial"/>
          <w:sz w:val="22"/>
          <w:szCs w:val="22"/>
        </w:rPr>
        <w:t xml:space="preserve">Establish OpenELIS in a national staging environment</w:t>
      </w:r>
    </w:p>
    <w:p>
      <w:pPr>
        <w:pStyle w:val="ListParagraph"/>
        <w:numPr>
          <w:ilvl w:val="0"/>
          <w:numId w:val="2"/>
        </w:numPr>
        <w:spacing w:after="60" w:before="60"/>
      </w:pPr>
      <w:r>
        <w:rPr>
          <w:rFonts w:ascii="Arial" w:cs="Arial" w:eastAsia="Arial" w:hAnsi="Arial"/>
          <w:sz w:val="22"/>
          <w:szCs w:val="22"/>
        </w:rPr>
        <w:t xml:space="preserve">Audit all facility sites for network connectivity and GeneXpert device inventory</w:t>
      </w:r>
    </w:p>
    <w:p>
      <w:pPr>
        <w:pStyle w:val="ListParagraph"/>
        <w:numPr>
          <w:ilvl w:val="0"/>
          <w:numId w:val="2"/>
        </w:numPr>
        <w:spacing w:after="60" w:before="60"/>
      </w:pPr>
      <w:r>
        <w:rPr>
          <w:rFonts w:ascii="Arial" w:cs="Arial" w:eastAsia="Arial" w:hAnsi="Arial"/>
          <w:sz w:val="22"/>
          <w:szCs w:val="22"/>
        </w:rPr>
        <w:t xml:space="preserve">Define the national architecture: central OpenELIS vs. hub-and-spoke vs. local instances</w:t>
      </w:r>
    </w:p>
    <w:p>
      <w:pPr>
        <w:pStyle w:val="ListParagraph"/>
        <w:numPr>
          <w:ilvl w:val="0"/>
          <w:numId w:val="2"/>
        </w:numPr>
        <w:spacing w:after="60" w:before="60"/>
      </w:pPr>
      <w:r>
        <w:rPr>
          <w:rFonts w:ascii="Arial" w:cs="Arial" w:eastAsia="Arial" w:hAnsi="Arial"/>
          <w:sz w:val="22"/>
          <w:szCs w:val="22"/>
        </w:rPr>
        <w:t xml:space="preserve">Select SMS gateway vendor and begin DHIS2 integration scoping</w:t>
      </w:r>
    </w:p>
    <w:p>
      <w:pPr>
        <w:spacing w:after="60" w:before="60"/>
      </w:pPr>
      <w:r>
        <w:t xml:space="preserve"/>
      </w:r>
    </w:p>
    <w:p>
      <w:pPr>
        <w:pStyle w:val="Heading3"/>
        <w:spacing w:after="100" w:before="200"/>
      </w:pPr>
      <w:r>
        <w:rPr>
          <w:rFonts w:ascii="Arial" w:cs="Arial" w:eastAsia="Arial" w:hAnsi="Arial"/>
          <w:b/>
          <w:bCs/>
          <w:color w:val="2874A6"/>
          <w:sz w:val="24"/>
          <w:szCs w:val="24"/>
        </w:rPr>
        <w:t xml:space="preserve">Key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Deploy OpenELIS in staging environment (Docker)</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Site connectivity audit (internet speed, reliability, device count)</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IT / Field Team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1–2</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GeneXpert plugin configuration and test in staging</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SMS gateway vendor evaluation and selection</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Program + Tech</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DHIS2 FHIR R4 bridge scoping and architecture design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M&amp;E / Informatics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2–3</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Stakeholder alignment: ministry, program managers, lab staff</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Program Lead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1–3</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Phase 2: Pilot Deployment (Months 4–7)</w:t>
      </w:r>
    </w:p>
    <w:p>
      <w:pPr>
        <w:pStyle w:val="Heading3"/>
        <w:spacing w:after="100" w:before="200"/>
      </w:pPr>
      <w:r>
        <w:rPr>
          <w:rFonts w:ascii="Arial" w:cs="Arial" w:eastAsia="Arial" w:hAnsi="Arial"/>
          <w:b/>
          <w:bCs/>
          <w:color w:val="2874A6"/>
          <w:sz w:val="24"/>
          <w:szCs w:val="24"/>
        </w:rPr>
        <w:t xml:space="preserve">Objectives</w:t>
      </w:r>
    </w:p>
    <w:p>
      <w:pPr>
        <w:pStyle w:val="ListParagraph"/>
        <w:numPr>
          <w:ilvl w:val="0"/>
          <w:numId w:val="2"/>
        </w:numPr>
        <w:spacing w:after="60" w:before="60"/>
      </w:pPr>
      <w:r>
        <w:rPr>
          <w:rFonts w:ascii="Arial" w:cs="Arial" w:eastAsia="Arial" w:hAnsi="Arial"/>
          <w:sz w:val="22"/>
          <w:szCs w:val="22"/>
        </w:rPr>
        <w:t xml:space="preserve">Deploy OpenELIS at 3–5 pilot sites representing the range of connectivity and workflow types</w:t>
      </w:r>
    </w:p>
    <w:p>
      <w:pPr>
        <w:pStyle w:val="ListParagraph"/>
        <w:numPr>
          <w:ilvl w:val="0"/>
          <w:numId w:val="2"/>
        </w:numPr>
        <w:spacing w:after="60" w:before="60"/>
      </w:pPr>
      <w:r>
        <w:rPr>
          <w:rFonts w:ascii="Arial" w:cs="Arial" w:eastAsia="Arial" w:hAnsi="Arial"/>
          <w:sz w:val="22"/>
          <w:szCs w:val="22"/>
        </w:rPr>
        <w:t xml:space="preserve">Implement and validate GeneXpert result collection in production</w:t>
      </w:r>
    </w:p>
    <w:p>
      <w:pPr>
        <w:pStyle w:val="ListParagraph"/>
        <w:numPr>
          <w:ilvl w:val="0"/>
          <w:numId w:val="2"/>
        </w:numPr>
        <w:spacing w:after="60" w:before="60"/>
      </w:pPr>
      <w:r>
        <w:rPr>
          <w:rFonts w:ascii="Arial" w:cs="Arial" w:eastAsia="Arial" w:hAnsi="Arial"/>
          <w:sz w:val="22"/>
          <w:szCs w:val="22"/>
        </w:rPr>
        <w:t xml:space="preserve">Launch SMS gateway integration (RapidPro or equivalent) at pilot sites</w:t>
      </w:r>
    </w:p>
    <w:p>
      <w:pPr>
        <w:pStyle w:val="ListParagraph"/>
        <w:numPr>
          <w:ilvl w:val="0"/>
          <w:numId w:val="2"/>
        </w:numPr>
        <w:spacing w:after="60" w:before="60"/>
      </w:pPr>
      <w:r>
        <w:rPr>
          <w:rFonts w:ascii="Arial" w:cs="Arial" w:eastAsia="Arial" w:hAnsi="Arial"/>
          <w:sz w:val="22"/>
          <w:szCs w:val="22"/>
        </w:rPr>
        <w:t xml:space="preserve">Begin DHIS2 data feed for ministry reporting</w:t>
      </w:r>
    </w:p>
    <w:p>
      <w:pPr>
        <w:spacing w:after="60" w:before="60"/>
      </w:pPr>
      <w:r>
        <w:t xml:space="preserve"/>
      </w:r>
    </w:p>
    <w:p>
      <w:pPr>
        <w:pStyle w:val="Heading3"/>
        <w:spacing w:after="100" w:before="200"/>
      </w:pPr>
      <w:r>
        <w:rPr>
          <w:rFonts w:ascii="Arial" w:cs="Arial" w:eastAsia="Arial" w:hAnsi="Arial"/>
          <w:b/>
          <w:bCs/>
          <w:color w:val="2874A6"/>
          <w:sz w:val="24"/>
          <w:szCs w:val="24"/>
        </w:rPr>
        <w:t xml:space="preserve">Key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Deploy OpenELIS at pilot sites; configure GeneXpert plugin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4</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Train lab technicians at pilot sites on OpenELIS workflows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Training Team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4–5</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Integrate SMS gateway; configure alert rules to match Aspect behavior</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Activate DHIS2 FHIR R4 data feed from OpenELIS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M&amp;E / Informatics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5–6</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Run parallel operation: Aspect + OpenELIS simultaneously at pilot sites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5–7</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Conduct data quality audit: compare OpenELIS vs Aspect result counts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M&amp;E Team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6–7</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Go/No-Go review at end of pilot phase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Program Lead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7</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Phase 3: National Rollout (Months 8–14)</w:t>
      </w:r>
    </w:p>
    <w:p>
      <w:pPr>
        <w:pStyle w:val="Heading3"/>
        <w:spacing w:after="100" w:before="200"/>
      </w:pPr>
      <w:r>
        <w:rPr>
          <w:rFonts w:ascii="Arial" w:cs="Arial" w:eastAsia="Arial" w:hAnsi="Arial"/>
          <w:b/>
          <w:bCs/>
          <w:color w:val="2874A6"/>
          <w:sz w:val="24"/>
          <w:szCs w:val="24"/>
        </w:rPr>
        <w:t xml:space="preserve">Objectives</w:t>
      </w:r>
    </w:p>
    <w:p>
      <w:pPr>
        <w:pStyle w:val="ListParagraph"/>
        <w:numPr>
          <w:ilvl w:val="0"/>
          <w:numId w:val="2"/>
        </w:numPr>
        <w:spacing w:after="60" w:before="60"/>
      </w:pPr>
      <w:r>
        <w:rPr>
          <w:rFonts w:ascii="Arial" w:cs="Arial" w:eastAsia="Arial" w:hAnsi="Arial"/>
          <w:sz w:val="22"/>
          <w:szCs w:val="22"/>
        </w:rPr>
        <w:t xml:space="preserve">Roll out OpenELIS to all facilities in cohorts, prioritizing high-volume sites</w:t>
      </w:r>
    </w:p>
    <w:p>
      <w:pPr>
        <w:pStyle w:val="ListParagraph"/>
        <w:numPr>
          <w:ilvl w:val="0"/>
          <w:numId w:val="2"/>
        </w:numPr>
        <w:spacing w:after="60" w:before="60"/>
      </w:pPr>
      <w:r>
        <w:rPr>
          <w:rFonts w:ascii="Arial" w:cs="Arial" w:eastAsia="Arial" w:hAnsi="Arial"/>
          <w:sz w:val="22"/>
          <w:szCs w:val="22"/>
        </w:rPr>
        <w:t xml:space="preserve">Decommission Aspect/GxAlert at each site as OpenELIS goes live</w:t>
      </w:r>
    </w:p>
    <w:p>
      <w:pPr>
        <w:pStyle w:val="ListParagraph"/>
        <w:numPr>
          <w:ilvl w:val="0"/>
          <w:numId w:val="2"/>
        </w:numPr>
        <w:spacing w:after="60" w:before="60"/>
      </w:pPr>
      <w:r>
        <w:rPr>
          <w:rFonts w:ascii="Arial" w:cs="Arial" w:eastAsia="Arial" w:hAnsi="Arial"/>
          <w:sz w:val="22"/>
          <w:szCs w:val="22"/>
        </w:rPr>
        <w:t xml:space="preserve">Address offline/low-connectivity sites with appropriate architecture</w:t>
      </w:r>
    </w:p>
    <w:p>
      <w:pPr>
        <w:spacing w:after="60" w:before="60"/>
      </w:pPr>
      <w:r>
        <w:t xml:space="preserve"/>
      </w:r>
    </w:p>
    <w:p>
      <w:pPr>
        <w:pStyle w:val="Heading3"/>
        <w:spacing w:after="100" w:before="200"/>
      </w:pPr>
      <w:r>
        <w:rPr>
          <w:rFonts w:ascii="Arial" w:cs="Arial" w:eastAsia="Arial" w:hAnsi="Arial"/>
          <w:b/>
          <w:bCs/>
          <w:color w:val="2874A6"/>
          <w:sz w:val="24"/>
          <w:szCs w:val="24"/>
        </w:rPr>
        <w:t xml:space="preserve">Key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0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Cohort 1: High-volume, well-connected facilities (20–30% of sites)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 Field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8–10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Cohort 2: Mid-tier facilities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Technical + Field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10–12</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Cohort 3: Remote / low-connectivity facilities (local OpenELIS + sync)</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IT / Infrastructure</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12–14</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Aspect/GxAlert decommission at each site post-validation</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Program Lead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Rolling</w:t>
            </w:r>
          </w:p>
        </w:tc>
      </w:tr>
      <w:tr>
        <w:tc>
          <w:tcPr>
            <w:tcW w:type="dxa" w:w="5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Ministry dashboard training (DHIS2 or custom reports)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M&amp;E Team</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9–11</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Historical data migration from GxAlert/Aspect to OpenELIS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8–14</w:t>
            </w:r>
          </w:p>
        </w:tc>
      </w:tr>
    </w:tbl>
    <w:p>
      <w:pPr>
        <w:spacing w:after="60" w:before="60"/>
      </w:pPr>
      <w:r>
        <w:t xml:space="preserve"/>
      </w:r>
    </w:p>
    <w:p>
      <w:pPr>
        <w:pStyle w:val="Heading2"/>
        <w:spacing w:after="120" w:before="240"/>
      </w:pPr>
      <w:r>
        <w:rPr>
          <w:rFonts w:ascii="Arial" w:cs="Arial" w:eastAsia="Arial" w:hAnsi="Arial"/>
          <w:b/>
          <w:bCs/>
          <w:color w:val="1F618D"/>
          <w:sz w:val="26"/>
          <w:szCs w:val="26"/>
        </w:rPr>
        <w:t xml:space="preserve">Phase 4: Stabilization &amp; Optimization (Months 15–18)</w:t>
      </w:r>
    </w:p>
    <w:p>
      <w:pPr>
        <w:pStyle w:val="Heading3"/>
        <w:spacing w:after="100" w:before="200"/>
      </w:pPr>
      <w:r>
        <w:rPr>
          <w:rFonts w:ascii="Arial" w:cs="Arial" w:eastAsia="Arial" w:hAnsi="Arial"/>
          <w:b/>
          <w:bCs/>
          <w:color w:val="2874A6"/>
          <w:sz w:val="24"/>
          <w:szCs w:val="24"/>
        </w:rPr>
        <w:t xml:space="preserve">Objectives</w:t>
      </w:r>
    </w:p>
    <w:p>
      <w:pPr>
        <w:pStyle w:val="ListParagraph"/>
        <w:numPr>
          <w:ilvl w:val="0"/>
          <w:numId w:val="2"/>
        </w:numPr>
        <w:spacing w:after="60" w:before="60"/>
      </w:pPr>
      <w:r>
        <w:rPr>
          <w:rFonts w:ascii="Arial" w:cs="Arial" w:eastAsia="Arial" w:hAnsi="Arial"/>
          <w:sz w:val="22"/>
          <w:szCs w:val="22"/>
        </w:rPr>
        <w:t xml:space="preserve">Full decommission of Aspect/GxAlert across all sites</w:t>
      </w:r>
    </w:p>
    <w:p>
      <w:pPr>
        <w:pStyle w:val="ListParagraph"/>
        <w:numPr>
          <w:ilvl w:val="0"/>
          <w:numId w:val="2"/>
        </w:numPr>
        <w:spacing w:after="60" w:before="60"/>
      </w:pPr>
      <w:r>
        <w:rPr>
          <w:rFonts w:ascii="Arial" w:cs="Arial" w:eastAsia="Arial" w:hAnsi="Arial"/>
          <w:sz w:val="22"/>
          <w:szCs w:val="22"/>
        </w:rPr>
        <w:t xml:space="preserve">Optimize OpenELIS reporting, QC workflows, and SMS alert rules based on real-world usage</w:t>
      </w:r>
    </w:p>
    <w:p>
      <w:pPr>
        <w:pStyle w:val="ListParagraph"/>
        <w:numPr>
          <w:ilvl w:val="0"/>
          <w:numId w:val="2"/>
        </w:numPr>
        <w:spacing w:after="60" w:before="60"/>
      </w:pPr>
      <w:r>
        <w:rPr>
          <w:rFonts w:ascii="Arial" w:cs="Arial" w:eastAsia="Arial" w:hAnsi="Arial"/>
          <w:sz w:val="22"/>
          <w:szCs w:val="22"/>
        </w:rPr>
        <w:t xml:space="preserve">Complete treatment linkage integration (OpenMRS or DHIS2 Tracker)</w:t>
      </w:r>
    </w:p>
    <w:p>
      <w:pPr>
        <w:pStyle w:val="ListParagraph"/>
        <w:numPr>
          <w:ilvl w:val="0"/>
          <w:numId w:val="2"/>
        </w:numPr>
        <w:spacing w:after="60" w:before="60"/>
      </w:pPr>
      <w:r>
        <w:rPr>
          <w:rFonts w:ascii="Arial" w:cs="Arial" w:eastAsia="Arial" w:hAnsi="Arial"/>
          <w:sz w:val="22"/>
          <w:szCs w:val="22"/>
        </w:rPr>
        <w:t xml:space="preserve">Formal evaluation against program KPIs</w:t>
      </w:r>
    </w:p>
    <w:p>
      <w:pPr>
        <w:spacing w:after="60" w:before="60"/>
      </w:pPr>
      <w:r>
        <w:t xml:space="preserve"/>
      </w:r>
    </w:p>
    <w:p>
      <w:pPr>
        <w:spacing w:after="80" w:before="80"/>
      </w:pPr>
      <w:r>
        <w:rPr>
          <w:rFonts w:ascii="Arial" w:cs="Arial" w:eastAsia="Arial" w:hAnsi="Arial"/>
          <w:sz w:val="22"/>
          <w:szCs w:val="22"/>
        </w:rPr>
        <w:t xml:space="preserve">Activities include: performance tuning, user feedback incorporation, expanded DHIS2 reporting, treatment linkage EMR integration, and staff competency re-assessment.</w:t>
      </w:r>
    </w:p>
    <w:p>
      <w:pPr>
        <w:spacing w:after="60" w:before="60"/>
      </w:pPr>
      <w:r>
        <w:t xml:space="preserve"/>
      </w:r>
    </w:p>
    <w:p>
      <w:r>
        <w:br w:type="page"/>
      </w:r>
    </w:p>
    <w:p>
      <w:pPr>
        <w:pStyle w:val="Heading1"/>
        <w:spacing w:after="160" w:before="320"/>
      </w:pPr>
      <w:r>
        <w:rPr>
          <w:rFonts w:ascii="Arial" w:cs="Arial" w:eastAsia="Arial" w:hAnsi="Arial"/>
          <w:b/>
          <w:bCs/>
          <w:color w:val="1A5276"/>
          <w:sz w:val="32"/>
          <w:szCs w:val="32"/>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5160"/>
      </w:tblGrid>
      <w:tr>
        <w:tc>
          <w:tcPr>
            <w:tcW w:type="dxa" w:w="26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8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8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51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SMS alert gap delays time-to-treatment KPIs</w:t>
            </w:r>
          </w:p>
        </w:tc>
        <w:tc>
          <w:tcPr>
            <w:tcW w:type="dxa" w:w="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Prioritize SMS gateway integration in Phase 1. Do not begin pilot go-live until SMS is validated. Include alert latency in acceptance criteria.</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Offline facilities cannot connect to central OpenELIS</w:t>
            </w:r>
          </w:p>
        </w:tc>
        <w:tc>
          <w:tcPr>
            <w:tcW w:type="dxa" w:w="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w:t>
            </w:r>
          </w:p>
        </w:tc>
        <w:tc>
          <w:tcPr>
            <w:tcW w:type="dxa" w:w="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Conduct connectivity audit in Phase 1. Provision 4G SIMs and local Docker instances for remote sites before Cohort 3 rollout.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Ministry loses disease surveillance visibility during transition</w:t>
            </w:r>
          </w:p>
        </w:tc>
        <w:tc>
          <w:tcPr>
            <w:tcW w:type="dxa" w:w="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w:t>
            </w:r>
          </w:p>
        </w:tc>
        <w:tc>
          <w:tcPr>
            <w:tcW w:type="dxa" w:w="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Activate FHIR R4 push to external DHIS2 and Superset dashboards before decommissioning Aspect at any pilot site. Validate dashboard parity during parallel run period. Aspect fully off once dashboards are validated.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Lab staff resistance to workflow change</w:t>
            </w:r>
          </w:p>
        </w:tc>
        <w:tc>
          <w:tcPr>
            <w:tcW w:type="dxa" w:w="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w:t>
            </w:r>
          </w:p>
        </w:tc>
        <w:tc>
          <w:tcPr>
            <w:tcW w:type="dxa" w:w="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Identify lab champions at each pilot site. Conduct hands-on training before go-live. Provide OpenELIS quick-reference guides in local language.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RDT data stream lost without Aspect</w:t>
            </w:r>
          </w:p>
        </w:tc>
        <w:tc>
          <w:tcPr>
            <w:tcW w:type="dxa" w:w="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w:t>
            </w:r>
          </w:p>
        </w:tc>
        <w:tc>
          <w:tcPr>
            <w:tcW w:type="dxa" w:w="5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Aspect is fully off — no hybrid. Immediately begin RDT manual entry process in OpenELIS at go-live. Start CommCare/ODK-to-FHIR scoping in Phase 1 to deliver digital RDT capture before Cohort 2 rollout.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Historical data inaccessible after GxAlert decommission</w:t>
            </w:r>
          </w:p>
        </w:tc>
        <w:tc>
          <w:tcPr>
            <w:tcW w:type="dxa" w:w="800"/>
            <w:tcBorders>
              <w:top w:val="single" w:color="CCCCCC" w:sz="1"/>
              <w:left w:val="single" w:color="CCCCCC" w:sz="1"/>
              <w:bottom w:val="single" w:color="CCCCCC" w:sz="1"/>
              <w:right w:val="single" w:color="CCCCCC" w:sz="1"/>
            </w:tcBorders>
            <w:shd w:fill="28B4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Export all historical data from GxAlert/Aspect before decommission. Import into OpenELIS central FHIR repo and/or DHIS2. No ongoing vendor access required — all data migrated.</w:t>
            </w:r>
          </w:p>
        </w:tc>
      </w:tr>
    </w:tbl>
    <w:p>
      <w:pPr>
        <w:spacing w:after="60" w:before="60"/>
      </w:pPr>
      <w:r>
        <w:t xml:space="preserve"/>
      </w:r>
    </w:p>
    <w:p>
      <w:r>
        <w:br w:type="page"/>
      </w:r>
    </w:p>
    <w:p>
      <w:pPr>
        <w:pStyle w:val="Heading1"/>
        <w:spacing w:after="160" w:before="320"/>
      </w:pPr>
      <w:r>
        <w:rPr>
          <w:rFonts w:ascii="Arial" w:cs="Arial" w:eastAsia="Arial" w:hAnsi="Arial"/>
          <w:b/>
          <w:bCs/>
          <w:color w:val="1A5276"/>
          <w:sz w:val="32"/>
          <w:szCs w:val="32"/>
        </w:rPr>
        <w:t xml:space="preserve">7. Recommended Next Steps</w:t>
      </w:r>
    </w:p>
    <w:p>
      <w:pPr>
        <w:spacing w:after="80" w:before="80"/>
      </w:pPr>
      <w:r>
        <w:rPr>
          <w:rFonts w:ascii="Arial" w:cs="Arial" w:eastAsia="Arial" w:hAnsi="Arial"/>
          <w:sz w:val="22"/>
          <w:szCs w:val="22"/>
        </w:rPr>
        <w:t xml:space="preserve">To move from this gap analysis to an active migration, the following actions are recommended immediately: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800"/>
        <w:gridCol w:w="1600"/>
      </w:tblGrid>
      <w:tr>
        <w:tc>
          <w:tcPr>
            <w:tcW w:type="dxa" w:w="6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36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8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60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Conduct site connectivity and GeneXpert device inventory audit across all facilities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IT / Field Team</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Stand up OpenELIS in a staging environment and configure GeneXpert plugin</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Configure TextIt account; scope OpenELIS FHIR R4 subscription → TextIt webhook integration; define alert rules and recipient groups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 DHIS2 version at external org; scope FHIR R4 push requirements; stand up Apache Superset connected to OpenELIS central FHIR repo</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M&amp;E / Informatics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5</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Write FRS + mockup for Disease Surveillance Dashboard module (Superset-backed); write FRS + mockup for Reagent Forecasting module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 + Design</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2–3</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6</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Begin RDT CommCare/ODK-to-FHIR scoping; define manual RDT entry workflow in OpenELIS as interim process</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Program + Technical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7</w:t>
            </w:r>
          </w:p>
        </w:tc>
        <w:tc>
          <w:tcPr>
            <w:tcW w:type="dxa" w:w="5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Create Jira epics for: TextIt integration, Superset dashboards, reagent forecasting, DHIS2 FHIR push, offline site architecture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16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Month 1–2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8</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Identify 3–5 pilot sites representing connectivity range and begin Phase 2 planning</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Program Lead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 3</w:t>
            </w:r>
          </w:p>
        </w:tc>
      </w:tr>
    </w:tbl>
    <w:p>
      <w:pPr>
        <w:spacing w:after="60" w:before="60"/>
      </w:pPr>
      <w:r>
        <w:t xml:space="preserve"/>
      </w:r>
    </w:p>
    <w:p>
      <w:pPr>
        <w:spacing w:after="60" w:before="60"/>
      </w:pPr>
      <w:r>
        <w:t xml:space="preserve"/>
      </w:r>
    </w:p>
    <w:p>
      <w:pPr>
        <w:pBdr>
          <w:bottom w:val="single" w:color="AED6F1" w:sz="6" w:space="1"/>
        </w:pBdr>
        <w:spacing w:after="120" w:before="120"/>
      </w:pPr>
      <w:r>
        <w:t xml:space="preserve"/>
      </w:r>
    </w:p>
    <w:p>
      <w:pPr>
        <w:spacing w:after="80" w:before="120"/>
        <w:jc w:val="center"/>
      </w:pPr>
      <w:r>
        <w:rPr>
          <w:rFonts w:ascii="Arial" w:cs="Arial" w:eastAsia="Arial" w:hAnsi="Arial"/>
          <w:color w:val="95A5A6"/>
          <w:sz w:val="18"/>
          <w:szCs w:val="18"/>
        </w:rPr>
        <w:t xml:space="preserve">Prepared with OpenELIS Global Design Skill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1"/>
      </w:pBdr>
    </w:pPr>
    <w:r>
      <w:rPr>
        <w:rFonts w:ascii="Arial" w:cs="Arial" w:eastAsia="Arial" w:hAnsi="Arial"/>
        <w:color w:val="5D6D7E"/>
        <w:sz w:val="18"/>
        <w:szCs w:val="18"/>
      </w:rPr>
      <w:t xml:space="preserve">Confidential — OpenELIS Global Program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1"/>
      </w:pBdr>
    </w:pPr>
    <w:r>
      <w:rPr>
        <w:rFonts w:ascii="Arial" w:cs="Arial" w:eastAsia="Arial" w:hAnsi="Arial"/>
        <w:color w:val="5D6D7E"/>
        <w:sz w:val="18"/>
        <w:szCs w:val="18"/>
      </w:rPr>
      <w:t xml:space="preserve">OpenELIS Global  |  Aspect / GxAlert Replacement — Gap Analysis &amp;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18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2026-03-23T13:33:53.529Z</dcterms:created>
  <dcterms:modified xsi:type="dcterms:W3CDTF">2026-03-23T13:33:53.529Z</dcterms:modified>
</cp:coreProperties>
</file>

<file path=docProps/custom.xml><?xml version="1.0" encoding="utf-8"?>
<Properties xmlns="http://schemas.openxmlformats.org/officeDocument/2006/custom-properties" xmlns:vt="http://schemas.openxmlformats.org/officeDocument/2006/docPropsVTypes"/>
</file>