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Contoso Sensitive Customer Records</w:t>
      </w:r>
    </w:p>
    <w:p>
      <w:pPr>
        <w:jc w:val="center"/>
      </w:pPr>
      <w:r>
        <w:rPr>
          <w:i/>
        </w:rPr>
        <w:t>Synthetic test data for Microsoft Purview Endpoint DLP</w:t>
      </w:r>
    </w:p>
    <w:p>
      <w:r>
        <w:rPr>
          <w:b/>
        </w:rPr>
        <w:t>Classification: CONFIDENTIAL – CUSTOMER DATA</w:t>
      </w:r>
    </w:p>
    <w:p>
      <w:r>
        <w:t>Controlled laboratory document for validating content-aware Endpoint DLP enforcement across USB, printing, clipboard operations, and web uploads. All records are synthetic.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Customer ID</w:t>
            </w:r>
          </w:p>
        </w:tc>
        <w:tc>
          <w:tcPr>
            <w:tcW w:type="dxa" w:w="1728"/>
          </w:tcPr>
          <w:p>
            <w:r>
              <w:t>Customer Name</w:t>
            </w:r>
          </w:p>
        </w:tc>
        <w:tc>
          <w:tcPr>
            <w:tcW w:type="dxa" w:w="1728"/>
          </w:tcPr>
          <w:p>
            <w:r>
              <w:t>Account Type</w:t>
            </w:r>
          </w:p>
        </w:tc>
        <w:tc>
          <w:tcPr>
            <w:tcW w:type="dxa" w:w="1728"/>
          </w:tcPr>
          <w:p>
            <w:r>
              <w:t>Region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CUS10002</w:t>
            </w:r>
          </w:p>
        </w:tc>
        <w:tc>
          <w:tcPr>
            <w:tcW w:type="dxa" w:w="1728"/>
          </w:tcPr>
          <w:p>
            <w:r>
              <w:t>Adventure Works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North America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CUS29201</w:t>
            </w:r>
          </w:p>
        </w:tc>
        <w:tc>
          <w:tcPr>
            <w:tcW w:type="dxa" w:w="1728"/>
          </w:tcPr>
          <w:p>
            <w:r>
              <w:t>Fabrikam Services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CUS48201</w:t>
            </w:r>
          </w:p>
        </w:tc>
        <w:tc>
          <w:tcPr>
            <w:tcW w:type="dxa" w:w="1728"/>
          </w:tcPr>
          <w:p>
            <w:r>
              <w:t>Northwind Research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Asia Pacific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CUS70801</w:t>
            </w:r>
          </w:p>
        </w:tc>
        <w:tc>
          <w:tcPr>
            <w:tcW w:type="dxa" w:w="1728"/>
          </w:tcPr>
          <w:p>
            <w:r>
              <w:t>Tailspin Systems</w:t>
            </w:r>
          </w:p>
        </w:tc>
        <w:tc>
          <w:tcPr>
            <w:tcW w:type="dxa" w:w="1728"/>
          </w:tcPr>
          <w:p>
            <w:r>
              <w:t>Enterprise</w:t>
            </w:r>
          </w:p>
        </w:tc>
        <w:tc>
          <w:tcPr>
            <w:tcW w:type="dxa" w:w="1728"/>
          </w:tcPr>
          <w:p>
            <w:r>
              <w:t>North America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  <w:tr>
        <w:tc>
          <w:tcPr>
            <w:tcW w:type="dxa" w:w="1728"/>
          </w:tcPr>
          <w:p>
            <w:r>
              <w:t>CUS87501</w:t>
            </w:r>
          </w:p>
        </w:tc>
        <w:tc>
          <w:tcPr>
            <w:tcW w:type="dxa" w:w="1728"/>
          </w:tcPr>
          <w:p>
            <w:r>
              <w:t>Alpine Technology</w:t>
            </w:r>
          </w:p>
        </w:tc>
        <w:tc>
          <w:tcPr>
            <w:tcW w:type="dxa" w:w="1728"/>
          </w:tcPr>
          <w:p>
            <w:r>
              <w:t>Business</w:t>
            </w:r>
          </w:p>
        </w:tc>
        <w:tc>
          <w:tcPr>
            <w:tcW w:type="dxa" w:w="1728"/>
          </w:tcPr>
          <w:p>
            <w:r>
              <w:t>Europe</w:t>
            </w:r>
          </w:p>
        </w:tc>
        <w:tc>
          <w:tcPr>
            <w:tcW w:type="dxa" w:w="1728"/>
          </w:tcPr>
          <w:p>
            <w:r>
              <w:t>Active</w:t>
            </w:r>
          </w:p>
        </w:tc>
      </w:tr>
    </w:tbl>
    <w:p>
      <w:r>
        <w:t>Handling requirement: Keep this document on managed corporate systems. The lab DLP policy should detect the Contoso Customer ID values and apply the configured endpoint restrictions.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