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Erosion Control and IAPS's clearing- George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focussed on initial clearing of 5 hectares of riverside frontage as part of a new developments environmental compliance requirements. Over the course of several work packages we controlled 90% of invasive species so far and have seen the regeneration of a healthy amount of indigenous plants. Low-tech erosion control measures were put in place to repair damage caused during the construction phase.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