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month-long Invasive Alien Plant clearing operation in one of Knysna’s most ecologically significant rivers. Partnered with BioWise, the project targeted dense stands of invasive riparian species, restoring open water and giving indigenous vegetation the space to recover along the Salt River corridor.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