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pStyle w:val="Heading3"/>
        <w:widowControl/>
        <w:jc w:val="left"/>
      </w:pPr>
      <w:r>
        <w:t xml:space="preserve">分析步骤</w:t>
      </w:r>
      <w:r>
        <w:rPr>
          <w:b w:val="false"/>
          <w:bCs w:val="false"/>
          <w:color w:val="000000"/>
          <w:sz w:val="18"/>
          <w:szCs w:val="18"/>
        </w:rPr>
        <w:br/>
        <w:br/>
        <w:t xml:space="preserve">1.
首先进行KMO和Bartlett的检验，判断是否可以进行主成分分析。 对于KMO值：0.8上非常合适做主成分分析，0.7-0.8之间一般适合，0.6-0.7之间不太适合，0.5-0.6之间表示差，0.5下表示极不适合，对于 Bartlett的检验（p &lt; 0.05,严格来说p &lt; 0.01），若显著性小于0.05或0.01，拒绝原假设，则说明可以做主成分分析，若不拒绝原假设，则说明这些变量可能独立提供一些信息，不适合做主成分分析;
2.
通过分析方差解释表格和碎石图，确定主成分的数量方差解释表格主要是看主成分对于变量解释的贡献率（可以理解为究竟需要多少主成分才能把变量表达为100%），如果太低（如低于60%）则需要调整主成分数据;
碎石图的作用是根据特征值下降的坡度来确认需要选择的主成分个数，这两者结合可用于确认或调整主成分个数;
3.
通过分析主成分载荷系数与热力图，可以分析到每个主成分中隐变量的重要性，如研究【多金属矿体】中25种有用元素的分布规律，其中各元素视为指标，假设前文确定得到5个主成分，主成分1中，SO、SO2、Na2S、HS、H2S主成分载荷系数较大，因此可将主成分1确定为硫化物成分，以此类推，也可结合具体业务进行各主成分的隐变量分析;
4.
基于主成分载荷图通过将多主成分降维成双主成分或者三主成分，通过象限图的方式呈现主成分的空间分布。如果提取2个主成分时，无法呈现三维载荷主成分散点图，如果提取1个主成分时，无法显示主成分象限图;
5.
通过分析成分矩阵，得出主成分成分公式与权重;
6.
输出主成分分析法综合得分。</w:t>
      </w:r>
    </w:p>
    <w:p>
      <w:pPr>
        <w:pStyle w:val="Heading3"/>
        <w:widowControl/>
      </w:pPr>
      <w:r>
        <w:t xml:space="preserve">主成分分析结果</w:t>
      </w:r>
    </w:p>
    <w:p>
      <w:pPr>
        <w:widowControl/>
        <w:spacing w:after="0" w:before="0"/>
        <w:ind w:left="720" w:right="720"/>
        <w:jc w:val="left"/>
      </w:pPr>
      <w:r>
        <w:rPr>
          <w:b/>
          <w:bCs/>
          <w:color w:val="000000"/>
          <w:sz w:val="22"/>
          <w:szCs w:val="22"/>
        </w:rPr>
        <w:br/>
        <w:t xml:space="preserve">输出结果1：KMO检验和Bartlett的检验</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4"/>
            <w:tcBorders>
              <w:top w:val="single" w:color="000000" w:sz="10"/>
              <w:left w:val="none"/>
              <w:bottom w:val="single" w:color="000000" w:sz="10"/>
              <w:right w:val="none"/>
            </w:tcBorders>
            <w:vAlign w:val="center"/>
          </w:tcPr>
          <w:p>
            <w:pPr>
              <w:pBdr>
                <w:left w:val="none"/>
                <w:right w:val="none"/>
              </w:pBdr>
              <w:jc w:val="center"/>
            </w:pPr>
            <w:r>
              <w:t xml:space="preserve">KMO检验和Bartlett的检验</w:t>
            </w:r>
          </w:p>
        </w:tc>
      </w:tr>
      <w:tr>
        <w:tc>
          <w:tcPr>
            <w:gridSpan w:val="3"/>
            <w:tcBorders>
              <w:top w:val="none" w:color="000000" w:sz="10"/>
              <w:left w:val="none"/>
              <w:bottom w:val="none" w:color="000000" w:sz="10"/>
              <w:right w:val="none"/>
            </w:tcBorders>
            <w:vAlign w:val="center"/>
          </w:tcPr>
          <w:p>
            <w:pPr>
              <w:pBdr>
                <w:left w:val="none"/>
                <w:right w:val="none"/>
              </w:pBdr>
              <w:jc w:val="center"/>
            </w:pPr>
            <w:r>
              <w:t xml:space="preserve">KMO值</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0.348</w:t>
            </w:r>
          </w:p>
        </w:tc>
      </w:tr>
      <w:tr>
        <w:tc>
          <w:tcPr>
            <w:gridSpan w:val="2"/>
            <w:vMerge w:val="restart"/>
            <w:tcBorders>
              <w:top w:val="none" w:color="000000" w:sz="10"/>
              <w:left w:val="none"/>
              <w:bottom w:val="single" w:color="000000" w:sz="10"/>
              <w:right w:val="none"/>
            </w:tcBorders>
            <w:vAlign w:val="center"/>
          </w:tcPr>
          <w:p>
            <w:pPr>
              <w:pBdr>
                <w:left w:val="none"/>
                <w:right w:val="none"/>
              </w:pBdr>
              <w:jc w:val="center"/>
            </w:pPr>
            <w:r>
              <w:t xml:space="preserve">Bartlett球形度检验</w:t>
            </w:r>
          </w:p>
        </w:tc>
        <w:tc>
          <w:tcPr>
            <w:gridSpan w:val="1"/>
            <w:tcBorders>
              <w:top w:val="none" w:color="000000" w:sz="10"/>
              <w:left w:val="none"/>
              <w:bottom w:val="none" w:color="000000" w:sz="10"/>
              <w:right w:val="none"/>
            </w:tcBorders>
            <w:vAlign w:val="center"/>
          </w:tcPr>
          <w:p>
            <w:pPr>
              <w:pBdr>
                <w:left w:val="none"/>
                <w:right w:val="none"/>
              </w:pBdr>
              <w:jc w:val="center"/>
            </w:pPr>
            <w:r>
              <w:t xml:space="preserve">近似卡方</w:t>
            </w:r>
          </w:p>
        </w:tc>
        <w:tc>
          <w:tcPr>
            <w:gridSpan w:val="1"/>
            <w:tcBorders>
              <w:top w:val="none" w:color="000000" w:sz="10"/>
              <w:left w:val="none"/>
              <w:bottom w:val="none" w:color="000000" w:sz="10"/>
              <w:right w:val="none"/>
            </w:tcBorders>
            <w:vAlign w:val="center"/>
          </w:tcPr>
          <w:p>
            <w:pPr>
              <w:pBdr>
                <w:left w:val="none"/>
                <w:right w:val="none"/>
              </w:pBdr>
              <w:jc w:val="center"/>
            </w:pPr>
            <w:r>
              <w:t xml:space="preserve">405.397</w:t>
            </w:r>
          </w:p>
        </w:tc>
      </w:tr>
      <w:tr>
        <w:tc>
          <w:tcPr>
            <w:gridSpan w:val="2"/>
            <w:vMerge w:val="continue"/>
            <w:tcBorders>
              <w:top w:val="none" w:color="000000" w:sz="10"/>
              <w:left w:val="none"/>
              <w:bottom w:val="singl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t xml:space="preserve">df</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91.000</w:t>
            </w:r>
          </w:p>
        </w:tc>
      </w:tr>
      <w:tr>
        <w:tc>
          <w:tcPr>
            <w:gridSpan w:val="2"/>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p</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0.000***</w:t>
            </w:r>
          </w:p>
        </w:tc>
      </w:tr>
      <w:tr>
        <w:tc>
          <w:tcPr>
            <w:gridSpan w:val="4"/>
            <w:tcBorders>
              <w:top w:val="none" w:color="000000" w:sz="10"/>
              <w:left w:val="none"/>
              <w:bottom w:val="none" w:color="000000" w:sz="10"/>
              <w:right w:val="none"/>
            </w:tcBorders>
            <w:vAlign w:val="center"/>
          </w:tcPr>
          <w:p>
            <w:pPr>
              <w:pBdr>
                <w:left w:val="none"/>
                <w:right w:val="none"/>
              </w:pBdr>
              <w:jc w:val="left"/>
            </w:pPr>
            <w:r>
              <w:t xml:space="preserve">注：***、**、*分别代表1%、5%、10%的显著性水平</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上表展示了KMO检验和Bartlett球形检验的结果，用来分析是否可以进行主成分分析。</w:t>
      </w:r>
      <w:r>
        <w:rPr>
          <w:b w:val="false"/>
          <w:bCs w:val="false"/>
          <w:color w:val="000000"/>
          <w:sz w:val="21"/>
          <w:szCs w:val="21"/>
        </w:rPr>
        <w:br/>
        <w:t xml:space="preserve">● 若通过KMO检验（KMO&gt;0.6），说明了题项变量之间是存在相关性的，符合主成分分析要求;</w:t>
      </w:r>
      <w:r>
        <w:rPr>
          <w:b w:val="false"/>
          <w:bCs w:val="false"/>
          <w:color w:val="000000"/>
          <w:sz w:val="21"/>
          <w:szCs w:val="21"/>
        </w:rPr>
        <w:br/>
        <w:t xml:space="preserve">● 若通过Bartlett检验：P&lt;0.01或P&lt;0.05, 呈显著性，则可以进行主成分分析。</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KMO检验的结果显示，KMO的值为0.348，同时，Bartlett球形检验的结果显示，显著性P值为0.000***，水平上呈现显著性，拒绝原假设，各变量间具有相关性，主成分分析有效，程度为极不适合。</w:t>
      </w:r>
    </w:p>
    <w:p>
      <w:pPr>
        <w:widowControl/>
        <w:spacing w:after="0" w:before="0"/>
        <w:ind w:left="720" w:right="720"/>
        <w:jc w:val="left"/>
      </w:pPr>
      <w:r>
        <w:rPr>
          <w:b/>
          <w:bCs/>
          <w:color w:val="000000"/>
          <w:sz w:val="22"/>
          <w:szCs w:val="22"/>
        </w:rPr>
        <w:br/>
        <w:t xml:space="preserve">输出结果2：方差解释表格</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tblGrid>
      <w:tr>
        <w:tc>
          <w:tcPr>
            <w:gridSpan w:val="4"/>
            <w:tcBorders>
              <w:top w:val="single" w:color="000000" w:sz="10"/>
              <w:left w:val="none"/>
              <w:bottom w:val="none" w:color="000000" w:sz="10"/>
              <w:right w:val="none"/>
            </w:tcBorders>
            <w:vAlign w:val="center"/>
          </w:tcPr>
          <w:p>
            <w:pPr>
              <w:pBdr>
                <w:left w:val="none"/>
                <w:right w:val="none"/>
              </w:pBdr>
              <w:jc w:val="center"/>
            </w:pPr>
            <w:r>
              <w:t xml:space="preserve">总方差解释</w:t>
            </w:r>
          </w:p>
        </w:tc>
      </w:tr>
      <w:tr>
        <w:tc>
          <w:tcPr>
            <w:gridSpan w:val="1"/>
            <w:vMerge w:val="restart"/>
            <w:tcBorders>
              <w:top w:val="none" w:color="000000" w:sz="10"/>
              <w:left w:val="none"/>
              <w:bottom w:val="single" w:color="000000" w:sz="10"/>
              <w:right w:val="none"/>
            </w:tcBorders>
            <w:vAlign w:val="center"/>
          </w:tcPr>
          <w:p>
            <w:pPr>
              <w:pBdr>
                <w:left w:val="none"/>
                <w:right w:val="none"/>
              </w:pBdr>
              <w:jc w:val="center"/>
            </w:pPr>
            <w:r>
              <w:t xml:space="preserve">成分</w:t>
            </w:r>
          </w:p>
        </w:tc>
        <w:tc>
          <w:tcPr>
            <w:gridSpan w:val="3"/>
            <w:tcBorders>
              <w:top w:val="none" w:color="000000" w:sz="10"/>
              <w:left w:val="none"/>
              <w:bottom w:val="none" w:color="000000" w:sz="10"/>
              <w:right w:val="none"/>
            </w:tcBorders>
            <w:vAlign w:val="center"/>
          </w:tcPr>
          <w:p>
            <w:pPr>
              <w:pBdr>
                <w:left w:val="none"/>
                <w:right w:val="none"/>
              </w:pBdr>
              <w:jc w:val="center"/>
            </w:pPr>
            <w:r>
              <w:t xml:space="preserve">特征根</w:t>
            </w:r>
          </w:p>
        </w:tc>
      </w:tr>
      <w:tr>
        <w:tc>
          <w:tcPr>
            <w:gridSpan w:val="1"/>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特征根</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方差百分比</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累积</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3.618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25.843%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25.843%</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2.946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21.042%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46.885%</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1.673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11.95%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58.835%</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1.074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7.669%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66.504%</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0.914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6.527%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73.031%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0.835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5.963%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78.994%</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0.748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5.34%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84.334%</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0.606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4.326%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88.66%</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0.557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3.98%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92.64%</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10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0.368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2.627%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95.268%</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0.355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2.534%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97.802%</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12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1.355%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99.157%</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13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0.812%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99.969%</w:t>
            </w:r>
          </w:p>
        </w:tc>
      </w:tr>
      <w:tr>
        <w:tc>
          <w:tcPr>
            <w:gridSpan w:val="1"/>
            <w:tcBorders>
              <w:top w:val="none" w:color="000000" w:sz="10"/>
              <w:left w:val="none"/>
              <w:bottom w:val="single" w:color="000000" w:sz="10"/>
              <w:right w:val="none"/>
            </w:tcBorders>
            <w:vAlign w:val="center"/>
          </w:tcPr>
          <w:p>
            <w:pPr>
              <w:pBdr>
                <w:left w:val="none"/>
                <w:right w:val="none"/>
              </w:pBdr>
              <w:jc w:val="center"/>
            </w:pPr>
            <w:r>
              <w:t xml:space="preserve">14</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0.004</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0.031%</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100.0%</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上表为总方差解释表格，主要是看主成分对于变量解释的贡献率（可以理解为究竟需要多少主成分才能把变量表达为100%），一般都要表达到90%以上才可以，否则就要调整因子数据。</w:t>
      </w:r>
      <w:r>
        <w:rPr>
          <w:b w:val="false"/>
          <w:bCs w:val="false"/>
          <w:color w:val="000000"/>
          <w:sz w:val="21"/>
          <w:szCs w:val="21"/>
        </w:rPr>
        <w:br/>
        <w:t xml:space="preserve">● 一般情况下，方差解释率越高，说明该主成分越重要，权重占比也应该越高。</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方差解释表中，在主成分5时，总方差解释的特征根低于1.0，变量解释的贡献率达到73.031%，以上仅为参考，若特征根小于1.0临界值过大，也可以集合具体情况具体分析。</w:t>
      </w:r>
    </w:p>
    <w:p>
      <w:pPr>
        <w:widowControl/>
        <w:spacing w:after="0" w:before="0"/>
        <w:ind w:left="720" w:right="720"/>
        <w:jc w:val="left"/>
      </w:pPr>
      <w:r>
        <w:rPr>
          <w:b/>
          <w:bCs/>
          <w:color w:val="000000"/>
          <w:sz w:val="22"/>
          <w:szCs w:val="22"/>
        </w:rPr>
        <w:br/>
        <w:t xml:space="preserve">输出结果3：碎石图</w:t>
      </w:r>
    </w:p>
    <w:p>
      <w:pPr>
        <w:spacing w:after="500"/>
        <w:jc w:val="center"/>
      </w:pPr>
      <w:r>
        <w:drawing>
          <wp:inline distT="0" distB="0" distL="0" distR="0">
            <wp:extent cx="4762500" cy="145207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 cstate="none"/>
                    <a:srcRect/>
                    <a:stretch>
                      <a:fillRect/>
                    </a:stretch>
                  </pic:blipFill>
                  <pic:spPr bwMode="auto">
                    <a:xfrm>
                      <a:off x="0" y="0"/>
                      <a:ext cx="4762500" cy="1452073"/>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 碎石图是根据各主成分对数据变异的解释程度绘制的图。其作用是根据特征值下降的坡度来确认需要选择的主成分个数，结合方差解释表可用于确认或调整主成分个数;</w:t>
      </w:r>
      <w:r>
        <w:rPr>
          <w:b w:val="false"/>
          <w:bCs w:val="false"/>
          <w:color w:val="000000"/>
          <w:sz w:val="21"/>
          <w:szCs w:val="21"/>
        </w:rPr>
        <w:br/>
        <w:t xml:space="preserve">● 每一个主成分为一个点，通过“坡度趋于平缓”的未知判断提取主成分的数量。</w:t>
      </w:r>
    </w:p>
    <w:p>
      <w:pPr>
        <w:widowControl/>
        <w:spacing w:after="0" w:before="0"/>
        <w:ind w:left="720" w:right="720"/>
        <w:jc w:val="left"/>
      </w:pPr>
      <w:r>
        <w:rPr>
          <w:b/>
          <w:bCs/>
          <w:color w:val="000000"/>
          <w:sz w:val="22"/>
          <w:szCs w:val="22"/>
        </w:rPr>
        <w:br/>
        <w:t xml:space="preserve">输出结果4：因子载荷系数表</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3"/>
            <w:tcBorders>
              <w:top w:val="single" w:color="000000" w:sz="10"/>
              <w:left w:val="none"/>
              <w:bottom w:val="none" w:color="000000" w:sz="10"/>
              <w:right w:val="none"/>
            </w:tcBorders>
            <w:vAlign w:val="center"/>
          </w:tcPr>
          <w:p>
            <w:pPr>
              <w:pBdr>
                <w:left w:val="none"/>
                <w:right w:val="none"/>
              </w:pBdr>
              <w:jc w:val="center"/>
            </w:pPr>
            <w:r>
              <w:t xml:space="preserve">因子载荷系数表</w:t>
            </w:r>
          </w:p>
        </w:tc>
      </w:tr>
      <w:tr>
        <w:tc>
          <w:tcPr>
            <w:gridSpan w:val="1"/>
            <w:vMerge w:val="restart"/>
            <w:tcBorders>
              <w:top w:val="none" w:color="000000" w:sz="10"/>
              <w:left w:val="none"/>
              <w:bottom w:val="single" w:color="000000" w:sz="10"/>
              <w:right w:val="none"/>
            </w:tcBorders>
            <w:vAlign w:val="center"/>
          </w:tcPr>
          <w:p>
            <w:pPr>
              <w:pBdr>
                <w:left w:val="none"/>
                <w:right w:val="none"/>
              </w:pBdr>
              <w:jc w:val="center"/>
            </w:pPr>
          </w:p>
        </w:tc>
        <w:tc>
          <w:tcPr>
            <w:gridSpan w:val="1"/>
            <w:tcBorders>
              <w:top w:val="none" w:color="000000" w:sz="10"/>
              <w:left w:val="none"/>
              <w:bottom w:val="none" w:color="000000" w:sz="10"/>
              <w:right w:val="none"/>
            </w:tcBorders>
            <w:vAlign w:val="center"/>
          </w:tcPr>
          <w:p>
            <w:pPr>
              <w:pBdr>
                <w:left w:val="none"/>
                <w:right w:val="none"/>
              </w:pBdr>
              <w:jc w:val="center"/>
            </w:pPr>
            <w:r>
              <w:t xml:space="preserve">因子载荷系数</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t xml:space="preserve">共同度（公因子方差）</w:t>
            </w:r>
          </w:p>
        </w:tc>
      </w:tr>
      <w:tr>
        <w:tc>
          <w:tcPr>
            <w:gridSpan w:val="1"/>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主成分1</w:t>
            </w:r>
          </w:p>
        </w:tc>
        <w:tc>
          <w:tcPr>
            <w:gridSpan w:val="1"/>
            <w:vMerge w:val="continue"/>
            <w:tcBorders>
              <w:top w:val="non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0.541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0.293</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-0.875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0.766</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-0.362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0.559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0.312</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0.097</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0.487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0.237</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0.566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0.321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-0.291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0.085</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0.624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0.390</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-0.359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0.129</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0.244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0.060</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-0.639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0.409</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0.563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0.317</w:t>
            </w:r>
          </w:p>
        </w:tc>
      </w:tr>
      <w:tr>
        <w:tc>
          <w:tcPr>
            <w:gridSpan w:val="1"/>
            <w:tcBorders>
              <w:top w:val="none" w:color="000000" w:sz="10"/>
              <w:left w:val="none"/>
              <w:bottom w:val="single" w:color="000000" w:sz="10"/>
              <w:right w:val="none"/>
            </w:tcBorders>
            <w:vAlign w:val="center"/>
          </w:tcPr>
          <w:p>
            <w:pPr>
              <w:pBdr>
                <w:left w:val="none"/>
                <w:right w:val="none"/>
              </w:pBdr>
              <w:jc w:val="center"/>
            </w:pPr>
            <w:r>
              <w:t xml:space="preserve">氧化铁(Fe2O3)</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-0.268</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0.072</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上表为因子载荷系数表，可以分析到每个主成分中隐变量的重要性。</w:t>
      </w:r>
      <w:r>
        <w:rPr>
          <w:b w:val="false"/>
          <w:bCs w:val="false"/>
          <w:color w:val="000000"/>
          <w:sz w:val="21"/>
          <w:szCs w:val="21"/>
        </w:rPr>
        <w:br/>
        <w:t xml:space="preserve">● 假设前文确定得到n个因子，因子 i 中a、b、c、d的因子载荷系数较大，因此可将主成分 i 进行总结重命名。</w:t>
      </w:r>
    </w:p>
    <w:p>
      <w:pPr>
        <w:widowControl/>
        <w:spacing w:after="0" w:before="0"/>
        <w:ind w:left="720" w:right="720"/>
        <w:jc w:val="left"/>
      </w:pPr>
      <w:r>
        <w:rPr>
          <w:b/>
          <w:bCs/>
          <w:color w:val="000000"/>
          <w:sz w:val="22"/>
          <w:szCs w:val="22"/>
        </w:rPr>
        <w:br/>
        <w:t xml:space="preserve">输出结果5：因子载荷矩阵热力图</w:t>
      </w:r>
    </w:p>
    <w:p>
      <w:pPr>
        <w:spacing w:after="500"/>
        <w:jc w:val="center"/>
      </w:pPr>
      <w:r>
        <w:drawing>
          <wp:inline distT="0" distB="0" distL="0" distR="0">
            <wp:extent cx="4762500" cy="264318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264318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上图为载荷矩阵热力图，可以分析到每个主成分中隐变量的重要性。同时可结合具体业务进行各因子的隐变量分析。</w:t>
      </w:r>
    </w:p>
    <w:p>
      <w:pPr>
        <w:widowControl/>
        <w:spacing w:after="0" w:before="0"/>
        <w:ind w:left="720" w:right="720"/>
        <w:jc w:val="left"/>
      </w:pPr>
      <w:r>
        <w:rPr>
          <w:b/>
          <w:bCs/>
          <w:color w:val="000000"/>
          <w:sz w:val="22"/>
          <w:szCs w:val="22"/>
        </w:rPr>
        <w:br/>
        <w:t xml:space="preserve">输出结果6：成分矩阵表</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tblGrid>
      <w:tr>
        <w:tc>
          <w:tcPr>
            <w:gridSpan w:val="3"/>
            <w:tcBorders>
              <w:top w:val="single" w:color="000000" w:sz="10"/>
              <w:left w:val="none"/>
              <w:bottom w:val="none" w:color="000000" w:sz="10"/>
              <w:right w:val="none"/>
            </w:tcBorders>
            <w:vAlign w:val="center"/>
          </w:tcPr>
          <w:p>
            <w:pPr>
              <w:pBdr>
                <w:left w:val="none"/>
                <w:right w:val="none"/>
              </w:pBdr>
              <w:jc w:val="center"/>
            </w:pPr>
            <w:r>
              <w:t xml:space="preserve">成分矩阵表</w:t>
            </w:r>
          </w:p>
        </w:tc>
      </w:tr>
      <w:tr>
        <w:tc>
          <w:tcPr>
            <w:gridSpan w:val="1"/>
            <w:vMerge w:val="restart"/>
            <w:tcBorders>
              <w:top w:val="none" w:color="000000" w:sz="10"/>
              <w:left w:val="none"/>
              <w:bottom w:val="single" w:color="000000" w:sz="10"/>
              <w:right w:val="none"/>
            </w:tcBorders>
            <w:vAlign w:val="center"/>
          </w:tcPr>
          <w:p>
            <w:pPr>
              <w:pBdr>
                <w:left w:val="none"/>
                <w:right w:val="none"/>
              </w:pBdr>
              <w:jc w:val="center"/>
            </w:pPr>
            <w:r>
              <w:t xml:space="preserve">名称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成分</w:t>
            </w:r>
          </w:p>
        </w:tc>
      </w:tr>
      <w:tr>
        <w:tc>
          <w:tcPr>
            <w:gridSpan w:val="1"/>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成分1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0.149</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-0.242</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0.154</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-0.086</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0.135</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0.157</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0.173</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-0.099</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0.068</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-0.177</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0.156</w:t>
            </w:r>
          </w:p>
        </w:tc>
      </w:tr>
      <w:tr>
        <w:tc>
          <w:tcPr>
            <w:gridSpan w:val="1"/>
            <w:tcBorders>
              <w:top w:val="none" w:color="000000" w:sz="10"/>
              <w:left w:val="none"/>
              <w:bottom w:val="single" w:color="000000" w:sz="10"/>
              <w:right w:val="none"/>
            </w:tcBorders>
            <w:vAlign w:val="center"/>
          </w:tcPr>
          <w:p>
            <w:pPr>
              <w:pBdr>
                <w:left w:val="none"/>
                <w:right w:val="none"/>
              </w:pBdr>
              <w:jc w:val="center"/>
            </w:pPr>
            <w:r>
              <w:t xml:space="preserve">氧化铁(Fe2O3)</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-0.074</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为成分矩阵表，意在说明各个成分的所包含的因子得分系数（主成分载荷），用于计算出成分得分，得出因子公式，其计算公式为：线性组合系数*（方差解释率/累积方差解释率），最后将其归一化即为因子权重得分。</w:t>
      </w:r>
      <w:r>
        <w:rPr>
          <w:b w:val="false"/>
          <w:bCs w:val="false"/>
          <w:color w:val="000000"/>
          <w:sz w:val="21"/>
          <w:szCs w:val="21"/>
        </w:rPr>
        <w:br/>
        <w:t xml:space="preserve">● 线性组合系数，公式为：因子载荷系数除以对应特征根，即成分矩阵的系数。</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模型的公式：</w:t>
      </w:r>
      <w:r>
        <w:rPr>
          <w:b w:val="false"/>
          <w:bCs w:val="false"/>
          <w:color w:val="000000"/>
          <w:sz w:val="21"/>
          <w:szCs w:val="21"/>
        </w:rPr>
        <w:br/>
        <w:t xml:space="preserve">F1=0.149×二氧化硫(SO2)-0.242×二氧化硅(SiO2)-0.1×氧化钠(Na2O)+0.154×氧化锶(SrO)-0.086×氧化锡(SnO2)+0.135×五氧化二磷(P2O5)+0.157×氧化铅(PbO)-0.08×氧化钾(K2O)+0.173×氧化钡(BaO)-0.099×氧化镁(MgO)+0.068×氧化钙(CaO)-0.177×氧化铝(Al2O3)+0.156×氧化铜(CuO)-0.074×氧化铁(Fe2O3)</w:t>
      </w:r>
      <w:r>
        <w:rPr>
          <w:b w:val="false"/>
          <w:bCs w:val="false"/>
          <w:color w:val="000000"/>
          <w:sz w:val="21"/>
          <w:szCs w:val="21"/>
        </w:rPr>
        <w:br/>
        <w:t xml:space="preserve">由上可以得到：</w:t>
      </w:r>
      <w:r>
        <w:rPr>
          <w:b w:val="false"/>
          <w:bCs w:val="false"/>
          <w:color w:val="000000"/>
          <w:sz w:val="21"/>
          <w:szCs w:val="21"/>
        </w:rPr>
        <w:br/>
        <w:t xml:space="preserve">F=F1</w:t>
      </w:r>
    </w:p>
    <w:p>
      <w:pPr>
        <w:widowControl/>
        <w:spacing w:after="0" w:before="0"/>
        <w:ind w:left="720" w:right="720"/>
        <w:jc w:val="left"/>
      </w:pPr>
      <w:r>
        <w:rPr>
          <w:b/>
          <w:bCs/>
          <w:color w:val="000000"/>
          <w:sz w:val="22"/>
          <w:szCs w:val="22"/>
        </w:rPr>
        <w:br/>
        <w:t xml:space="preserve">输出结果7：因子权重分析</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tblGrid>
      <w:tr>
        <w:tc>
          <w:tcPr>
            <w:gridSpan w:val="1"/>
            <w:tcBorders>
              <w:top w:val="single" w:color="000000" w:sz="10"/>
              <w:left w:val="none"/>
              <w:bottom w:val="single" w:color="000000" w:sz="10"/>
              <w:right w:val="none"/>
            </w:tcBorders>
            <w:vAlign w:val="center"/>
          </w:tcPr>
          <w:p>
            <w:pPr>
              <w:pBdr>
                <w:left w:val="none"/>
                <w:right w:val="none"/>
              </w:pBdr>
              <w:jc w:val="center"/>
            </w:pPr>
            <w:r>
              <w:t xml:space="preserve">名称</w:t>
            </w:r>
          </w:p>
        </w:tc>
        <w:tc>
          <w:tcPr>
            <w:gridSpan w:val="1"/>
            <w:tcBorders>
              <w:top w:val="single" w:color="000000" w:sz="10"/>
              <w:left w:val="none"/>
              <w:bottom w:val="single" w:color="000000" w:sz="10"/>
              <w:right w:val="none"/>
            </w:tcBorders>
            <w:vAlign w:val="center"/>
          </w:tcPr>
          <w:p>
            <w:pPr>
              <w:pBdr>
                <w:left w:val="none"/>
                <w:right w:val="none"/>
              </w:pBdr>
              <w:jc w:val="center"/>
            </w:pPr>
            <w:r>
              <w:t xml:space="preserve">方差解释率</w:t>
            </w:r>
          </w:p>
        </w:tc>
        <w:tc>
          <w:tcPr>
            <w:gridSpan w:val="1"/>
            <w:tcBorders>
              <w:top w:val="single" w:color="000000" w:sz="10"/>
              <w:left w:val="none"/>
              <w:bottom w:val="single" w:color="000000" w:sz="10"/>
              <w:right w:val="none"/>
            </w:tcBorders>
            <w:vAlign w:val="center"/>
          </w:tcPr>
          <w:p>
            <w:pPr>
              <w:pBdr>
                <w:left w:val="none"/>
                <w:right w:val="none"/>
              </w:pBdr>
              <w:jc w:val="center"/>
            </w:pPr>
            <w:r>
              <w:t xml:space="preserve">累计方差解释率</w:t>
            </w:r>
          </w:p>
        </w:tc>
        <w:tc>
          <w:tcPr>
            <w:gridSpan w:val="1"/>
            <w:tcBorders>
              <w:top w:val="single" w:color="000000" w:sz="10"/>
              <w:left w:val="none"/>
              <w:bottom w:val="single" w:color="000000" w:sz="10"/>
              <w:right w:val="none"/>
            </w:tcBorders>
            <w:vAlign w:val="center"/>
          </w:tcPr>
          <w:p>
            <w:pPr>
              <w:pBdr>
                <w:left w:val="none"/>
                <w:right w:val="none"/>
              </w:pBdr>
              <w:jc w:val="center"/>
            </w:pPr>
            <w:r>
              <w:t xml:space="preserve">权重</w:t>
            </w:r>
          </w:p>
        </w:tc>
      </w:tr>
      <w:tr>
        <w:tc>
          <w:tcPr>
            <w:gridSpan w:val="1"/>
            <w:tcBorders>
              <w:top w:val="none" w:color="000000" w:sz="10"/>
              <w:left w:val="none"/>
              <w:bottom w:val="single" w:color="000000" w:sz="10"/>
              <w:right w:val="none"/>
            </w:tcBorders>
            <w:vAlign w:val="center"/>
          </w:tcPr>
          <w:p>
            <w:pPr>
              <w:pBdr>
                <w:left w:val="none"/>
                <w:right w:val="none"/>
              </w:pBdr>
              <w:jc w:val="center"/>
            </w:pPr>
            <w:r>
              <w:t xml:space="preserve">主成分1</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3.618015746062474</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25.843%</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100%</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上表为主成分分析的根据载荷系数等信息所做的主成分权重分析，其计算公式为：方差解释率/旋转后累积方差解释率。</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主成分分析的权重计算结果显示，主成分1的权重为100%、</w:t>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7"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7"/>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bmwzgzwforhcwchgeztao.png"/><Relationship Id="rId6" Type="http://schemas.openxmlformats.org/officeDocument/2006/relationships/image" Target="media/wjjrv9nyynvvj90cwcjf8.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2022-09-17T08:09:15.043Z</dcterms:created>
  <dcterms:modified xsi:type="dcterms:W3CDTF">2022-09-17T08:09:15.043Z</dcterms:modified>
</cp:coreProperties>
</file>

<file path=docProps/custom.xml><?xml version="1.0" encoding="utf-8"?>
<Properties xmlns="http://schemas.openxmlformats.org/officeDocument/2006/custom-properties" xmlns:vt="http://schemas.openxmlformats.org/officeDocument/2006/docPropsVTypes"/>
</file>