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首先进行KMO和Bartlett的检验，判断是否可以进行主成分分析。 对于KMO值：0.8上非常合适做主成分分析，0.7-0.8之间一般适合，0.6-0.7之间不太适合，0.5-0.6之间表示差，0.5下表示极不适合，对于 Bartlett的检验（p &lt; 0.05,严格来说p &lt; 0.01），若显著性小于0.05或0.01，拒绝原假设，则说明可以做主成分分析，若不拒绝原假设，则说明这些变量可能独立提供一些信息，不适合做主成分分析;
2.
通过分析方差解释表格和碎石图，确定主成分的数量方差解释表格主要是看主成分对于变量解释的贡献率（可以理解为究竟需要多少主成分才能把变量表达为100%），如果太低（如低于60%）则需要调整主成分数据;
碎石图的作用是根据特征值下降的坡度来确认需要选择的主成分个数，这两者结合可用于确认或调整主成分个数;
3.
通过分析主成分载荷系数与热力图，可以分析到每个主成分中隐变量的重要性，如研究【多金属矿体】中25种有用元素的分布规律，其中各元素视为指标，假设前文确定得到5个主成分，主成分1中，SO、SO2、Na2S、HS、H2S主成分载荷系数较大，因此可将主成分1确定为硫化物成分，以此类推，也可结合具体业务进行各主成分的隐变量分析;
4.
基于主成分载荷图通过将多主成分降维成双主成分或者三主成分，通过象限图的方式呈现主成分的空间分布。如果提取2个主成分时，无法呈现三维载荷主成分散点图，如果提取1个主成分时，无法显示主成分象限图;
5.
通过分析成分矩阵，得出主成分成分公式与权重;
6.
输出主成分分析法综合得分。</w:t>
      </w:r>
    </w:p>
    <w:p>
      <w:pPr>
        <w:pStyle w:val="Heading3"/>
        <w:widowControl/>
      </w:pPr>
      <w:r>
        <w:t xml:space="preserve">主成分分析结果</w:t>
      </w:r>
    </w:p>
    <w:p>
      <w:pPr>
        <w:widowControl/>
        <w:spacing w:after="0" w:before="0"/>
        <w:ind w:left="720" w:right="720"/>
        <w:jc w:val="left"/>
      </w:pPr>
      <w:r>
        <w:rPr>
          <w:b/>
          <w:bCs/>
          <w:color w:val="000000"/>
          <w:sz w:val="22"/>
          <w:szCs w:val="22"/>
        </w:rPr>
        <w:br/>
        <w:t xml:space="preserve">输出结果1：KMO检验和Bartlett的检验</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4"/>
            <w:tcBorders>
              <w:top w:val="single" w:color="000000" w:sz="10"/>
              <w:left w:val="none"/>
              <w:bottom w:val="single" w:color="000000" w:sz="10"/>
              <w:right w:val="none"/>
            </w:tcBorders>
            <w:vAlign w:val="center"/>
          </w:tcPr>
          <w:p>
            <w:pPr>
              <w:pBdr>
                <w:left w:val="none"/>
                <w:right w:val="none"/>
              </w:pBdr>
              <w:jc w:val="center"/>
            </w:pPr>
            <w:r>
              <w:t xml:space="preserve">KMO检验和Bartlett的检验</w:t>
            </w:r>
          </w:p>
        </w:tc>
      </w:tr>
      <w:tr>
        <w:tc>
          <w:tcPr>
            <w:gridSpan w:val="3"/>
            <w:tcBorders>
              <w:top w:val="none" w:color="000000" w:sz="10"/>
              <w:left w:val="none"/>
              <w:bottom w:val="none" w:color="000000" w:sz="10"/>
              <w:right w:val="none"/>
            </w:tcBorders>
            <w:vAlign w:val="center"/>
          </w:tcPr>
          <w:p>
            <w:pPr>
              <w:pBdr>
                <w:left w:val="none"/>
                <w:right w:val="none"/>
              </w:pBdr>
              <w:jc w:val="center"/>
            </w:pPr>
            <w:r>
              <w:t xml:space="preserve">KMO值</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0.382</w:t>
            </w:r>
          </w:p>
        </w:tc>
      </w:tr>
      <w:tr>
        <w:tc>
          <w:tcPr>
            <w:gridSpan w:val="2"/>
            <w:vMerge w:val="restart"/>
            <w:tcBorders>
              <w:top w:val="none" w:color="000000" w:sz="10"/>
              <w:left w:val="none"/>
              <w:bottom w:val="single" w:color="000000" w:sz="10"/>
              <w:right w:val="none"/>
            </w:tcBorders>
            <w:vAlign w:val="center"/>
          </w:tcPr>
          <w:p>
            <w:pPr>
              <w:pBdr>
                <w:left w:val="none"/>
                <w:right w:val="none"/>
              </w:pBdr>
              <w:jc w:val="center"/>
            </w:pPr>
            <w:r>
              <w:t xml:space="preserve">Bartlett球形度检验</w:t>
            </w:r>
          </w:p>
        </w:tc>
        <w:tc>
          <w:tcPr>
            <w:gridSpan w:val="1"/>
            <w:tcBorders>
              <w:top w:val="none" w:color="000000" w:sz="10"/>
              <w:left w:val="none"/>
              <w:bottom w:val="none" w:color="000000" w:sz="10"/>
              <w:right w:val="none"/>
            </w:tcBorders>
            <w:vAlign w:val="center"/>
          </w:tcPr>
          <w:p>
            <w:pPr>
              <w:pBdr>
                <w:left w:val="none"/>
                <w:right w:val="none"/>
              </w:pBdr>
              <w:jc w:val="center"/>
            </w:pPr>
            <w:r>
              <w:t xml:space="preserve">近似卡方</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301.822</w:t>
            </w:r>
          </w:p>
        </w:tc>
      </w:tr>
      <w:tr>
        <w:tc>
          <w:tcPr>
            <w:gridSpan w:val="2"/>
            <w:vMerge w:val="continue"/>
            <w:tcBorders>
              <w:top w:val="none" w:color="000000" w:sz="10"/>
              <w:left w:val="none"/>
              <w:bottom w:val="singl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t xml:space="preserve">df</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91.000</w:t>
            </w:r>
          </w:p>
        </w:tc>
      </w:tr>
      <w:tr>
        <w:tc>
          <w:tcPr>
            <w:gridSpan w:val="2"/>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p</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0.000***</w:t>
            </w:r>
          </w:p>
        </w:tc>
      </w:tr>
      <w:tr>
        <w:tc>
          <w:tcPr>
            <w:gridSpan w:val="4"/>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上表展示了KMO检验和Bartlett球形检验的结果，用来分析是否可以进行主成分分析。</w:t>
      </w:r>
      <w:r>
        <w:rPr>
          <w:b w:val="false"/>
          <w:bCs w:val="false"/>
          <w:color w:val="000000"/>
          <w:sz w:val="21"/>
          <w:szCs w:val="21"/>
        </w:rPr>
        <w:br/>
        <w:t xml:space="preserve">● 若通过KMO检验（KMO&gt;0.6），说明了题项变量之间是存在相关性的，符合主成分分析要求;</w:t>
      </w:r>
      <w:r>
        <w:rPr>
          <w:b w:val="false"/>
          <w:bCs w:val="false"/>
          <w:color w:val="000000"/>
          <w:sz w:val="21"/>
          <w:szCs w:val="21"/>
        </w:rPr>
        <w:br/>
        <w:t xml:space="preserve">● 若通过Bartlett检验：P&lt;0.01或P&lt;0.05, 呈显著性，则可以进行主成分分析。</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KMO检验的结果显示，KMO的值为0.382，同时，Bartlett球形检验的结果显示，显著性P值为0.000***，水平上呈现显著性，拒绝原假设，各变量间具有相关性，主成分分析有效，程度为极不适合。</w:t>
      </w:r>
    </w:p>
    <w:p>
      <w:pPr>
        <w:widowControl/>
        <w:spacing w:after="0" w:before="0"/>
        <w:ind w:left="720" w:right="720"/>
        <w:jc w:val="left"/>
      </w:pPr>
      <w:r>
        <w:rPr>
          <w:b/>
          <w:bCs/>
          <w:color w:val="000000"/>
          <w:sz w:val="22"/>
          <w:szCs w:val="22"/>
        </w:rPr>
        <w:br/>
        <w:t xml:space="preserve">输出结果2：方差解释表格</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4"/>
            <w:tcBorders>
              <w:top w:val="single" w:color="000000" w:sz="10"/>
              <w:left w:val="none"/>
              <w:bottom w:val="none" w:color="000000" w:sz="10"/>
              <w:right w:val="none"/>
            </w:tcBorders>
            <w:vAlign w:val="center"/>
          </w:tcPr>
          <w:p>
            <w:pPr>
              <w:pBdr>
                <w:left w:val="none"/>
                <w:right w:val="none"/>
              </w:pBdr>
              <w:jc w:val="center"/>
            </w:pPr>
            <w:r>
              <w:t xml:space="preserve">总方差解释</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成分</w:t>
            </w:r>
          </w:p>
        </w:tc>
        <w:tc>
          <w:tcPr>
            <w:gridSpan w:val="3"/>
            <w:tcBorders>
              <w:top w:val="none" w:color="000000" w:sz="10"/>
              <w:left w:val="none"/>
              <w:bottom w:val="none" w:color="000000" w:sz="10"/>
              <w:right w:val="none"/>
            </w:tcBorders>
            <w:vAlign w:val="center"/>
          </w:tcPr>
          <w:p>
            <w:pPr>
              <w:pBdr>
                <w:left w:val="none"/>
                <w:right w:val="none"/>
              </w:pBdr>
              <w:jc w:val="center"/>
            </w:pPr>
            <w:r>
              <w:t xml:space="preserve">特征根</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特征根</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方差百分比</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累积</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5.642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40.298%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40.298%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2.627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18.766%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59.064%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1.749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71.553%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1.631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11.651%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83.205%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0.960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6.854%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90.059%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0.663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4.734%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94.793%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2.227%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97.02%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98.451%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99.272%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99.742%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99.884%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99.958%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99.998%</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14</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0.000</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0.002%</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100.0%</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上表为总方差解释表格，主要是看主成分对于变量解释的贡献率（可以理解为究竟需要多少主成分才能把变量表达为100%），一般都要表达到90%以上才可以，否则就要调整因子数据。</w:t>
      </w:r>
      <w:r>
        <w:rPr>
          <w:b w:val="false"/>
          <w:bCs w:val="false"/>
          <w:color w:val="000000"/>
          <w:sz w:val="21"/>
          <w:szCs w:val="21"/>
        </w:rPr>
        <w:br/>
        <w:t xml:space="preserve">● 一般情况下，方差解释率越高，说明该主成分越重要，权重占比也应该越高。</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方差解释表中，在主成分5时，总方差解释的特征根低于1.0，变量解释的贡献率达到90.059%，以上仅为参考，若特征根小于1.0临界值过大，也可以集合具体情况具体分析。</w:t>
      </w:r>
    </w:p>
    <w:p>
      <w:pPr>
        <w:widowControl/>
        <w:spacing w:after="0" w:before="0"/>
        <w:ind w:left="720" w:right="720"/>
        <w:jc w:val="left"/>
      </w:pPr>
      <w:r>
        <w:rPr>
          <w:b/>
          <w:bCs/>
          <w:color w:val="000000"/>
          <w:sz w:val="22"/>
          <w:szCs w:val="22"/>
        </w:rPr>
        <w:br/>
        <w:t xml:space="preserve">输出结果3：碎石图</w:t>
      </w:r>
    </w:p>
    <w:p>
      <w:pPr>
        <w:spacing w:after="500"/>
        <w:jc w:val="center"/>
      </w:pPr>
      <w:r>
        <w:drawing>
          <wp:inline distT="0" distB="0" distL="0" distR="0">
            <wp:extent cx="4762500" cy="145207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1452073"/>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 碎石图是根据各主成分对数据变异的解释程度绘制的图。其作用是根据特征值下降的坡度来确认需要选择的主成分个数，结合方差解释表可用于确认或调整主成分个数;</w:t>
      </w:r>
      <w:r>
        <w:rPr>
          <w:b w:val="false"/>
          <w:bCs w:val="false"/>
          <w:color w:val="000000"/>
          <w:sz w:val="21"/>
          <w:szCs w:val="21"/>
        </w:rPr>
        <w:br/>
        <w:t xml:space="preserve">● 每一个主成分为一个点，通过“坡度趋于平缓”的未知判断提取主成分的数量。</w:t>
      </w:r>
    </w:p>
    <w:p>
      <w:pPr>
        <w:widowControl/>
        <w:spacing w:after="0" w:before="0"/>
        <w:ind w:left="720" w:right="720"/>
        <w:jc w:val="left"/>
      </w:pPr>
      <w:r>
        <w:rPr>
          <w:b/>
          <w:bCs/>
          <w:color w:val="000000"/>
          <w:sz w:val="22"/>
          <w:szCs w:val="22"/>
        </w:rPr>
        <w:br/>
        <w:t xml:space="preserve">输出结果4：因子载荷系数表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3"/>
            <w:tcBorders>
              <w:top w:val="single" w:color="000000" w:sz="10"/>
              <w:left w:val="none"/>
              <w:bottom w:val="none" w:color="000000" w:sz="10"/>
              <w:right w:val="none"/>
            </w:tcBorders>
            <w:vAlign w:val="center"/>
          </w:tcPr>
          <w:p>
            <w:pPr>
              <w:pBdr>
                <w:left w:val="none"/>
                <w:right w:val="none"/>
              </w:pBdr>
              <w:jc w:val="center"/>
            </w:pPr>
            <w:r>
              <w:t xml:space="preserve">因子载荷系数表</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p>
        </w:tc>
        <w:tc>
          <w:tcPr>
            <w:gridSpan w:val="1"/>
            <w:tcBorders>
              <w:top w:val="none" w:color="000000" w:sz="10"/>
              <w:left w:val="none"/>
              <w:bottom w:val="none" w:color="000000" w:sz="10"/>
              <w:right w:val="none"/>
            </w:tcBorders>
            <w:vAlign w:val="center"/>
          </w:tcPr>
          <w:p>
            <w:pPr>
              <w:pBdr>
                <w:left w:val="none"/>
                <w:right w:val="none"/>
              </w:pBdr>
              <w:jc w:val="center"/>
            </w:pPr>
            <w:r>
              <w:t xml:space="preserve">因子载荷系数</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共同度（公因子方差）</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主成分1</w:t>
            </w: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0.892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0.700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0.490</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0.674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0.648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0.420</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0.301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0.889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0.791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0.544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0.513</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0.655</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0.428</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上表为因子载荷系数表，可以分析到每个主成分中隐变量的重要性。</w:t>
      </w:r>
      <w:r>
        <w:rPr>
          <w:b w:val="false"/>
          <w:bCs w:val="false"/>
          <w:color w:val="000000"/>
          <w:sz w:val="21"/>
          <w:szCs w:val="21"/>
        </w:rPr>
        <w:br/>
        <w:t xml:space="preserve">● 假设前文确定得到n个因子，因子 i 中a、b、c、d的因子载荷系数较大，因此可将主成分 i 进行总结重命名。</w:t>
      </w:r>
    </w:p>
    <w:p>
      <w:pPr>
        <w:widowControl/>
        <w:spacing w:after="0" w:before="0"/>
        <w:ind w:left="720" w:right="720"/>
        <w:jc w:val="left"/>
      </w:pPr>
      <w:r>
        <w:rPr>
          <w:b/>
          <w:bCs/>
          <w:color w:val="000000"/>
          <w:sz w:val="22"/>
          <w:szCs w:val="22"/>
        </w:rPr>
        <w:br/>
        <w:t xml:space="preserve">输出结果5：因子载荷矩阵热力图</w:t>
      </w:r>
    </w:p>
    <w:p>
      <w:pPr>
        <w:spacing w:after="500"/>
        <w:jc w:val="center"/>
      </w:pPr>
      <w:r>
        <w:drawing>
          <wp:inline distT="0" distB="0" distL="0" distR="0">
            <wp:extent cx="4762500" cy="264318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64318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上图为载荷矩阵热力图，可以分析到每个主成分中隐变量的重要性。同时可结合具体业务进行各因子的隐变量分析。</w:t>
      </w:r>
    </w:p>
    <w:p>
      <w:pPr>
        <w:widowControl/>
        <w:spacing w:after="0" w:before="0"/>
        <w:ind w:left="720" w:right="720"/>
        <w:jc w:val="left"/>
      </w:pPr>
      <w:r>
        <w:rPr>
          <w:b/>
          <w:bCs/>
          <w:color w:val="000000"/>
          <w:sz w:val="22"/>
          <w:szCs w:val="22"/>
        </w:rPr>
        <w:br/>
        <w:t xml:space="preserve">输出结果6：成分矩阵表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tblGrid>
      <w:tr>
        <w:tc>
          <w:tcPr>
            <w:gridSpan w:val="3"/>
            <w:tcBorders>
              <w:top w:val="single" w:color="000000" w:sz="10"/>
              <w:left w:val="none"/>
              <w:bottom w:val="none" w:color="000000" w:sz="10"/>
              <w:right w:val="none"/>
            </w:tcBorders>
            <w:vAlign w:val="center"/>
          </w:tcPr>
          <w:p>
            <w:pPr>
              <w:pBdr>
                <w:left w:val="none"/>
                <w:right w:val="none"/>
              </w:pBdr>
              <w:jc w:val="center"/>
            </w:pPr>
            <w:r>
              <w:t xml:space="preserve">成分矩阵表</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名称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成分</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成分1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-0.016</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0.146</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0.127</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0.116</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成分矩阵表，意在说明各个成分的所包含的因子得分系数（主成分载荷），用于计算出成分得分，得出因子公式，其计算公式为：线性组合系数*（方差解释率/累积方差解释率），最后将其归一化即为因子权重得分。</w:t>
      </w:r>
      <w:r>
        <w:rPr>
          <w:b w:val="false"/>
          <w:bCs w:val="false"/>
          <w:color w:val="000000"/>
          <w:sz w:val="21"/>
          <w:szCs w:val="21"/>
        </w:rPr>
        <w:br/>
        <w:t xml:space="preserve">● 线性组合系数，公式为：因子载荷系数除以对应特征根，即成分矩阵的系数。</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模型的公式：</w:t>
      </w:r>
      <w:r>
        <w:rPr>
          <w:b w:val="false"/>
          <w:bCs w:val="false"/>
          <w:color w:val="000000"/>
          <w:sz w:val="21"/>
          <w:szCs w:val="21"/>
        </w:rPr>
        <w:br/>
        <w:t xml:space="preserve">F1=-0.167×二氧化硅(SiO2)-0.016×氧化锡(SnO2)+0.041×氧化钠(Na2O)+0.051×二氧化硫(SO2)+0.09×氧化铜(CuO)+0.124×氧化锶(SrO)+0.146×氧化铁(Fe2O3)+0.115×五氧化二磷(P2O5)+0.077×氧化铅(PbO)+0.097×氧化钡(BaO)+0.158×氧化铝(Al2O3)+0.131×氧化镁(MgO)+0.127×氧化钾(K2O)+0.116×氧化钙(CaO)</w:t>
      </w:r>
      <w:r>
        <w:rPr>
          <w:b w:val="false"/>
          <w:bCs w:val="false"/>
          <w:color w:val="000000"/>
          <w:sz w:val="21"/>
          <w:szCs w:val="21"/>
        </w:rPr>
        <w:br/>
        <w:t xml:space="preserve">由上可以得到：</w:t>
      </w:r>
      <w:r>
        <w:rPr>
          <w:b w:val="false"/>
          <w:bCs w:val="false"/>
          <w:color w:val="000000"/>
          <w:sz w:val="21"/>
          <w:szCs w:val="21"/>
        </w:rPr>
        <w:br/>
        <w:t xml:space="preserve">F=F1</w:t>
      </w:r>
    </w:p>
    <w:p>
      <w:pPr>
        <w:widowControl/>
        <w:spacing w:after="0" w:before="0"/>
        <w:ind w:left="720" w:right="720"/>
        <w:jc w:val="left"/>
      </w:pPr>
      <w:r>
        <w:rPr>
          <w:b/>
          <w:bCs/>
          <w:color w:val="000000"/>
          <w:sz w:val="22"/>
          <w:szCs w:val="22"/>
        </w:rPr>
        <w:br/>
        <w:t xml:space="preserve">输出结果7：因子权重分析</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t xml:space="preserve">名称</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方差解释率</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累计方差解释率</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权重</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主成分1</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5.641694964315169</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40.298%</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100%</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上表为主成分分析的根据载荷系数等信息所做的主成分权重分析，其计算公式为：方差解释率/旋转后累积方差解释率。</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主成分分析的权重计算结果显示，主成分1的权重为100%、</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esnk5us4felagpgd5bhun.png"/><Relationship Id="rId6" Type="http://schemas.openxmlformats.org/officeDocument/2006/relationships/image" Target="media/etgmwlqedg2-u5-qim75o.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2022-09-17T08:10:02.911Z</dcterms:created>
  <dcterms:modified xsi:type="dcterms:W3CDTF">2022-09-17T08:10:02.911Z</dcterms:modified>
</cp:coreProperties>
</file>

<file path=docProps/custom.xml><?xml version="1.0" encoding="utf-8"?>
<Properties xmlns="http://schemas.openxmlformats.org/officeDocument/2006/custom-properties" xmlns:vt="http://schemas.openxmlformats.org/officeDocument/2006/docPropsVTypes"/>
</file>