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首先对样本进行频数统计，验证性因子分析要求总样本数据（行数）最少是全部题目（列数）的5倍以上，最好10倍以上，且一般情况下至少需要200个样本;
2.
因子载荷系数对因子内测量变量进行筛选，一般来说，测量变量通过显著性检验（𝑝 &lt; 0.05或0.01），并且标准化载荷系数值大于0.7，可表明测量变量符合因子要求，条件差距太大可以考虑删除变量;
3.
根据平均公因子方差抽取量（AVE）与组合信度（CR）结果可以分析因子内的测量指标的提取度，一般来说AVE要求高于0.5，且越接近1代表测量指标提取程度越高，CR要求高于0.7;
4.
因子间利用Pearson相关系数和AVE平方根值，研究区分效度;
5.
根据模型拟合指标对模型的构建进行，可以适当选择一些指标进行评价，若所有指标均不满足，可以考虑根据2，3对因子的测量指标进行删除或者重构;
6.
根据因子之间两两配对的协方差分析表，可通过标准系数分析因子与因子之间的关联性;
7.
对分析进行总结。</w:t>
      </w:r>
    </w:p>
    <w:p>
      <w:pPr>
        <w:pStyle w:val="Heading3"/>
        <w:widowControl/>
      </w:pPr>
      <w:r>
        <w:t xml:space="preserve">验证性因子分析结果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输出结果1：因子基本汇总表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汇总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分析样本量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上表展示了样本频数的统计情况，包括样本中各个因子的字段频数、总计、总样本频数。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CFA分析要求总样本数据最少要是因子内个别量表的5倍以上，且一般情况下至少需要200个样本。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本数据集共有因子数量4个，变量数9个，样本数47不满足验证性因子分析基本数据要求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输出结果2：因子载荷系数表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标准化载荷系数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S.E.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
氧化钾(K2O)
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0.19
0.175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0.91
0.505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10.388
3.866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0.018
0.045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0.000***
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
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0.718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0.671
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2.974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0.003***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
氧化铜(CuO)
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
15.277
3.152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0.713
0.873
0.273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4.214
1.7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3.626
1.854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
0.000***
0.089*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上表展为模型的因子载荷系数表格，包括潜变量、分析项、非标准载荷系数、𝑧检验结果等。测量关系时第一项会被作为参照项，因此不会呈现p 值等统计量。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因子载荷系数对因子内测量变量进行筛选，一般来说，测量变量通过显著性检验（𝑝 &lt; 0.05或0.01），且标准化载荷系数值大于0.6，可表明测量变量符合因子要求，条件差距太大可以考虑删除变量;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如果测量关系良好，通常来说，标准化载荷系数值基本上均会大于0.6。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由因子载荷系数表可知：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因子（因子1）的测量项（F3（0.000***））水平上呈现显著性，则拒绝原假设，同时其标准载荷系数均大于0.6，可以认为其有足够的方差解释率表现各变量能在同一因子上展现。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因子（因子2）的测量项（F7（0.003***））水平上呈现显著性，则拒绝原假设，同时其标准载荷系数均大于0.6，可以认为其有足够的方差解释率表现各变量能在同一因子上展现。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因子（因子3）的测量项（F10（0.000***））水平上呈现显著性，则拒绝原假设，同时其标准载荷系数均大于0.6，可以认为其有足够的方差解释率表现各变量能在同一因子上展现。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因子（因子4）的验证性分析可以得到，该因子内变量组成的主成分解释层度较低，请重新检查题目设计或节点变量的组成。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输出结果3：模型评价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平均方差萃取AVE值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组合信度CR值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0.244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上表展示了模型AVE和CR指标结果，根据平均公因子方差抽取量（AVE）与组合信度（CR）结果可以用于表示因子内对变量的聚合效度。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一般来说AVE高于0.5或CR高于0.7表明聚合效度较高，只需要看其中一个即可;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AVE（平均提取方差值）：是统计学中检验结构变量内部一致性的统计量;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CR（Construct Reliability）：结构信度，反映了每个潜变量中所有题目是否一致性地解释该潜变量，当该值高于0.70时表示该潜变量具有较好的建构信度。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模型AVE和CR的检验结果显示：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基于因子1，平均方差抽取量（AVE）的值为 0.917，大于 0.5，组合信度CR值为0.95，大于0.7，说明因子内的测量指标提取度优秀。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基于因子2，平均方差抽取量（AVE）的值为 0.553，大于 0.5，组合信度CR值为0.707，大于0.7，说明因子内的测量指标提取度优秀。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基于因子3，平均方差抽取量（AVE）的值为 0.552，大于 0.5，组合信度CR值为0.656，小于0.7，说明因子内的测量指标提取度较好。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基于因子4，平均方差抽取量（AVE）的值为 0.244，小于 0.5，组合信度CR值为0.244，小于0.7，说明因子内的测量指标提取度较差。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输出结果4：Pearson相关与AVE平方根值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5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区分效度：Pearson相关与AVE根值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0.494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 斜对角线数字为该因子AVE的根号值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上表展示了因子间Pearson相关分析与AVE平方根值的结果。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上表是根据因子之间的均值做相关性检验，用于研究因子的区分效度是否表现较优秀;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斜对角线是平均方差抽取量的平方根，用于表明因子内部的相关性强度;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若因子的平均方差抽取量（AVE）的平方根大于其他因子的Pearson相关系数值，则说明其具有较为优秀的区分效度。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输出结果5：模型拟合指标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常用指标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卡方自由度比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RMSEA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RMR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NFI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NNFI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判断标准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&lt;0.05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&gt;0.9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0.888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上表展示了模型的拟合指标，可以适当选择一些指标进行评价，若所有指标均不满足，可以考虑根据2，3对因子的测量指标进行删除或者重构。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常用指标包括卡方自由度比，GFI、RMSEA、RMR、CFI、NFI和NNFI。其它的一些指标通常使用较少，可结合实际情况进行选择使用即可;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卡方和自由df度主要用于比较多个模型，卡方值越小越好，自由度反映了模型的复杂程度，模型越简单，自由度越多，反之，模型越复杂，自由度越少;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GFI（拟合优度指数）：主要是运用判定系数和回归标准差，检验模型对样本观测值的拟合程度。其值在0-1之间，愈接近0表示拟合愈差。CFI≥0.9，认为模型拟合较好;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RMSEA（近似误差均方根）：一般情况下，RMSEA在0.1以下（越小越好）;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RMR（均方根残差）：该指标通过测量预测相关和实际观察相关的平均残差，衡量模型的拟合程度。如果RMR＜0.1，则认为模型拟合较好;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CFI（比较拟合指数）：该指数在对假设模型和独立模型比较时，其值在0-1之间，越接近0表示拟合越差，越接近1表示拟合越好。一般情况，CFI≥0.9，认为模型拟合较好;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NNFI（非规范拟合系数）和CFI(比较拟合指数) ：其值越大越好，所拟合的模型表现较好。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输出结果6：因子协方差表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因子A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因子B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非标准估计系数（Coef.）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标准误（Std.Error）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标准估计系数（Std.Estimate）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0.048**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因子4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-1.679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0.093*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-0.597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上表展示了因子协方差分析的结果，包括非标准系数、标准误、Z检验值、显著性P值、标准系数。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根据因子之间两两配对的协方差分析表，可通过标准系数分析因子与因子之间的关联性;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两两之间的标准系数值，一般情况下越接近1，说明因子之间具有较强的关联性。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协方差分析的结果显示：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因子1与因子2标准估计系数为-0.232，呈现不显著的关联性。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因子1与因子3标准估计系数为0.603，呈现较强的关联性。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因子1与因子4标准估计系数为0.022，呈现不显著的关联性。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因子2与因子3标准估计系数为-0.288，呈现不显著的关联性。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因子2与因子4标准估计系数为0.844，呈现较强的关联性。</w:t>
      </w:r>
      <w:r>
        <w:rPr>
          <w:b w:val="false"/>
          <w:bCs w:val="false"/>
          <w:color w:val="000000"/>
          <w:sz w:val="21"/>
          <w:szCs w:val="21"/>
        </w:rPr>
        <w:br/>
        <w:t xml:space="preserve">因子3与因子4标准估计系数为-0.597，呈现不显著的关联性。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2022-09-18T05:18:22.131Z</dcterms:created>
  <dcterms:modified xsi:type="dcterms:W3CDTF">2022-09-18T05:18:22.131Z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