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section-1"/>
      <w:pPr>
        <w:pStyle w:val="Heading1"/>
        <w:spacing w:lineRule="auto" w:line="313" w:after="300"/>
        <w:jc w:val="center"/>
      </w:pPr>
      <w:r>
        <w:rPr>
          <w:rFonts w:ascii="SimHei" w:hAnsi="SimHei" w:eastAsia="SimHei" w:cs="SimHei"/>
          <w:b/>
          <w:color w:val="000000"/>
          <w:sz w:val="40"/>
        </w:rPr>
        <w:t>纯电动汽车再生制动能量回收效率影响因素分析及评价</w:t>
      </w:r>
      <w:bookmarkEnd w:id="0" w:name="section-1"/>
    </w:p>
    <w:p>
      <w:pPr>
        <w:spacing w:lineRule="auto" w:line="313" w:after="120"/>
        <w:ind w:firstLine="0"/>
      </w:pPr>
      <w:r>
        <w:rPr>
          <w:rFonts w:ascii="SimHei" w:hAnsi="SimHei" w:eastAsia="SimHei" w:cs="SimHei"/>
          <w:b/>
          <w:color w:val="000000"/>
          <w:sz w:val="24"/>
        </w:rPr>
        <w:t>摘要：</w:t>
      </w:r>
      <w:r>
        <w:rPr>
          <w:rFonts w:ascii="SimSun" w:hAnsi="SimSun" w:eastAsia="SimSun" w:cs="SimSun"/>
          <w:color w:val="000000"/>
          <w:sz w:val="24"/>
        </w:rPr>
        <w:t>本文系统研究了纯电动汽车再生制动能量回收效率的影响因素及其优化方法，旨在解决传统制动策略下能量回收率低、制动平顺性差等问题。首先，分析了再生制动系统的工作原理及能量回收效率的计算方法。其次，从车辆动力学、电机特性、电池特性、制动系统和外部环境等多个维度，深入探讨了影响能量回收效率的关键因素。为确保研究的现实指导意义，本文引入了真实车型（比亚迪秦EV）作为参考原型，对其关键参数进行了合理化提取与设定。在此基础上，提出了一种基于模糊 PID 的优化控制策略。为验证策略的有效性，搭建了基于 MATLAB/Simulink 的整车仿真平台。仿真结果表明，在引入真实车辆质量与动力参数后，优化后的策略在 NEDC 工况下使能量回收效率从基准的 43.12% 显著提升至 62.67%，在 UDDS 工况下达到 42.3%，同时有效改善了制动平顺性。本研究为纯电动汽车节能技术的开发与能量管理系统的优化提供了清晰的理论依据和易于理解的实践指导。</w:t>
      </w:r>
    </w:p>
    <w:p>
      <w:pPr>
        <w:spacing w:lineRule="auto" w:line="313" w:after="120"/>
        <w:ind w:firstLine="0"/>
      </w:pPr>
      <w:r>
        <w:rPr>
          <w:rFonts w:ascii="SimHei" w:hAnsi="SimHei" w:eastAsia="SimHei" w:cs="SimHei"/>
          <w:b/>
          <w:color w:val="000000"/>
          <w:sz w:val="24"/>
        </w:rPr>
        <w:t>关键词：</w:t>
      </w:r>
      <w:r>
        <w:rPr>
          <w:rFonts w:ascii="SimSun" w:hAnsi="SimSun" w:eastAsia="SimSun" w:cs="SimSun"/>
          <w:color w:val="000000"/>
          <w:sz w:val="24"/>
        </w:rPr>
        <w:t>纯电动汽车；再生制动；能量回收效率；模糊PID；比亚迪秦EV</w:t>
      </w:r>
    </w:p>
    <w:p/>
    <w:p>
      <w:pPr>
        <w:spacing w:lineRule="auto" w:line="313" w:after="120"/>
        <w:ind w:firstLine="0"/>
      </w:pPr>
      <w:r>
        <w:rPr>
          <w:rFonts w:ascii="SimHei" w:hAnsi="SimHei" w:eastAsia="SimHei" w:cs="SimHei"/>
          <w:b/>
          <w:color w:val="000000"/>
          <w:sz w:val="24"/>
        </w:rPr>
        <w:t>Abstract:</w:t>
      </w:r>
      <w:r>
        <w:rPr>
          <w:rFonts w:ascii="SimSun" w:hAnsi="SimSun" w:eastAsia="SimSun" w:cs="SimSun"/>
          <w:color w:val="000000"/>
          <w:sz w:val="24"/>
        </w:rPr>
        <w:t xml:space="preserve"> This study systematically investigates the influencing factors and optimization methods for the energy recovery efficiency of regenerative braking in pure electric vehicles, aiming to address issues such as low energy recovery rates and poor braking smoothness under traditional braking strategies. First, the working principle and calculation methods of energy recovery efficiency are analyzed. Second, key factors affecting energy recovery efficiency are deeply explored from multiple dimensions. To ensure the practical significance of the research, a real vehicle model (BYD Qin EV) is introduced as a reference prototype, and its key parameters are rationally extracted and set. Based on this, an optimization control strategy using Fuzzy PID is proposed. To validate the effectiveness of the strategy, a vehicle simulation platform based on MATLAB/Simulink was built. Simulation results show that, after introducing real vehicle mass and dynamic parameters, the optimized strategy significantly increases the energy recovery efficiency from the baseline of 43.12% to 62.67% under the NEDC driving cycle, and reaches 42.3% under the UDDS cycle, while effectively improving braking smoothness. This research provides a clear theoretical foundation and practical guidance for the development of energy-saving technologies in pure electric vehicles.</w:t>
      </w:r>
    </w:p>
    <w:p>
      <w:pPr>
        <w:spacing w:lineRule="auto" w:line="313" w:after="120"/>
        <w:ind w:firstLine="0"/>
      </w:pPr>
      <w:r>
        <w:rPr>
          <w:rFonts w:ascii="SimHei" w:hAnsi="SimHei" w:eastAsia="SimHei" w:cs="SimHei"/>
          <w:b/>
          <w:color w:val="000000"/>
          <w:sz w:val="24"/>
        </w:rPr>
        <w:t>Key Words:</w:t>
      </w:r>
      <w:r>
        <w:rPr>
          <w:rFonts w:ascii="SimSun" w:hAnsi="SimSun" w:eastAsia="SimSun" w:cs="SimSun"/>
          <w:color w:val="000000"/>
          <w:sz w:val="24"/>
        </w:rPr>
        <w:t xml:space="preserve"> Pure electric vehicles; Regenerative braking; Energy recovery efficiency; Fuzzy PID; BYD Qin EV</w:t>
      </w:r>
    </w:p>
    <w:p>
      <w:bookmarkStart w:id="1" w:name="section-1"/>
      <w:pPr>
        <w:pStyle w:val="Heading2"/>
        <w:spacing w:lineRule="auto" w:line="313" w:before="360" w:after="192"/>
      </w:pPr>
      <w:r>
        <w:rPr>
          <w:rFonts w:ascii="SimHei" w:hAnsi="SimHei" w:eastAsia="SimHei" w:cs="SimHei"/>
          <w:b/>
          <w:color w:val="000000"/>
          <w:sz w:val="30"/>
        </w:rPr>
        <w:t>1 绪论</w:t>
      </w:r>
      <w:bookmarkEnd w:id="1" w:name="section-1"/>
    </w:p>
    <w:p>
      <w:bookmarkStart w:id="2" w:name="section-1-1"/>
      <w:pPr>
        <w:pStyle w:val="Heading3"/>
        <w:spacing w:lineRule="auto" w:line="313" w:before="288" w:after="144"/>
      </w:pPr>
      <w:r>
        <w:rPr>
          <w:rFonts w:ascii="SimHei" w:hAnsi="SimHei" w:eastAsia="SimHei" w:cs="SimHei"/>
          <w:b/>
          <w:color w:val="000000"/>
          <w:sz w:val="26"/>
        </w:rPr>
        <w:t>1.1 研究背景</w:t>
      </w:r>
      <w:bookmarkEnd w:id="2" w:name="section-1-1"/>
    </w:p>
    <w:p>
      <w:pPr>
        <w:spacing w:lineRule="auto" w:line="313" w:after="192"/>
        <w:ind w:firstLine="480"/>
      </w:pPr>
      <w:r>
        <w:rPr>
          <w:rFonts w:ascii="SimSun" w:hAnsi="SimSun" w:eastAsia="SimSun" w:cs="SimSun"/>
          <w:color w:val="000000"/>
          <w:sz w:val="24"/>
        </w:rPr>
        <w:t>再生制动技术作为纯电动汽车能量管理系统的核心技术之一，其能量回收效率直接影响整车的续航里程和能源利用效率</w:t>
      </w:r>
      <w:r>
        <w:rPr>
          <w:rFonts w:ascii="SimSun" w:hAnsi="SimSun" w:eastAsia="SimSun" w:cs="SimSun"/>
          <w:color w:val="000000"/>
          <w:sz w:val="19"/>
          <w:vertAlign w:val="superscript"/>
        </w:rPr>
        <w:t>[1]</w:t>
      </w:r>
      <w:r>
        <w:rPr>
          <w:rFonts w:ascii="SimSun" w:hAnsi="SimSun" w:eastAsia="SimSun" w:cs="SimSun"/>
          <w:color w:val="000000"/>
          <w:sz w:val="24"/>
        </w:rPr>
        <w:t>。在传统燃油车制动过程中，约三分之一的动能通过摩擦制动以热能形式耗散；而纯电动汽车的再生制动系统通过电机反转实现发电机功能，将车辆减速时的动能转化为电能并存储至动力电池中。根据车辆行驶工况的不同，有效的再生制动能量回收可使纯电动车辆续航里程提升15%-25%</w:t>
      </w:r>
      <w:r>
        <w:rPr>
          <w:rFonts w:ascii="SimSun" w:hAnsi="SimSun" w:eastAsia="SimSun" w:cs="SimSun"/>
          <w:color w:val="000000"/>
          <w:sz w:val="19"/>
          <w:vertAlign w:val="superscript"/>
        </w:rPr>
        <w:t>[2]</w:t>
      </w:r>
      <w:r>
        <w:rPr>
          <w:rFonts w:ascii="SimSun" w:hAnsi="SimSun" w:eastAsia="SimSun" w:cs="SimSun"/>
          <w:color w:val="000000"/>
          <w:sz w:val="24"/>
        </w:rPr>
        <w:t>。这一技术突破不仅缓解了用户的“里程焦虑”，更对构建低碳交通体系具有深远意义。</w:t>
      </w:r>
    </w:p>
    <w:p>
      <w:pPr>
        <w:spacing w:lineRule="auto" w:line="313" w:after="192"/>
        <w:ind w:firstLine="480"/>
      </w:pPr>
      <w:r>
        <w:rPr>
          <w:rFonts w:ascii="SimSun" w:hAnsi="SimSun" w:eastAsia="SimSun" w:cs="SimSun"/>
          <w:color w:val="000000"/>
          <w:sz w:val="24"/>
        </w:rPr>
        <w:t>在制动力分配策略方面，现代纯电动汽车普遍采用电液复合制动系统，需要精确协调电机再生制动力与液压摩擦制动力之间的比例关系。理想的制动力分配策略需综合考虑电池荷电状态（SOC 值范围通常为 0.2-0.9）、电机转速特性（最佳发电区间通常为 2000-5000 rpm）以及制动强度（减速度 0.1g-0.5g）等多重非线性约束条件</w:t>
      </w:r>
      <w:r>
        <w:rPr>
          <w:rFonts w:ascii="SimSun" w:hAnsi="SimSun" w:eastAsia="SimSun" w:cs="SimSun"/>
          <w:color w:val="000000"/>
          <w:sz w:val="19"/>
          <w:vertAlign w:val="superscript"/>
        </w:rPr>
        <w:t>[3]</w:t>
      </w:r>
      <w:r>
        <w:rPr>
          <w:rFonts w:ascii="SimSun" w:hAnsi="SimSun" w:eastAsia="SimSun" w:cs="SimSun"/>
          <w:color w:val="000000"/>
          <w:sz w:val="24"/>
        </w:rPr>
        <w:t>。然而，现有的固定比例分配策略难以适应复杂多变的实际驾驶工况，导致能量回收潜力未能充分释放。</w:t>
      </w:r>
    </w:p>
    <w:p>
      <w:bookmarkStart w:id="3" w:name="section-1-2"/>
      <w:pPr>
        <w:pStyle w:val="Heading3"/>
        <w:spacing w:lineRule="auto" w:line="313" w:before="288" w:after="144"/>
      </w:pPr>
      <w:r>
        <w:rPr>
          <w:rFonts w:ascii="SimHei" w:hAnsi="SimHei" w:eastAsia="SimHei" w:cs="SimHei"/>
          <w:b/>
          <w:color w:val="000000"/>
          <w:sz w:val="26"/>
        </w:rPr>
        <w:t>1.2 研究目的与意义</w:t>
      </w:r>
      <w:bookmarkEnd w:id="3" w:name="section-1-2"/>
    </w:p>
    <w:p>
      <w:pPr>
        <w:spacing w:lineRule="auto" w:line="313" w:after="192"/>
        <w:ind w:firstLine="480"/>
      </w:pPr>
      <w:r>
        <w:rPr>
          <w:rFonts w:ascii="SimSun" w:hAnsi="SimSun" w:eastAsia="SimSun" w:cs="SimSun"/>
          <w:color w:val="000000"/>
          <w:sz w:val="24"/>
        </w:rPr>
        <w:t>在纯电动汽车领域，再生制动技术作为提升能量利用效率的关键技术，其能量回收效率的优化研究具有重要的理论价值和实践意义</w:t>
      </w:r>
      <w:r>
        <w:rPr>
          <w:rFonts w:ascii="SimSun" w:hAnsi="SimSun" w:eastAsia="SimSun" w:cs="SimSun"/>
          <w:color w:val="000000"/>
          <w:sz w:val="19"/>
          <w:vertAlign w:val="superscript"/>
        </w:rPr>
        <w:t>[4]</w:t>
      </w:r>
      <w:r>
        <w:rPr>
          <w:rFonts w:ascii="SimSun" w:hAnsi="SimSun" w:eastAsia="SimSun" w:cs="SimSun"/>
          <w:color w:val="000000"/>
          <w:sz w:val="24"/>
        </w:rPr>
        <w:t>。从理论层面看，深入研究再生制动能量回收效率的影响因素，有助于完善电动汽车能量管理理论体系，特别是在制动力分配策略的非线性建模与多目标优化方面。通过建立精确的数学模型，可以更准确地描述机械制动与电机制动之间的动态耦合关系，为制动系统的协调控制提供理论支撑</w:t>
      </w:r>
      <w:r>
        <w:rPr>
          <w:rFonts w:ascii="SimSun" w:hAnsi="SimSun" w:eastAsia="SimSun" w:cs="SimSun"/>
          <w:color w:val="000000"/>
          <w:sz w:val="19"/>
          <w:vertAlign w:val="superscript"/>
        </w:rPr>
        <w:t>[5]</w:t>
      </w:r>
      <w:r>
        <w:rPr>
          <w:rFonts w:ascii="SimSun" w:hAnsi="SimSun" w:eastAsia="SimSun" w:cs="SimSun"/>
          <w:color w:val="000000"/>
          <w:sz w:val="24"/>
        </w:rPr>
        <w:t>。</w:t>
      </w:r>
    </w:p>
    <w:p>
      <w:pPr>
        <w:spacing w:lineRule="auto" w:line="313" w:after="192"/>
        <w:ind w:firstLine="480"/>
      </w:pPr>
      <w:r>
        <w:rPr>
          <w:rFonts w:ascii="SimSun" w:hAnsi="SimSun" w:eastAsia="SimSun" w:cs="SimSun"/>
          <w:color w:val="000000"/>
          <w:sz w:val="24"/>
        </w:rPr>
        <w:t>在实践应用层面，基于先进控制算法开发的优化策略，能够有效提升实际驾驶工况下的能量回收效率。为了使研究成果更具落地价值，本文摒弃了以往研究中过于理想化的虚拟参数，转而引入市场上成熟的紧凑型纯电动轿车（如比亚迪秦EV）作为参考原型，基于其真实的物理与动力参数进行策略验证。研究表明，合理的制动力分配策略不仅能延长车辆续航里程，还能减少机械制动器的磨损，高度契合国家节能减排的宏观政策导向。</w:t>
      </w:r>
    </w:p>
    <w:p>
      <w:bookmarkStart w:id="4" w:name="section-1-3"/>
      <w:pPr>
        <w:pStyle w:val="Heading3"/>
        <w:spacing w:lineRule="auto" w:line="313" w:before="288" w:after="144"/>
      </w:pPr>
      <w:r>
        <w:rPr>
          <w:rFonts w:ascii="SimHei" w:hAnsi="SimHei" w:eastAsia="SimHei" w:cs="SimHei"/>
          <w:b/>
          <w:color w:val="000000"/>
          <w:sz w:val="26"/>
        </w:rPr>
        <w:t>1.3 研究内容与技术路线</w:t>
      </w:r>
      <w:bookmarkEnd w:id="4" w:name="section-1-3"/>
    </w:p>
    <w:p>
      <w:pPr>
        <w:spacing w:lineRule="auto" w:line="313" w:after="192"/>
        <w:ind w:firstLine="480"/>
      </w:pPr>
      <w:r>
        <w:rPr>
          <w:rFonts w:ascii="SimSun" w:hAnsi="SimSun" w:eastAsia="SimSun" w:cs="SimSun"/>
          <w:color w:val="000000"/>
          <w:sz w:val="24"/>
        </w:rPr>
        <w:t>本研究的主要内容包括：一是梳理纯电动汽车再生制动系统的核心理论，明确影响能量回收效率的关键因素；二是完成系统的总体架构设计，并引入真实车型参数作为仿真基准；三是设计并实现了一种基于模糊 PID 的优化控制策略，明确关键控制参数以保证仿真实验的可复现性；四是搭建 MATLAB/Simulink 仿真平台，设计详细的仿真实验方案并进行系统性能测试；五是对测试结果进行深度分析，验证优化方法在真实物理边界下的有效性与数据合理性。</w:t>
      </w:r>
    </w:p>
    <w:p>
      <w:pPr>
        <w:spacing w:lineRule="auto" w:line="313" w:after="192"/>
        <w:ind w:firstLine="480"/>
      </w:pPr>
      <w:r>
        <w:rPr>
          <w:rFonts w:ascii="SimSun" w:hAnsi="SimSun" w:eastAsia="SimSun" w:cs="SimSun"/>
          <w:color w:val="000000"/>
          <w:sz w:val="24"/>
        </w:rPr>
        <w:t>技术路线采用 “理论分析—算法设计—真实车型参数提取—仿真建模与验证” 的研发流程，确保研究结论的数据准确性与逻辑严密性。</w:t>
      </w:r>
    </w:p>
    <w:p>
      <w:bookmarkStart w:id="5" w:name="section-2"/>
      <w:pPr>
        <w:pStyle w:val="Heading2"/>
        <w:spacing w:lineRule="auto" w:line="313" w:before="360" w:after="192"/>
      </w:pPr>
      <w:r>
        <w:rPr>
          <w:rFonts w:ascii="SimHei" w:hAnsi="SimHei" w:eastAsia="SimHei" w:cs="SimHei"/>
          <w:b/>
          <w:color w:val="000000"/>
          <w:sz w:val="30"/>
        </w:rPr>
        <w:t>2 再生制动系统总体设计</w:t>
      </w:r>
      <w:bookmarkEnd w:id="5" w:name="section-2"/>
    </w:p>
    <w:p>
      <w:bookmarkStart w:id="6" w:name="section-2-1"/>
      <w:pPr>
        <w:pStyle w:val="Heading3"/>
        <w:spacing w:lineRule="auto" w:line="313" w:before="288" w:after="144"/>
      </w:pPr>
      <w:r>
        <w:rPr>
          <w:rFonts w:ascii="SimHei" w:hAnsi="SimHei" w:eastAsia="SimHei" w:cs="SimHei"/>
          <w:b/>
          <w:color w:val="000000"/>
          <w:sz w:val="26"/>
        </w:rPr>
        <w:t>2.1 设计目标</w:t>
      </w:r>
      <w:bookmarkEnd w:id="6" w:name="section-2-1"/>
    </w:p>
    <w:p>
      <w:pPr>
        <w:spacing w:lineRule="auto" w:line="313" w:after="192"/>
        <w:ind w:firstLine="480"/>
      </w:pPr>
      <w:r>
        <w:rPr>
          <w:rFonts w:ascii="SimSun" w:hAnsi="SimSun" w:eastAsia="SimSun" w:cs="SimSun"/>
          <w:color w:val="000000"/>
          <w:sz w:val="24"/>
        </w:rPr>
        <w:t>本系统以 “高效率、高集成、高稳定性” 为核心设计目标，旨在通过综合优化控制策略与硬件系统，显著提升纯电动汽车在典型工况下的能量回收效率。具体量化指标设定如下：</w:t>
      </w:r>
    </w:p>
    <w:p>
      <w:pPr>
        <w:spacing w:lineRule="auto" w:line="313" w:after="192"/>
        <w:ind w:firstLine="480"/>
      </w:pPr>
      <w:r>
        <w:rPr>
          <w:rFonts w:ascii="SimSun" w:hAnsi="SimSun" w:eastAsia="SimSun" w:cs="SimSun"/>
          <w:color w:val="000000"/>
          <w:sz w:val="24"/>
        </w:rPr>
        <w:t>① 能量回收效率：在 NEDC（新欧洲驾驶循环）等标准工况下，相较于传统的固定比例基准策略，能量回收效率提升不低于 15 个百分点；</w:t>
      </w:r>
    </w:p>
    <w:p>
      <w:pPr>
        <w:spacing w:lineRule="auto" w:line="313" w:after="192"/>
        <w:ind w:firstLine="480"/>
      </w:pPr>
      <w:r>
        <w:rPr>
          <w:rFonts w:ascii="SimSun" w:hAnsi="SimSun" w:eastAsia="SimSun" w:cs="SimSun"/>
          <w:color w:val="000000"/>
          <w:sz w:val="24"/>
        </w:rPr>
        <w:t>② 制动平顺性：在再生制动力与液压制动力动态切换过程中，制动减速度波动严格控制在 ±0.2 m/s</w:t>
      </w:r>
      <w:r>
        <w:rPr>
          <w:rFonts w:ascii="SimSun" w:hAnsi="SimSun" w:eastAsia="SimSun" w:cs="SimSun"/>
          <w:color w:val="000000"/>
          <w:sz w:val="19"/>
          <w:vertAlign w:val="superscript"/>
        </w:rPr>
        <w:t>2</w:t>
      </w:r>
      <w:r>
        <w:rPr>
          <w:rFonts w:ascii="SimSun" w:hAnsi="SimSun" w:eastAsia="SimSun" w:cs="SimSun"/>
          <w:color w:val="000000"/>
          <w:sz w:val="24"/>
        </w:rPr>
        <w:t xml:space="preserve"> 以内，确保驾乘舒适性；</w:t>
      </w:r>
    </w:p>
    <w:p>
      <w:pPr>
        <w:spacing w:lineRule="auto" w:line="313" w:after="192"/>
        <w:ind w:firstLine="480"/>
      </w:pPr>
      <w:r>
        <w:rPr>
          <w:rFonts w:ascii="SimSun" w:hAnsi="SimSun" w:eastAsia="SimSun" w:cs="SimSun"/>
          <w:color w:val="000000"/>
          <w:sz w:val="24"/>
        </w:rPr>
        <w:t>③ 系统稳定性：在 -10℃ 至 45℃ 的宽温度范围内，系统能稳定运行，能量回收效率波动不超过 ±5%；</w:t>
      </w:r>
    </w:p>
    <w:p>
      <w:pPr>
        <w:spacing w:lineRule="auto" w:line="313" w:after="192"/>
        <w:ind w:firstLine="480"/>
      </w:pPr>
      <w:r>
        <w:rPr>
          <w:rFonts w:ascii="SimSun" w:hAnsi="SimSun" w:eastAsia="SimSun" w:cs="SimSun"/>
          <w:color w:val="000000"/>
          <w:sz w:val="24"/>
        </w:rPr>
        <w:t>④ 续航提升：通过优化能量回收，在城市工况下使整车续航里程提升 10% 以上。</w:t>
      </w:r>
    </w:p>
    <w:p>
      <w:bookmarkStart w:id="7" w:name="section-2-2"/>
      <w:pPr>
        <w:pStyle w:val="Heading3"/>
        <w:spacing w:lineRule="auto" w:line="313" w:before="288" w:after="144"/>
      </w:pPr>
      <w:r>
        <w:rPr>
          <w:rFonts w:ascii="SimHei" w:hAnsi="SimHei" w:eastAsia="SimHei" w:cs="SimHei"/>
          <w:b/>
          <w:color w:val="000000"/>
          <w:sz w:val="26"/>
        </w:rPr>
        <w:t>2.2 总体架构设计与参考车型引入</w:t>
      </w:r>
      <w:bookmarkEnd w:id="7" w:name="section-2-2"/>
    </w:p>
    <w:p>
      <w:pPr>
        <w:spacing w:lineRule="auto" w:line="313" w:after="192"/>
        <w:ind w:firstLine="480"/>
      </w:pPr>
      <w:r>
        <w:rPr>
          <w:rFonts w:ascii="SimSun" w:hAnsi="SimSun" w:eastAsia="SimSun" w:cs="SimSun"/>
          <w:color w:val="000000"/>
          <w:sz w:val="24"/>
        </w:rPr>
        <w:t>基于功能模块化设计理念，本研究设计的再生制动优化系统在仿真环境中由四大核心模块构成。为确保仿真的真实性，本研究选取了市场上具有代表性的紧凑型纯电动轿车——</w:t>
      </w:r>
      <w:r>
        <w:rPr>
          <w:rFonts w:ascii="SimSun" w:hAnsi="SimSun" w:eastAsia="SimSun" w:cs="SimSun"/>
          <w:b/>
          <w:color w:val="000000"/>
          <w:sz w:val="24"/>
        </w:rPr>
        <w:t>比亚迪秦EV（2021/2025款）</w:t>
      </w:r>
      <w:r>
        <w:rPr>
          <w:rFonts w:ascii="SimSun" w:hAnsi="SimSun" w:eastAsia="SimSun" w:cs="SimSun"/>
          <w:color w:val="000000"/>
          <w:sz w:val="24"/>
        </w:rPr>
        <w:t>作为参考原型</w:t>
      </w:r>
      <w:r>
        <w:rPr>
          <w:rFonts w:ascii="SimSun" w:hAnsi="SimSun" w:eastAsia="SimSun" w:cs="SimSun"/>
          <w:color w:val="000000"/>
          <w:sz w:val="19"/>
          <w:vertAlign w:val="superscript"/>
        </w:rPr>
        <w:t>[12]</w:t>
      </w:r>
      <w:r>
        <w:rPr>
          <w:rFonts w:ascii="SimSun" w:hAnsi="SimSun" w:eastAsia="SimSun" w:cs="SimSun"/>
          <w:color w:val="000000"/>
          <w:sz w:val="24"/>
        </w:rPr>
        <w:t>。该车型轴距为 2670 mm，整备质量为 1531 kg，满载质量为 1895 kg，电池容量为 47.53 kWh，原厂电机最大功率 100 kW，最大扭矩 180 N·m。各模块在 Simulink 模型中协同工作架构如下：</w:t>
      </w:r>
    </w:p>
    <w:p>
      <w:pPr>
        <w:spacing w:lineRule="auto" w:line="313" w:after="192"/>
        <w:ind w:firstLine="480"/>
      </w:pPr>
      <w:r>
        <w:rPr>
          <w:rFonts w:ascii="SimSun" w:hAnsi="SimSun" w:eastAsia="SimSun" w:cs="SimSun"/>
          <w:color w:val="000000"/>
          <w:sz w:val="24"/>
        </w:rPr>
        <w:t xml:space="preserve">① </w:t>
      </w:r>
      <w:r>
        <w:rPr>
          <w:rFonts w:ascii="SimSun" w:hAnsi="SimSun" w:eastAsia="SimSun" w:cs="SimSun"/>
          <w:b/>
          <w:color w:val="000000"/>
          <w:sz w:val="24"/>
        </w:rPr>
        <w:t>感知与决策模块</w:t>
      </w:r>
      <w:r>
        <w:rPr>
          <w:rFonts w:ascii="SimSun" w:hAnsi="SimSun" w:eastAsia="SimSun" w:cs="SimSun"/>
          <w:color w:val="000000"/>
          <w:sz w:val="24"/>
        </w:rPr>
        <w:t>：由模拟各类传感器的信号输入模块和整车控制器（VCU）模型组成。负责模拟生成车辆状态信息（如车速、制动踏板开度）和环境信息，并由 VCU 模型根据驾驶员意图计算总需求制动力。</w:t>
      </w:r>
    </w:p>
    <w:p>
      <w:pPr>
        <w:spacing w:lineRule="auto" w:line="313" w:after="192"/>
        <w:ind w:firstLine="480"/>
      </w:pPr>
      <w:r>
        <w:rPr>
          <w:rFonts w:ascii="SimSun" w:hAnsi="SimSun" w:eastAsia="SimSun" w:cs="SimSun"/>
          <w:color w:val="000000"/>
          <w:sz w:val="24"/>
        </w:rPr>
        <w:t xml:space="preserve">② </w:t>
      </w:r>
      <w:r>
        <w:rPr>
          <w:rFonts w:ascii="SimSun" w:hAnsi="SimSun" w:eastAsia="SimSun" w:cs="SimSun"/>
          <w:b/>
          <w:color w:val="000000"/>
          <w:sz w:val="24"/>
        </w:rPr>
        <w:t>控制策略模块</w:t>
      </w:r>
      <w:r>
        <w:rPr>
          <w:rFonts w:ascii="SimSun" w:hAnsi="SimSun" w:eastAsia="SimSun" w:cs="SimSun"/>
          <w:color w:val="000000"/>
          <w:sz w:val="24"/>
        </w:rPr>
        <w:t>：作为系统的“大脑”，是 VCU 模型的核心部分。该模块内嵌本研究设计的模糊 PID 控制算法，负责接收总需求制动力，并根据当前车辆状态（如车速、电池 SOC），将总制动力精确、动态地分配给电机制动力和液压制动力。</w:t>
      </w:r>
    </w:p>
    <w:p>
      <w:pPr>
        <w:spacing w:lineRule="auto" w:line="313" w:after="192"/>
        <w:ind w:firstLine="480"/>
      </w:pPr>
      <w:r>
        <w:rPr>
          <w:rFonts w:ascii="SimSun" w:hAnsi="SimSun" w:eastAsia="SimSun" w:cs="SimSun"/>
          <w:color w:val="000000"/>
          <w:sz w:val="24"/>
        </w:rPr>
        <w:t xml:space="preserve">③ </w:t>
      </w:r>
      <w:r>
        <w:rPr>
          <w:rFonts w:ascii="SimSun" w:hAnsi="SimSun" w:eastAsia="SimSun" w:cs="SimSun"/>
          <w:b/>
          <w:color w:val="000000"/>
          <w:sz w:val="24"/>
        </w:rPr>
        <w:t>执行机构模块</w:t>
      </w:r>
      <w:r>
        <w:rPr>
          <w:rFonts w:ascii="SimSun" w:hAnsi="SimSun" w:eastAsia="SimSun" w:cs="SimSun"/>
          <w:color w:val="000000"/>
          <w:sz w:val="24"/>
        </w:rPr>
        <w:t>：在仿真模型中，该模块由电机及其控制器（MCU）模型和液压制动单元（HCU）模型构成。为探究高效能量回收的极限潜力，本研究在比亚迪秦EV原厂 180 N·m 扭矩的基础上进行了理论升级，MCU 模型集成了先进的碳化硅（SiC）功率器件特性，使其控制器效率高达 98.5%，并将最大再生制动力矩设定为 285 N·m，为高效能量回收提供了理想的执行基础。</w:t>
      </w:r>
    </w:p>
    <w:p>
      <w:pPr>
        <w:spacing w:lineRule="auto" w:line="313" w:after="192"/>
        <w:ind w:firstLine="480"/>
      </w:pPr>
      <w:r>
        <w:rPr>
          <w:rFonts w:ascii="SimSun" w:hAnsi="SimSun" w:eastAsia="SimSun" w:cs="SimSun"/>
          <w:color w:val="000000"/>
          <w:sz w:val="24"/>
        </w:rPr>
        <w:t xml:space="preserve">④ </w:t>
      </w:r>
      <w:r>
        <w:rPr>
          <w:rFonts w:ascii="SimSun" w:hAnsi="SimSun" w:eastAsia="SimSun" w:cs="SimSun"/>
          <w:b/>
          <w:color w:val="000000"/>
          <w:sz w:val="24"/>
        </w:rPr>
        <w:t>储能与管理模块</w:t>
      </w:r>
      <w:r>
        <w:rPr>
          <w:rFonts w:ascii="SimSun" w:hAnsi="SimSun" w:eastAsia="SimSun" w:cs="SimSun"/>
          <w:color w:val="000000"/>
          <w:sz w:val="24"/>
        </w:rPr>
        <w:t>：由动力电池包模型（参考 47.53 kWh 容量设定）和电池管理系统（BMS）模型组成。BMS 模型负责监控电池状态，并根据优化的热管理策略将电池工作温度稳定在最佳区间（25 ± 2℃），以模拟较低的电池内阻和较高的充电接受能力，从而高效存储回收的电能。</w:t>
      </w:r>
    </w:p>
    <w:p>
      <w:bookmarkStart w:id="8" w:name="section-3"/>
      <w:pPr>
        <w:pStyle w:val="Heading2"/>
        <w:spacing w:lineRule="auto" w:line="313" w:before="360" w:after="192"/>
      </w:pPr>
      <w:r>
        <w:rPr>
          <w:rFonts w:ascii="SimHei" w:hAnsi="SimHei" w:eastAsia="SimHei" w:cs="SimHei"/>
          <w:b/>
          <w:color w:val="000000"/>
          <w:sz w:val="30"/>
        </w:rPr>
        <w:t>3 核心理论与算法设计</w:t>
      </w:r>
      <w:bookmarkEnd w:id="8" w:name="section-3"/>
    </w:p>
    <w:p>
      <w:bookmarkStart w:id="9" w:name="section-3-1"/>
      <w:pPr>
        <w:pStyle w:val="Heading3"/>
        <w:spacing w:lineRule="auto" w:line="313" w:before="288" w:after="144"/>
      </w:pPr>
      <w:r>
        <w:rPr>
          <w:rFonts w:ascii="SimHei" w:hAnsi="SimHei" w:eastAsia="SimHei" w:cs="SimHei"/>
          <w:b/>
          <w:color w:val="000000"/>
          <w:sz w:val="26"/>
        </w:rPr>
        <w:t>3.1 再生制动系统基础理论</w:t>
      </w:r>
      <w:bookmarkEnd w:id="9" w:name="section-3-1"/>
    </w:p>
    <w:p>
      <w:pPr>
        <w:spacing w:lineRule="auto" w:line="313" w:after="192"/>
        <w:ind w:firstLine="480"/>
      </w:pPr>
      <w:r>
        <w:rPr>
          <w:rFonts w:ascii="SimSun" w:hAnsi="SimSun" w:eastAsia="SimSun" w:cs="SimSun"/>
          <w:color w:val="000000"/>
          <w:sz w:val="24"/>
        </w:rPr>
        <w:t>制动力分配策略是纯电动汽车再生制动系统的核心控制逻辑，决定了制动过程中机械制动力与电机制动力之间的比例关系</w:t>
      </w:r>
      <w:r>
        <w:rPr>
          <w:rFonts w:ascii="SimSun" w:hAnsi="SimSun" w:eastAsia="SimSun" w:cs="SimSun"/>
          <w:color w:val="000000"/>
          <w:sz w:val="19"/>
          <w:vertAlign w:val="superscript"/>
        </w:rPr>
        <w:t>[6]</w:t>
      </w:r>
      <w:r>
        <w:rPr>
          <w:rFonts w:ascii="SimSun" w:hAnsi="SimSun" w:eastAsia="SimSun" w:cs="SimSun"/>
          <w:color w:val="000000"/>
          <w:sz w:val="24"/>
        </w:rPr>
        <w:t>。根据 ECE R13 法规对前后轴制动力分配的附着系数利用要求，以及车辆实际运行状态，系统需实时调整分配比例。当驾驶员踩下制动踏板时，VCU 首先计算目标总制动力，随后 MCU 根据当前车速和电池 SOC 确定电机可提供的最大再生制动力，剩余需求则由液压制动系统精准补偿。</w:t>
      </w:r>
    </w:p>
    <w:p>
      <w:pPr>
        <w:spacing w:lineRule="auto" w:line="313" w:after="192"/>
        <w:ind w:firstLine="480"/>
      </w:pPr>
      <w:r>
        <w:rPr>
          <w:rFonts w:ascii="SimSun" w:hAnsi="SimSun" w:eastAsia="SimSun" w:cs="SimSun"/>
          <w:color w:val="000000"/>
          <w:sz w:val="24"/>
        </w:rPr>
        <w:t>能量回收效率的量化评估是关键技术指标。常用的计算方法包括基于能量流的直接效率计算法和基于功率流的瞬时效率计算法</w:t>
      </w:r>
      <w:r>
        <w:rPr>
          <w:rFonts w:ascii="SimSun" w:hAnsi="SimSun" w:eastAsia="SimSun" w:cs="SimSun"/>
          <w:color w:val="000000"/>
          <w:sz w:val="19"/>
          <w:vertAlign w:val="superscript"/>
        </w:rPr>
        <w:t>[7]</w:t>
      </w:r>
      <w:r>
        <w:rPr>
          <w:rFonts w:ascii="SimSun" w:hAnsi="SimSun" w:eastAsia="SimSun" w:cs="SimSun"/>
          <w:color w:val="000000"/>
          <w:sz w:val="24"/>
        </w:rPr>
        <w:t>。直接效率计算法通过测量制动过程中回收的总能量与理论可回收总动能的比值来评估系统性能，其核心公式为：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49"/>
        <w:gridCol w:w="720"/>
      </w:tblGrid>
      <w:tr>
        <w:tc>
          <w:tcPr>
            <w:tcW w:type="dxa" w:w="9749"/>
            <w:tcBorders>
              <w:top w:val="nil"/>
              <w:left w:val="nil"/>
              <w:bottom w:val="nil"/>
              <w:right w:val="nil"/>
            </w:tcBorders>
          </w:tcPr>
          <w:p/>
          <w:p>
            <w:pPr>
              <w:spacing w:lineRule="auto" w:line="313"/>
              <w:jc w:val="center"/>
            </w:pPr>
            <w:r>
              <w:rPr>
                <w:rFonts w:ascii="Times New Roman" w:hAnsi="Times New Roman" w:eastAsia="Times New Roman" w:cs="Times New Roman"/>
                <w:i/>
                <w:color w:val="000000"/>
                <w:sz w:val="26"/>
              </w:rPr>
              <w:t>η</w:t>
            </w:r>
            <w:r>
              <w:rPr>
                <w:rFonts w:ascii="Times New Roman" w:hAnsi="Times New Roman" w:eastAsia="Times New Roman" w:cs="Times New Roman"/>
                <w:i/>
                <w:color w:val="000000"/>
                <w:sz w:val="26"/>
              </w:rPr>
              <w:t>regen</w:t>
            </w:r>
            <w:r>
              <w:rPr>
                <w:rFonts w:ascii="Times New Roman" w:hAnsi="Times New Roman" w:eastAsia="Times New Roman" w:cs="Times New Roman"/>
                <w:i/>
                <w:color w:val="000000"/>
                <w:sz w:val="26"/>
              </w:rPr>
              <w:t xml:space="preserve"> = (E</w:t>
            </w:r>
            <w:r>
              <w:rPr>
                <w:rFonts w:ascii="Times New Roman" w:hAnsi="Times New Roman" w:eastAsia="Times New Roman" w:cs="Times New Roman"/>
                <w:i/>
                <w:color w:val="000000"/>
                <w:sz w:val="26"/>
              </w:rPr>
              <w:t>recovered</w:t>
            </w:r>
            <w:r>
              <w:rPr>
                <w:rFonts w:ascii="Times New Roman" w:hAnsi="Times New Roman" w:eastAsia="Times New Roman" w:cs="Times New Roman"/>
                <w:i/>
                <w:color w:val="000000"/>
                <w:sz w:val="26"/>
              </w:rPr>
              <w:t xml:space="preserve"> / E</w:t>
            </w:r>
            <w:r>
              <w:rPr>
                <w:rFonts w:ascii="Times New Roman" w:hAnsi="Times New Roman" w:eastAsia="Times New Roman" w:cs="Times New Roman"/>
                <w:i/>
                <w:color w:val="000000"/>
                <w:sz w:val="26"/>
              </w:rPr>
              <w:t>brake_total</w:t>
            </w:r>
            <w:r>
              <w:rPr>
                <w:rFonts w:ascii="Times New Roman" w:hAnsi="Times New Roman" w:eastAsia="Times New Roman" w:cs="Times New Roman"/>
                <w:i/>
                <w:color w:val="000000"/>
                <w:sz w:val="26"/>
              </w:rPr>
              <w:t>) × 100%</w:t>
            </w:r>
          </w:p>
        </w:tc>
        <w:tc>
          <w:tcPr>
            <w:tcW w:type="dxa" w:w="720"/>
            <w:tcBorders>
              <w:top w:val="nil"/>
              <w:left w:val="nil"/>
              <w:bottom w:val="nil"/>
              <w:right w:val="nil"/>
            </w:tcBorders>
          </w:tcPr>
          <w:p/>
          <w:p>
            <w:pPr>
              <w:spacing w:lineRule="auto" w:line="313"/>
              <w:jc w:val="right"/>
            </w:pPr>
            <w:r>
              <w:rPr>
                <w:rFonts w:ascii="Times New Roman" w:hAnsi="Times New Roman" w:eastAsia="Times New Roman" w:cs="Times New Roman"/>
                <w:color w:val="000000"/>
                <w:sz w:val="24"/>
              </w:rPr>
              <w:t>(1)</w:t>
            </w:r>
          </w:p>
        </w:tc>
      </w:tr>
    </w:tbl>
    <w:p>
      <w:pPr>
        <w:spacing w:lineRule="auto" w:line="313" w:after="192"/>
        <w:ind w:firstLine="480"/>
      </w:pPr>
      <w:r>
        <w:rPr>
          <w:rFonts w:ascii="SimSun" w:hAnsi="SimSun" w:eastAsia="SimSun" w:cs="SimSun"/>
          <w:color w:val="000000"/>
          <w:sz w:val="24"/>
        </w:rPr>
        <w:t xml:space="preserve">瞬时效率计算法则侧重于制动过程中的动态特性，通过实时监测电机发电功率 </w:t>
      </w:r>
      <w:r>
        <w:rPr>
          <w:rFonts w:ascii="SimSun" w:hAnsi="SimSun" w:eastAsia="SimSun" w:cs="SimSun"/>
          <w:i/>
          <w:color w:val="000000"/>
          <w:sz w:val="24"/>
        </w:rPr>
        <w:t>P</w:t>
      </w:r>
      <w:r>
        <w:rPr>
          <w:rFonts w:ascii="SimSun" w:hAnsi="SimSun" w:eastAsia="SimSun" w:cs="SimSun"/>
          <w:i/>
          <w:color w:val="000000"/>
          <w:sz w:val="24"/>
        </w:rPr>
        <w:t>motor</w:t>
      </w:r>
      <w:r>
        <w:rPr>
          <w:rFonts w:ascii="SimSun" w:hAnsi="SimSun" w:eastAsia="SimSun" w:cs="SimSun"/>
          <w:color w:val="000000"/>
          <w:sz w:val="24"/>
        </w:rPr>
        <w:t xml:space="preserve"> 与机械制动功率 </w:t>
      </w:r>
      <w:r>
        <w:rPr>
          <w:rFonts w:ascii="SimSun" w:hAnsi="SimSun" w:eastAsia="SimSun" w:cs="SimSun"/>
          <w:i/>
          <w:color w:val="000000"/>
          <w:sz w:val="24"/>
        </w:rPr>
        <w:t>P</w:t>
      </w:r>
      <w:r>
        <w:rPr>
          <w:rFonts w:ascii="SimSun" w:hAnsi="SimSun" w:eastAsia="SimSun" w:cs="SimSun"/>
          <w:i/>
          <w:color w:val="000000"/>
          <w:sz w:val="24"/>
        </w:rPr>
        <w:t>mechanical</w:t>
      </w:r>
      <w:r>
        <w:rPr>
          <w:rFonts w:ascii="SimSun" w:hAnsi="SimSun" w:eastAsia="SimSun" w:cs="SimSun"/>
          <w:color w:val="000000"/>
          <w:sz w:val="24"/>
        </w:rPr>
        <w:t xml:space="preserve"> 的比值实现，计算公式为：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49"/>
        <w:gridCol w:w="720"/>
      </w:tblGrid>
      <w:tr>
        <w:tc>
          <w:tcPr>
            <w:tcW w:type="dxa" w:w="9749"/>
            <w:tcBorders>
              <w:top w:val="nil"/>
              <w:left w:val="nil"/>
              <w:bottom w:val="nil"/>
              <w:right w:val="nil"/>
            </w:tcBorders>
          </w:tcPr>
          <w:p/>
          <w:p>
            <w:pPr>
              <w:spacing w:lineRule="auto" w:line="313"/>
              <w:jc w:val="center"/>
            </w:pPr>
            <w:r>
              <w:rPr>
                <w:rFonts w:ascii="Times New Roman" w:hAnsi="Times New Roman" w:eastAsia="Times New Roman" w:cs="Times New Roman"/>
                <w:i/>
                <w:color w:val="000000"/>
                <w:sz w:val="26"/>
              </w:rPr>
              <w:t>η</w:t>
            </w:r>
            <w:r>
              <w:rPr>
                <w:rFonts w:ascii="Times New Roman" w:hAnsi="Times New Roman" w:eastAsia="Times New Roman" w:cs="Times New Roman"/>
                <w:i/>
                <w:color w:val="000000"/>
                <w:sz w:val="26"/>
              </w:rPr>
              <w:t>instant</w:t>
            </w:r>
            <w:r>
              <w:rPr>
                <w:rFonts w:ascii="Times New Roman" w:hAnsi="Times New Roman" w:eastAsia="Times New Roman" w:cs="Times New Roman"/>
                <w:i/>
                <w:color w:val="000000"/>
                <w:sz w:val="26"/>
              </w:rPr>
              <w:t xml:space="preserve"> = P</w:t>
            </w:r>
            <w:r>
              <w:rPr>
                <w:rFonts w:ascii="Times New Roman" w:hAnsi="Times New Roman" w:eastAsia="Times New Roman" w:cs="Times New Roman"/>
                <w:i/>
                <w:color w:val="000000"/>
                <w:sz w:val="26"/>
              </w:rPr>
              <w:t>motor</w:t>
            </w:r>
            <w:r>
              <w:rPr>
                <w:rFonts w:ascii="Times New Roman" w:hAnsi="Times New Roman" w:eastAsia="Times New Roman" w:cs="Times New Roman"/>
                <w:i/>
                <w:color w:val="000000"/>
                <w:sz w:val="26"/>
              </w:rPr>
              <w:t xml:space="preserve"> / (P</w:t>
            </w:r>
            <w:r>
              <w:rPr>
                <w:rFonts w:ascii="Times New Roman" w:hAnsi="Times New Roman" w:eastAsia="Times New Roman" w:cs="Times New Roman"/>
                <w:i/>
                <w:color w:val="000000"/>
                <w:sz w:val="26"/>
              </w:rPr>
              <w:t>motor</w:t>
            </w:r>
            <w:r>
              <w:rPr>
                <w:rFonts w:ascii="Times New Roman" w:hAnsi="Times New Roman" w:eastAsia="Times New Roman" w:cs="Times New Roman"/>
                <w:i/>
                <w:color w:val="000000"/>
                <w:sz w:val="26"/>
              </w:rPr>
              <w:t xml:space="preserve"> + P</w:t>
            </w:r>
            <w:r>
              <w:rPr>
                <w:rFonts w:ascii="Times New Roman" w:hAnsi="Times New Roman" w:eastAsia="Times New Roman" w:cs="Times New Roman"/>
                <w:i/>
                <w:color w:val="000000"/>
                <w:sz w:val="26"/>
              </w:rPr>
              <w:t>mechanical</w:t>
            </w:r>
            <w:r>
              <w:rPr>
                <w:rFonts w:ascii="Times New Roman" w:hAnsi="Times New Roman" w:eastAsia="Times New Roman" w:cs="Times New Roman"/>
                <w:i/>
                <w:color w:val="000000"/>
                <w:sz w:val="26"/>
              </w:rPr>
              <w:t>)</w:t>
            </w:r>
          </w:p>
        </w:tc>
        <w:tc>
          <w:tcPr>
            <w:tcW w:type="dxa" w:w="720"/>
            <w:tcBorders>
              <w:top w:val="nil"/>
              <w:left w:val="nil"/>
              <w:bottom w:val="nil"/>
              <w:right w:val="nil"/>
            </w:tcBorders>
          </w:tcPr>
          <w:p/>
          <w:p>
            <w:pPr>
              <w:spacing w:lineRule="auto" w:line="313"/>
              <w:jc w:val="right"/>
            </w:pPr>
            <w:r>
              <w:rPr>
                <w:rFonts w:ascii="Times New Roman" w:hAnsi="Times New Roman" w:eastAsia="Times New Roman" w:cs="Times New Roman"/>
                <w:color w:val="000000"/>
                <w:sz w:val="24"/>
              </w:rPr>
              <w:t>(2)</w:t>
            </w:r>
          </w:p>
        </w:tc>
      </w:tr>
    </w:tbl>
    <w:p>
      <w:pPr>
        <w:spacing w:lineRule="auto" w:line="313" w:after="192"/>
        <w:ind w:firstLine="480"/>
      </w:pPr>
      <w:r>
        <w:rPr>
          <w:rFonts w:ascii="SimSun" w:hAnsi="SimSun" w:eastAsia="SimSun" w:cs="SimSun"/>
          <w:color w:val="000000"/>
          <w:sz w:val="24"/>
        </w:rPr>
        <w:t>此外，为了更全面地评价车辆在不同驾驶循环（如NEDC、UDDS）下的综合能量回收表现，引入了加权效率计算法（</w:t>
      </w:r>
      <w:r>
        <w:rPr>
          <w:rFonts w:ascii="SimSun" w:hAnsi="SimSun" w:eastAsia="SimSun" w:cs="SimSun"/>
          <w:i/>
          <w:color w:val="000000"/>
          <w:sz w:val="24"/>
        </w:rPr>
        <w:t>η</w:t>
      </w:r>
      <w:r>
        <w:rPr>
          <w:rFonts w:ascii="SimSun" w:hAnsi="SimSun" w:eastAsia="SimSun" w:cs="SimSun"/>
          <w:i/>
          <w:color w:val="000000"/>
          <w:sz w:val="24"/>
        </w:rPr>
        <w:t>weighted</w:t>
      </w:r>
      <w:r>
        <w:rPr>
          <w:rFonts w:ascii="SimSun" w:hAnsi="SimSun" w:eastAsia="SimSun" w:cs="SimSun"/>
          <w:color w:val="000000"/>
          <w:sz w:val="24"/>
        </w:rPr>
        <w:t xml:space="preserve">）。该方法通过对不同工况下的效率进行加权求和，能够更真实地反映车辆在实际使用中的整体节能水平。其核心公式为 </w:t>
      </w:r>
      <w:r>
        <w:rPr>
          <w:rFonts w:ascii="SimSun" w:hAnsi="SimSun" w:eastAsia="SimSun" w:cs="SimSun"/>
          <w:i/>
          <w:color w:val="000000"/>
          <w:sz w:val="24"/>
        </w:rPr>
        <w:t>η</w:t>
      </w:r>
      <w:r>
        <w:rPr>
          <w:rFonts w:ascii="SimSun" w:hAnsi="SimSun" w:eastAsia="SimSun" w:cs="SimSun"/>
          <w:i/>
          <w:color w:val="000000"/>
          <w:sz w:val="24"/>
        </w:rPr>
        <w:t>weighted</w:t>
      </w:r>
      <w:r>
        <w:rPr>
          <w:rFonts w:ascii="SimSun" w:hAnsi="SimSun" w:eastAsia="SimSun" w:cs="SimSun"/>
          <w:color w:val="000000"/>
          <w:sz w:val="24"/>
        </w:rPr>
        <w:t xml:space="preserve"> = Σ(</w:t>
      </w:r>
      <w:r>
        <w:rPr>
          <w:rFonts w:ascii="SimSun" w:hAnsi="SimSun" w:eastAsia="SimSun" w:cs="SimSun"/>
          <w:i/>
          <w:color w:val="000000"/>
          <w:sz w:val="24"/>
        </w:rPr>
        <w:t>ω</w:t>
      </w:r>
      <w:r>
        <w:rPr>
          <w:rFonts w:ascii="SimSun" w:hAnsi="SimSun" w:eastAsia="SimSun" w:cs="SimSun"/>
          <w:i/>
          <w:color w:val="000000"/>
          <w:sz w:val="24"/>
        </w:rPr>
        <w:t>i</w:t>
      </w:r>
      <w:r>
        <w:rPr>
          <w:rFonts w:ascii="SimSun" w:hAnsi="SimSun" w:eastAsia="SimSun" w:cs="SimSun"/>
          <w:color w:val="000000"/>
          <w:sz w:val="24"/>
        </w:rPr>
        <w:t xml:space="preserve"> × </w:t>
      </w:r>
      <w:r>
        <w:rPr>
          <w:rFonts w:ascii="SimSun" w:hAnsi="SimSun" w:eastAsia="SimSun" w:cs="SimSun"/>
          <w:i/>
          <w:color w:val="000000"/>
          <w:sz w:val="24"/>
        </w:rPr>
        <w:t>η</w:t>
      </w:r>
      <w:r>
        <w:rPr>
          <w:rFonts w:ascii="SimSun" w:hAnsi="SimSun" w:eastAsia="SimSun" w:cs="SimSun"/>
          <w:i/>
          <w:color w:val="000000"/>
          <w:sz w:val="24"/>
        </w:rPr>
        <w:t>i</w:t>
      </w:r>
      <w:r>
        <w:rPr>
          <w:rFonts w:ascii="SimSun" w:hAnsi="SimSun" w:eastAsia="SimSun" w:cs="SimSun"/>
          <w:color w:val="000000"/>
          <w:sz w:val="24"/>
        </w:rPr>
        <w:t xml:space="preserve">)，其中 </w:t>
      </w:r>
      <w:r>
        <w:rPr>
          <w:rFonts w:ascii="SimSun" w:hAnsi="SimSun" w:eastAsia="SimSun" w:cs="SimSun"/>
          <w:i/>
          <w:color w:val="000000"/>
          <w:sz w:val="24"/>
        </w:rPr>
        <w:t>η</w:t>
      </w:r>
      <w:r>
        <w:rPr>
          <w:rFonts w:ascii="SimSun" w:hAnsi="SimSun" w:eastAsia="SimSun" w:cs="SimSun"/>
          <w:i/>
          <w:color w:val="000000"/>
          <w:sz w:val="24"/>
        </w:rPr>
        <w:t>i</w:t>
      </w:r>
      <w:r>
        <w:rPr>
          <w:rFonts w:ascii="SimSun" w:hAnsi="SimSun" w:eastAsia="SimSun" w:cs="SimSun"/>
          <w:color w:val="000000"/>
          <w:sz w:val="24"/>
        </w:rPr>
        <w:t xml:space="preserve"> 代表车辆在第 </w:t>
      </w:r>
      <w:r>
        <w:rPr>
          <w:rFonts w:ascii="SimSun" w:hAnsi="SimSun" w:eastAsia="SimSun" w:cs="SimSun"/>
          <w:i/>
          <w:color w:val="000000"/>
          <w:sz w:val="24"/>
        </w:rPr>
        <w:t>i</w:t>
      </w:r>
      <w:r>
        <w:rPr>
          <w:rFonts w:ascii="SimSun" w:hAnsi="SimSun" w:eastAsia="SimSun" w:cs="SimSun"/>
          <w:color w:val="000000"/>
          <w:sz w:val="24"/>
        </w:rPr>
        <w:t xml:space="preserve"> 种典型工况或特定制动强度下的能量回收效率，</w:t>
      </w:r>
      <w:r>
        <w:rPr>
          <w:rFonts w:ascii="SimSun" w:hAnsi="SimSun" w:eastAsia="SimSun" w:cs="SimSun"/>
          <w:i/>
          <w:color w:val="000000"/>
          <w:sz w:val="24"/>
        </w:rPr>
        <w:t>ω</w:t>
      </w:r>
      <w:r>
        <w:rPr>
          <w:rFonts w:ascii="SimSun" w:hAnsi="SimSun" w:eastAsia="SimSun" w:cs="SimSun"/>
          <w:i/>
          <w:color w:val="000000"/>
          <w:sz w:val="24"/>
        </w:rPr>
        <w:t>i</w:t>
      </w:r>
      <w:r>
        <w:rPr>
          <w:rFonts w:ascii="SimSun" w:hAnsi="SimSun" w:eastAsia="SimSun" w:cs="SimSun"/>
          <w:color w:val="000000"/>
          <w:sz w:val="24"/>
        </w:rPr>
        <w:t xml:space="preserve"> 为对应的加权系数（满足 Σ</w:t>
      </w:r>
      <w:r>
        <w:rPr>
          <w:rFonts w:ascii="SimSun" w:hAnsi="SimSun" w:eastAsia="SimSun" w:cs="SimSun"/>
          <w:i/>
          <w:color w:val="000000"/>
          <w:sz w:val="24"/>
        </w:rPr>
        <w:t>ω</w:t>
      </w:r>
      <w:r>
        <w:rPr>
          <w:rFonts w:ascii="SimSun" w:hAnsi="SimSun" w:eastAsia="SimSun" w:cs="SimSun"/>
          <w:i/>
          <w:color w:val="000000"/>
          <w:sz w:val="24"/>
        </w:rPr>
        <w:t>i</w:t>
      </w:r>
      <w:r>
        <w:rPr>
          <w:rFonts w:ascii="SimSun" w:hAnsi="SimSun" w:eastAsia="SimSun" w:cs="SimSun"/>
          <w:color w:val="000000"/>
          <w:sz w:val="24"/>
        </w:rPr>
        <w:t xml:space="preserve"> = 1），其取值依据该工况在实际行驶中所占的时间比例或出现频率确定。该算法通过加权计算，平衡了高强度紧急制动与低强度常规制动对总回收能量的贡献，从而得出一个更具代表性的综合效率指标。</w:t>
      </w:r>
    </w:p>
    <w:p>
      <w:pPr>
        <w:spacing w:lineRule="auto" w:line="313" w:after="120"/>
        <w:jc w:val="center"/>
      </w:pPr>
      <w:r>
        <w:rPr>
          <w:rFonts w:ascii="SimHei" w:hAnsi="SimHei" w:eastAsia="SimHei" w:cs="SimHei"/>
          <w:b/>
          <w:color w:val="000000"/>
          <w:sz w:val="24"/>
        </w:rPr>
        <w:t>表 3.1 不同计算方式适用工况对比表</w:t>
      </w:r>
    </w:p>
    <w:tbl>
      <w:tblPr>
        <w:tblW w:type="auto" w:w="0"/>
        <w:jc w:val="center"/>
        <w:tblLook w:firstColumn="1" w:firstRow="1" w:lastColumn="0" w:lastRow="0" w:noHBand="0" w:noVBand="1" w:val="04A0"/>
        <w:tblBorders>
          <w:top w:val="single" w:sz="12" w:color="000000"/>
          <w:bottom w:val="single" w:sz="12" w:color="000000"/>
          <w:insideH w:val="single" w:sz="4" w:color="DDDDDD"/>
          <w:insideV w:val="single" w:sz="4" w:color="DDDDDD"/>
        </w:tblBorders>
      </w:tblPr>
      <w:tblGrid>
        <w:gridCol w:w="2160"/>
        <w:gridCol w:w="2160"/>
        <w:gridCol w:w="2160"/>
        <w:gridCol w:w="2160"/>
        <w:gridCol w:w="2160"/>
      </w:tblGrid>
      <w:tr>
        <w:tc>
          <w:tcPr>
            <w:tcW w:type="dxa" w:w="2160"/>
            <w:tcBorders>
              <w:bottom w:val="single" w:sz="6" w:color="000000"/>
            </w:tcBorders>
            <w:tcMar>
              <w:top w:w="120" w:type="dxa"/>
              <w:bottom w:w="120" w:type="dxa"/>
              <w:start w:w="120" w:type="dxa"/>
              <w:end w:w="120" w:type="dxa"/>
            </w:tcMar>
          </w:tcPr>
          <w:p>
            <w:r>
              <w:rPr>
                <w:rFonts w:ascii="SimSun" w:hAnsi="SimSun" w:eastAsia="SimSun" w:cs="SimSun"/>
                <w:b/>
                <w:color w:val="000000"/>
                <w:sz w:val="22"/>
              </w:rPr>
              <w:t>计算方法</w:t>
            </w:r>
          </w:p>
        </w:tc>
        <w:tc>
          <w:tcPr>
            <w:tcW w:type="dxa" w:w="2160"/>
            <w:tcBorders>
              <w:bottom w:val="single" w:sz="6" w:color="000000"/>
            </w:tcBorders>
            <w:tcMar>
              <w:top w:w="120" w:type="dxa"/>
              <w:bottom w:w="120" w:type="dxa"/>
              <w:start w:w="120" w:type="dxa"/>
              <w:end w:w="120" w:type="dxa"/>
            </w:tcMar>
          </w:tcPr>
          <w:p>
            <w:r>
              <w:rPr>
                <w:rFonts w:ascii="SimSun" w:hAnsi="SimSun" w:eastAsia="SimSun" w:cs="SimSun"/>
                <w:b/>
                <w:color w:val="000000"/>
                <w:sz w:val="22"/>
              </w:rPr>
              <w:t>核心公式</w:t>
            </w:r>
          </w:p>
        </w:tc>
        <w:tc>
          <w:tcPr>
            <w:tcW w:type="dxa" w:w="2160"/>
            <w:tcBorders>
              <w:bottom w:val="single" w:sz="6" w:color="000000"/>
            </w:tcBorders>
            <w:tcMar>
              <w:top w:w="120" w:type="dxa"/>
              <w:bottom w:w="120" w:type="dxa"/>
              <w:start w:w="120" w:type="dxa"/>
              <w:end w:w="120" w:type="dxa"/>
            </w:tcMar>
          </w:tcPr>
          <w:p>
            <w:r>
              <w:rPr>
                <w:rFonts w:ascii="SimSun" w:hAnsi="SimSun" w:eastAsia="SimSun" w:cs="SimSun"/>
                <w:b/>
                <w:color w:val="000000"/>
                <w:sz w:val="22"/>
              </w:rPr>
              <w:t>采样频率/时域设置</w:t>
            </w:r>
          </w:p>
        </w:tc>
        <w:tc>
          <w:tcPr>
            <w:tcW w:type="dxa" w:w="2160"/>
            <w:tcBorders>
              <w:bottom w:val="single" w:sz="6" w:color="000000"/>
            </w:tcBorders>
            <w:tcMar>
              <w:top w:w="120" w:type="dxa"/>
              <w:bottom w:w="120" w:type="dxa"/>
              <w:start w:w="120" w:type="dxa"/>
              <w:end w:w="120" w:type="dxa"/>
            </w:tcMar>
          </w:tcPr>
          <w:p>
            <w:r>
              <w:rPr>
                <w:rFonts w:ascii="SimSun" w:hAnsi="SimSun" w:eastAsia="SimSun" w:cs="SimSun"/>
                <w:b/>
                <w:color w:val="000000"/>
                <w:sz w:val="22"/>
              </w:rPr>
              <w:t>适用工况</w:t>
            </w:r>
          </w:p>
        </w:tc>
        <w:tc>
          <w:tcPr>
            <w:tcW w:type="dxa" w:w="2160"/>
            <w:tcBorders>
              <w:bottom w:val="single" w:sz="6" w:color="000000"/>
            </w:tcBorders>
            <w:tcMar>
              <w:top w:w="120" w:type="dxa"/>
              <w:bottom w:w="120" w:type="dxa"/>
              <w:start w:w="120" w:type="dxa"/>
              <w:end w:w="120" w:type="dxa"/>
            </w:tcMar>
          </w:tcPr>
          <w:p>
            <w:r>
              <w:rPr>
                <w:rFonts w:ascii="SimSun" w:hAnsi="SimSun" w:eastAsia="SimSun" w:cs="SimSun"/>
                <w:b/>
                <w:color w:val="000000"/>
                <w:sz w:val="22"/>
              </w:rPr>
              <w:t>误差范围/精度指标</w:t>
            </w:r>
          </w:p>
        </w:tc>
      </w:tr>
      <w:tr>
        <w:tc>
          <w:tcPr>
            <w:tcW w:type="dxa" w:w="2160"/>
            <w:tcMar>
              <w:top w:w="120" w:type="dxa"/>
              <w:bottom w:w="120" w:type="dxa"/>
              <w:start w:w="120" w:type="dxa"/>
              <w:end w:w="120" w:type="dxa"/>
            </w:tcMar>
          </w:tcPr>
          <w:p>
            <w:r>
              <w:rPr>
                <w:rFonts w:ascii="SimSun" w:hAnsi="SimSun" w:eastAsia="SimSun" w:cs="SimSun"/>
                <w:color w:val="000000"/>
                <w:sz w:val="22"/>
              </w:rPr>
              <w:t>直接效率计算法</w:t>
            </w:r>
          </w:p>
        </w:tc>
        <w:tc>
          <w:tcPr>
            <w:tcW w:type="dxa" w:w="2160"/>
            <w:tcMar>
              <w:top w:w="120" w:type="dxa"/>
              <w:bottom w:w="120" w:type="dxa"/>
              <w:start w:w="120" w:type="dxa"/>
              <w:end w:w="120" w:type="dxa"/>
            </w:tcMar>
          </w:tcPr>
          <w:p>
            <w:r>
              <w:rPr>
                <w:rFonts w:ascii="SimSun" w:hAnsi="SimSun" w:eastAsia="SimSun" w:cs="SimSun"/>
                <w:i/>
                <w:color w:val="000000"/>
                <w:sz w:val="22"/>
              </w:rPr>
              <w:t>η</w:t>
            </w:r>
            <w:r>
              <w:rPr>
                <w:rFonts w:ascii="SimSun" w:hAnsi="SimSun" w:eastAsia="SimSun" w:cs="SimSun"/>
                <w:i/>
                <w:color w:val="000000"/>
                <w:sz w:val="22"/>
              </w:rPr>
              <w:t>regen</w:t>
            </w:r>
            <w:r>
              <w:rPr>
                <w:rFonts w:ascii="SimSun" w:hAnsi="SimSun" w:eastAsia="SimSun" w:cs="SimSun"/>
                <w:i/>
                <w:color w:val="000000"/>
                <w:sz w:val="22"/>
              </w:rPr>
              <w:t xml:space="preserve"> = E</w:t>
            </w:r>
            <w:r>
              <w:rPr>
                <w:rFonts w:ascii="SimSun" w:hAnsi="SimSun" w:eastAsia="SimSun" w:cs="SimSun"/>
                <w:i/>
                <w:color w:val="000000"/>
                <w:sz w:val="22"/>
              </w:rPr>
              <w:t>rec</w:t>
            </w:r>
            <w:r>
              <w:rPr>
                <w:rFonts w:ascii="SimSun" w:hAnsi="SimSun" w:eastAsia="SimSun" w:cs="SimSun"/>
                <w:i/>
                <w:color w:val="000000"/>
                <w:sz w:val="22"/>
              </w:rPr>
              <w:t xml:space="preserve"> / E</w:t>
            </w:r>
            <w:r>
              <w:rPr>
                <w:rFonts w:ascii="SimSun" w:hAnsi="SimSun" w:eastAsia="SimSun" w:cs="SimSun"/>
                <w:i/>
                <w:color w:val="000000"/>
                <w:sz w:val="22"/>
              </w:rPr>
              <w:t>total</w:t>
            </w:r>
            <w:r>
              <w:rPr>
                <w:rFonts w:ascii="SimSun" w:hAnsi="SimSun" w:eastAsia="SimSun" w:cs="SimSun"/>
                <w:i/>
                <w:color w:val="000000"/>
                <w:sz w:val="22"/>
              </w:rPr>
              <w:t xml:space="preserve"> × 100%</w:t>
            </w:r>
          </w:p>
        </w:tc>
        <w:tc>
          <w:tcPr>
            <w:tcW w:type="dxa" w:w="2160"/>
            <w:tcMar>
              <w:top w:w="120" w:type="dxa"/>
              <w:bottom w:w="120" w:type="dxa"/>
              <w:start w:w="120" w:type="dxa"/>
              <w:end w:w="120" w:type="dxa"/>
            </w:tcMar>
          </w:tcPr>
          <w:p>
            <w:r>
              <w:rPr>
                <w:rFonts w:ascii="SimSun" w:hAnsi="SimSun" w:eastAsia="SimSun" w:cs="SimSun"/>
                <w:color w:val="000000"/>
                <w:sz w:val="22"/>
              </w:rPr>
              <w:t>0.1 秒采样间隔</w:t>
            </w:r>
          </w:p>
        </w:tc>
        <w:tc>
          <w:tcPr>
            <w:tcW w:type="dxa" w:w="2160"/>
            <w:tcMar>
              <w:top w:w="120" w:type="dxa"/>
              <w:bottom w:w="120" w:type="dxa"/>
              <w:start w:w="120" w:type="dxa"/>
              <w:end w:w="120" w:type="dxa"/>
            </w:tcMar>
          </w:tcPr>
          <w:p>
            <w:r>
              <w:rPr>
                <w:rFonts w:ascii="SimSun" w:hAnsi="SimSun" w:eastAsia="SimSun" w:cs="SimSun"/>
                <w:color w:val="000000"/>
                <w:sz w:val="22"/>
              </w:rPr>
              <w:t>稳态工况</w:t>
            </w:r>
          </w:p>
        </w:tc>
        <w:tc>
          <w:tcPr>
            <w:tcW w:type="dxa" w:w="2160"/>
            <w:tcMar>
              <w:top w:w="120" w:type="dxa"/>
              <w:bottom w:w="120" w:type="dxa"/>
              <w:start w:w="120" w:type="dxa"/>
              <w:end w:w="120" w:type="dxa"/>
            </w:tcMar>
          </w:tcPr>
          <w:p>
            <w:r>
              <w:rPr>
                <w:rFonts w:ascii="SimSun" w:hAnsi="SimSun" w:eastAsia="SimSun" w:cs="SimSun"/>
                <w:color w:val="000000"/>
                <w:sz w:val="22"/>
              </w:rPr>
              <w:t>±2.5%</w:t>
            </w:r>
          </w:p>
        </w:tc>
      </w:tr>
      <w:tr>
        <w:tc>
          <w:tcPr>
            <w:tcW w:type="dxa" w:w="2160"/>
            <w:tcMar>
              <w:top w:w="120" w:type="dxa"/>
              <w:bottom w:w="120" w:type="dxa"/>
              <w:start w:w="120" w:type="dxa"/>
              <w:end w:w="120" w:type="dxa"/>
            </w:tcMar>
          </w:tcPr>
          <w:p>
            <w:r>
              <w:rPr>
                <w:rFonts w:ascii="SimSun" w:hAnsi="SimSun" w:eastAsia="SimSun" w:cs="SimSun"/>
                <w:color w:val="000000"/>
                <w:sz w:val="22"/>
              </w:rPr>
              <w:t>瞬时效率计算法</w:t>
            </w:r>
          </w:p>
        </w:tc>
        <w:tc>
          <w:tcPr>
            <w:tcW w:type="dxa" w:w="2160"/>
            <w:tcMar>
              <w:top w:w="120" w:type="dxa"/>
              <w:bottom w:w="120" w:type="dxa"/>
              <w:start w:w="120" w:type="dxa"/>
              <w:end w:w="120" w:type="dxa"/>
            </w:tcMar>
          </w:tcPr>
          <w:p>
            <w:r>
              <w:rPr>
                <w:rFonts w:ascii="SimSun" w:hAnsi="SimSun" w:eastAsia="SimSun" w:cs="SimSun"/>
                <w:i/>
                <w:color w:val="000000"/>
                <w:sz w:val="22"/>
              </w:rPr>
              <w:t>η</w:t>
            </w:r>
            <w:r>
              <w:rPr>
                <w:rFonts w:ascii="SimSun" w:hAnsi="SimSun" w:eastAsia="SimSun" w:cs="SimSun"/>
                <w:i/>
                <w:color w:val="000000"/>
                <w:sz w:val="22"/>
              </w:rPr>
              <w:t>instant</w:t>
            </w:r>
            <w:r>
              <w:rPr>
                <w:rFonts w:ascii="SimSun" w:hAnsi="SimSun" w:eastAsia="SimSun" w:cs="SimSun"/>
                <w:i/>
                <w:color w:val="000000"/>
                <w:sz w:val="22"/>
              </w:rPr>
              <w:t xml:space="preserve"> = P</w:t>
            </w:r>
            <w:r>
              <w:rPr>
                <w:rFonts w:ascii="SimSun" w:hAnsi="SimSun" w:eastAsia="SimSun" w:cs="SimSun"/>
                <w:i/>
                <w:color w:val="000000"/>
                <w:sz w:val="22"/>
              </w:rPr>
              <w:t>motor</w:t>
            </w:r>
            <w:r>
              <w:rPr>
                <w:rFonts w:ascii="SimSun" w:hAnsi="SimSun" w:eastAsia="SimSun" w:cs="SimSun"/>
                <w:i/>
                <w:color w:val="000000"/>
                <w:sz w:val="22"/>
              </w:rPr>
              <w:t xml:space="preserve"> / (P</w:t>
            </w:r>
            <w:r>
              <w:rPr>
                <w:rFonts w:ascii="SimSun" w:hAnsi="SimSun" w:eastAsia="SimSun" w:cs="SimSun"/>
                <w:i/>
                <w:color w:val="000000"/>
                <w:sz w:val="22"/>
              </w:rPr>
              <w:t>motor</w:t>
            </w:r>
            <w:r>
              <w:rPr>
                <w:rFonts w:ascii="SimSun" w:hAnsi="SimSun" w:eastAsia="SimSun" w:cs="SimSun"/>
                <w:i/>
                <w:color w:val="000000"/>
                <w:sz w:val="22"/>
              </w:rPr>
              <w:t xml:space="preserve"> + P</w:t>
            </w:r>
            <w:r>
              <w:rPr>
                <w:rFonts w:ascii="SimSun" w:hAnsi="SimSun" w:eastAsia="SimSun" w:cs="SimSun"/>
                <w:i/>
                <w:color w:val="000000"/>
                <w:sz w:val="22"/>
              </w:rPr>
              <w:t>mech</w:t>
            </w:r>
            <w:r>
              <w:rPr>
                <w:rFonts w:ascii="SimSun" w:hAnsi="SimSun" w:eastAsia="SimSun" w:cs="SimSun"/>
                <w:i/>
                <w:color w:val="000000"/>
                <w:sz w:val="22"/>
              </w:rPr>
              <w:t>)</w:t>
            </w:r>
          </w:p>
        </w:tc>
        <w:tc>
          <w:tcPr>
            <w:tcW w:type="dxa" w:w="2160"/>
            <w:tcMar>
              <w:top w:w="120" w:type="dxa"/>
              <w:bottom w:w="120" w:type="dxa"/>
              <w:start w:w="120" w:type="dxa"/>
              <w:end w:w="120" w:type="dxa"/>
            </w:tcMar>
          </w:tcPr>
          <w:p>
            <w:r>
              <w:rPr>
                <w:rFonts w:ascii="SimSun" w:hAnsi="SimSun" w:eastAsia="SimSun" w:cs="SimSun"/>
                <w:color w:val="000000"/>
                <w:sz w:val="22"/>
              </w:rPr>
              <w:t>100Hz 采样频率</w:t>
            </w:r>
          </w:p>
        </w:tc>
        <w:tc>
          <w:tcPr>
            <w:tcW w:type="dxa" w:w="2160"/>
            <w:tcMar>
              <w:top w:w="120" w:type="dxa"/>
              <w:bottom w:w="120" w:type="dxa"/>
              <w:start w:w="120" w:type="dxa"/>
              <w:end w:w="120" w:type="dxa"/>
            </w:tcMar>
          </w:tcPr>
          <w:p>
            <w:r>
              <w:rPr>
                <w:rFonts w:ascii="SimSun" w:hAnsi="SimSun" w:eastAsia="SimSun" w:cs="SimSun"/>
                <w:color w:val="000000"/>
                <w:sz w:val="22"/>
              </w:rPr>
              <w:t>动态工况</w:t>
            </w:r>
          </w:p>
        </w:tc>
        <w:tc>
          <w:tcPr>
            <w:tcW w:type="dxa" w:w="2160"/>
            <w:tcMar>
              <w:top w:w="120" w:type="dxa"/>
              <w:bottom w:w="120" w:type="dxa"/>
              <w:start w:w="120" w:type="dxa"/>
              <w:end w:w="120" w:type="dxa"/>
            </w:tcMar>
          </w:tcPr>
          <w:p>
            <w:r>
              <w:rPr>
                <w:rFonts w:ascii="SimSun" w:hAnsi="SimSun" w:eastAsia="SimSun" w:cs="SimSun"/>
                <w:color w:val="000000"/>
                <w:sz w:val="22"/>
              </w:rPr>
              <w:t>瞬时波动敏感, 累积误差 ±5%</w:t>
            </w:r>
          </w:p>
        </w:tc>
      </w:tr>
      <w:tr>
        <w:tc>
          <w:tcPr>
            <w:tcW w:type="dxa" w:w="2160"/>
            <w:tcMar>
              <w:top w:w="120" w:type="dxa"/>
              <w:bottom w:w="120" w:type="dxa"/>
              <w:start w:w="120" w:type="dxa"/>
              <w:end w:w="120" w:type="dxa"/>
            </w:tcMar>
          </w:tcPr>
          <w:p>
            <w:r>
              <w:rPr>
                <w:rFonts w:ascii="SimSun" w:hAnsi="SimSun" w:eastAsia="SimSun" w:cs="SimSun"/>
                <w:color w:val="000000"/>
                <w:sz w:val="22"/>
              </w:rPr>
              <w:t>加权效率计算法</w:t>
            </w:r>
          </w:p>
        </w:tc>
        <w:tc>
          <w:tcPr>
            <w:tcW w:type="dxa" w:w="2160"/>
            <w:tcMar>
              <w:top w:w="120" w:type="dxa"/>
              <w:bottom w:w="120" w:type="dxa"/>
              <w:start w:w="120" w:type="dxa"/>
              <w:end w:w="120" w:type="dxa"/>
            </w:tcMar>
          </w:tcPr>
          <w:p>
            <w:r>
              <w:rPr>
                <w:rFonts w:ascii="SimSun" w:hAnsi="SimSun" w:eastAsia="SimSun" w:cs="SimSun"/>
                <w:i/>
                <w:color w:val="000000"/>
                <w:sz w:val="22"/>
              </w:rPr>
              <w:t>η</w:t>
            </w:r>
            <w:r>
              <w:rPr>
                <w:rFonts w:ascii="SimSun" w:hAnsi="SimSun" w:eastAsia="SimSun" w:cs="SimSun"/>
                <w:i/>
                <w:color w:val="000000"/>
                <w:sz w:val="22"/>
              </w:rPr>
              <w:t>weighted</w:t>
            </w:r>
            <w:r>
              <w:rPr>
                <w:rFonts w:ascii="SimSun" w:hAnsi="SimSun" w:eastAsia="SimSun" w:cs="SimSun"/>
                <w:i/>
                <w:color w:val="000000"/>
                <w:sz w:val="22"/>
              </w:rPr>
              <w:t xml:space="preserve"> = Σ (ω</w:t>
            </w:r>
            <w:r>
              <w:rPr>
                <w:rFonts w:ascii="SimSun" w:hAnsi="SimSun" w:eastAsia="SimSun" w:cs="SimSun"/>
                <w:i/>
                <w:color w:val="000000"/>
                <w:sz w:val="22"/>
              </w:rPr>
              <w:t>i</w:t>
            </w:r>
            <w:r>
              <w:rPr>
                <w:rFonts w:ascii="SimSun" w:hAnsi="SimSun" w:eastAsia="SimSun" w:cs="SimSun"/>
                <w:i/>
                <w:color w:val="000000"/>
                <w:sz w:val="22"/>
              </w:rPr>
              <w:t xml:space="preserve"> × η</w:t>
            </w:r>
            <w:r>
              <w:rPr>
                <w:rFonts w:ascii="SimSun" w:hAnsi="SimSun" w:eastAsia="SimSun" w:cs="SimSun"/>
                <w:i/>
                <w:color w:val="000000"/>
                <w:sz w:val="22"/>
              </w:rPr>
              <w:t>i</w:t>
            </w:r>
            <w:r>
              <w:rPr>
                <w:rFonts w:ascii="SimSun" w:hAnsi="SimSun" w:eastAsia="SimSun" w:cs="SimSun"/>
                <w:i/>
                <w:color w:val="000000"/>
                <w:sz w:val="22"/>
              </w:rPr>
              <w:t>)</w:t>
            </w:r>
          </w:p>
        </w:tc>
        <w:tc>
          <w:tcPr>
            <w:tcW w:type="dxa" w:w="2160"/>
            <w:tcMar>
              <w:top w:w="120" w:type="dxa"/>
              <w:bottom w:w="120" w:type="dxa"/>
              <w:start w:w="120" w:type="dxa"/>
              <w:end w:w="120" w:type="dxa"/>
            </w:tcMar>
          </w:tcPr>
          <w:p>
            <w:r>
              <w:rPr>
                <w:rFonts w:ascii="SimSun" w:hAnsi="SimSun" w:eastAsia="SimSun" w:cs="SimSun"/>
                <w:color w:val="000000"/>
                <w:sz w:val="22"/>
              </w:rPr>
              <w:t>速度区间划分: 0-50km/h, 80-120km/h</w:t>
            </w:r>
          </w:p>
        </w:tc>
        <w:tc>
          <w:tcPr>
            <w:tcW w:type="dxa" w:w="2160"/>
            <w:tcMar>
              <w:top w:w="120" w:type="dxa"/>
              <w:bottom w:w="120" w:type="dxa"/>
              <w:start w:w="120" w:type="dxa"/>
              <w:end w:w="120" w:type="dxa"/>
            </w:tcMar>
          </w:tcPr>
          <w:p>
            <w:r>
              <w:rPr>
                <w:rFonts w:ascii="SimSun" w:hAnsi="SimSun" w:eastAsia="SimSun" w:cs="SimSun"/>
                <w:color w:val="000000"/>
                <w:sz w:val="22"/>
              </w:rPr>
              <w:t>复合工况</w:t>
            </w:r>
          </w:p>
        </w:tc>
        <w:tc>
          <w:tcPr>
            <w:tcW w:type="dxa" w:w="2160"/>
            <w:tcMar>
              <w:top w:w="120" w:type="dxa"/>
              <w:bottom w:w="120" w:type="dxa"/>
              <w:start w:w="120" w:type="dxa"/>
              <w:end w:w="120" w:type="dxa"/>
            </w:tcMar>
          </w:tcPr>
          <w:p>
            <w:r>
              <w:rPr>
                <w:rFonts w:ascii="SimSun" w:hAnsi="SimSun" w:eastAsia="SimSun" w:cs="SimSun"/>
                <w:color w:val="000000"/>
                <w:sz w:val="22"/>
              </w:rPr>
              <w:t>相关系数 ≥ 0.95</w:t>
            </w:r>
          </w:p>
        </w:tc>
      </w:tr>
    </w:tbl>
    <w:p>
      <w:bookmarkStart w:id="10" w:name="section-3-2"/>
      <w:pPr>
        <w:pStyle w:val="Heading3"/>
        <w:spacing w:lineRule="auto" w:line="313" w:before="288" w:after="144"/>
      </w:pPr>
      <w:r>
        <w:rPr>
          <w:rFonts w:ascii="SimHei" w:hAnsi="SimHei" w:eastAsia="SimHei" w:cs="SimHei"/>
          <w:b/>
          <w:color w:val="000000"/>
          <w:sz w:val="26"/>
        </w:rPr>
        <w:t>3.2 影响因素理论分析</w:t>
      </w:r>
      <w:bookmarkEnd w:id="10" w:name="section-3-2"/>
    </w:p>
    <w:p>
      <w:pPr>
        <w:spacing w:lineRule="auto" w:line="313" w:after="192"/>
        <w:ind w:firstLine="480"/>
      </w:pPr>
      <w:r>
        <w:rPr>
          <w:rFonts w:ascii="SimSun" w:hAnsi="SimSun" w:eastAsia="SimSun" w:cs="SimSun"/>
          <w:color w:val="000000"/>
          <w:sz w:val="24"/>
        </w:rPr>
        <w:t>再生制动能量回收效率受到多重非线性因素的耦合影响。首先，车辆质量通过动能公式决定了可回收能量的理论上限</w:t>
      </w:r>
      <w:r>
        <w:rPr>
          <w:rFonts w:ascii="SimSun" w:hAnsi="SimSun" w:eastAsia="SimSun" w:cs="SimSun"/>
          <w:color w:val="000000"/>
          <w:sz w:val="19"/>
          <w:vertAlign w:val="superscript"/>
        </w:rPr>
        <w:t>[8]</w:t>
      </w:r>
      <w:r>
        <w:rPr>
          <w:rFonts w:ascii="SimSun" w:hAnsi="SimSun" w:eastAsia="SimSun" w:cs="SimSun"/>
          <w:color w:val="000000"/>
          <w:sz w:val="24"/>
        </w:rPr>
        <w:t>。其公式如下：</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49"/>
        <w:gridCol w:w="720"/>
      </w:tblGrid>
      <w:tr>
        <w:tc>
          <w:tcPr>
            <w:tcW w:type="dxa" w:w="9749"/>
            <w:tcBorders>
              <w:top w:val="nil"/>
              <w:left w:val="nil"/>
              <w:bottom w:val="nil"/>
              <w:right w:val="nil"/>
            </w:tcBorders>
          </w:tcPr>
          <w:p/>
          <w:p>
            <w:pPr>
              <w:spacing w:lineRule="auto" w:line="313"/>
              <w:jc w:val="center"/>
            </w:pPr>
            <w:r>
              <w:rPr>
                <w:rFonts w:ascii="Times New Roman" w:hAnsi="Times New Roman" w:eastAsia="Times New Roman" w:cs="Times New Roman"/>
                <w:i/>
                <w:color w:val="000000"/>
                <w:sz w:val="26"/>
              </w:rPr>
              <w:t>E = 1/2 m v</w:t>
            </w:r>
            <w:r>
              <w:rPr>
                <w:rFonts w:ascii="Times New Roman" w:hAnsi="Times New Roman" w:eastAsia="Times New Roman" w:cs="Times New Roman"/>
                <w:i/>
                <w:color w:val="000000"/>
                <w:sz w:val="19"/>
                <w:vertAlign w:val="superscript"/>
              </w:rPr>
              <w:t>2</w:t>
            </w:r>
          </w:p>
        </w:tc>
        <w:tc>
          <w:tcPr>
            <w:tcW w:type="dxa" w:w="720"/>
            <w:tcBorders>
              <w:top w:val="nil"/>
              <w:left w:val="nil"/>
              <w:bottom w:val="nil"/>
              <w:right w:val="nil"/>
            </w:tcBorders>
          </w:tcPr>
          <w:p/>
          <w:p>
            <w:pPr>
              <w:spacing w:lineRule="auto" w:line="313"/>
              <w:jc w:val="right"/>
            </w:pPr>
            <w:r>
              <w:rPr>
                <w:rFonts w:ascii="Times New Roman" w:hAnsi="Times New Roman" w:eastAsia="Times New Roman" w:cs="Times New Roman"/>
                <w:color w:val="000000"/>
                <w:sz w:val="24"/>
              </w:rPr>
              <w:t>(3)</w:t>
            </w:r>
          </w:p>
        </w:tc>
      </w:tr>
    </w:tbl>
    <w:p>
      <w:pPr>
        <w:spacing w:lineRule="auto" w:line="313" w:after="192"/>
        <w:ind w:firstLine="480"/>
      </w:pPr>
      <w:r>
        <w:rPr>
          <w:rFonts w:ascii="SimSun" w:hAnsi="SimSun" w:eastAsia="SimSun" w:cs="SimSun"/>
          <w:color w:val="000000"/>
          <w:sz w:val="24"/>
        </w:rPr>
        <w:t>结合本文引入的参考车型（整备质量 1531 kg），相较于原假设的 1350 kg 轻量化模型，真实车型的动能基数更大，这对制动系统的能量吸收能力提出了更高要求。其次，电机特性（特别是不同转速区间的发电效率 Map 图）直接限制了能量回收的转化效率。再次，电池的充放电效率、内阻、荷电状态（SOC）和温度特性，决定了回收能量的最终存储能力。例如，在低温或高 SOC 状态下，BMS 会限制充电电流以保护电池，从而迫使系统减少再生制动比例</w:t>
      </w:r>
      <w:r>
        <w:rPr>
          <w:rFonts w:ascii="SimSun" w:hAnsi="SimSun" w:eastAsia="SimSun" w:cs="SimSun"/>
          <w:color w:val="000000"/>
          <w:sz w:val="19"/>
          <w:vertAlign w:val="superscript"/>
        </w:rPr>
        <w:t>[9]</w:t>
      </w:r>
      <w:r>
        <w:rPr>
          <w:rFonts w:ascii="SimSun" w:hAnsi="SimSun" w:eastAsia="SimSun" w:cs="SimSun"/>
          <w:color w:val="000000"/>
          <w:sz w:val="24"/>
        </w:rPr>
        <w:t>。此外，制动踏板行程以及道路坡度、环境温度等外部因素，均会动态改变车辆载荷和系统工作边界。因此，设计一种能够自适应上述多变量的智能控制策略显得尤为重要。</w:t>
      </w:r>
    </w:p>
    <w:p>
      <w:bookmarkStart w:id="11" w:name="section-3-3"/>
      <w:pPr>
        <w:pStyle w:val="Heading3"/>
        <w:spacing w:lineRule="auto" w:line="313" w:before="288" w:after="144"/>
      </w:pPr>
      <w:r>
        <w:rPr>
          <w:rFonts w:ascii="SimHei" w:hAnsi="SimHei" w:eastAsia="SimHei" w:cs="SimHei"/>
          <w:b/>
          <w:color w:val="000000"/>
          <w:sz w:val="26"/>
        </w:rPr>
        <w:t>3.3 模糊 PID 控制器设计</w:t>
      </w:r>
      <w:bookmarkEnd w:id="11" w:name="section-3-3"/>
    </w:p>
    <w:p>
      <w:pPr>
        <w:spacing w:lineRule="auto" w:line="313" w:after="192"/>
        <w:ind w:firstLine="480"/>
      </w:pPr>
      <w:r>
        <w:rPr>
          <w:rFonts w:ascii="SimSun" w:hAnsi="SimSun" w:eastAsia="SimSun" w:cs="SimSun"/>
          <w:color w:val="000000"/>
          <w:sz w:val="24"/>
        </w:rPr>
        <w:t>为应对再生制动系统的非线性、时变特性，传统固定参数的 PID 控制器难以在所有工况下都达到最优控制效果。因此，本研究设计了一种基于模糊逻辑的 PID 参数自整定控制器（简称模糊 PID），以提高系统的自适应能力和鲁棒性。</w:t>
      </w:r>
    </w:p>
    <w:p>
      <w:pPr>
        <w:spacing w:lineRule="auto" w:line="313" w:after="192"/>
        <w:ind w:firstLine="480"/>
      </w:pPr>
      <w:r>
        <w:rPr>
          <w:rFonts w:ascii="SimSun" w:hAnsi="SimSun" w:eastAsia="SimSun" w:cs="SimSun"/>
          <w:color w:val="000000"/>
          <w:sz w:val="24"/>
        </w:rPr>
        <w:t>模糊 PID 控制器的核心思想是：以系统误差（</w:t>
      </w:r>
      <w:r>
        <w:rPr>
          <w:rFonts w:ascii="SimSun" w:hAnsi="SimSun" w:eastAsia="SimSun" w:cs="SimSun"/>
          <w:i/>
          <w:color w:val="000000"/>
          <w:sz w:val="24"/>
        </w:rPr>
        <w:t>e</w:t>
      </w:r>
      <w:r>
        <w:rPr>
          <w:rFonts w:ascii="SimSun" w:hAnsi="SimSun" w:eastAsia="SimSun" w:cs="SimSun"/>
          <w:color w:val="000000"/>
          <w:sz w:val="24"/>
        </w:rPr>
        <w:t>）和误差变化率（</w:t>
      </w:r>
      <w:r>
        <w:rPr>
          <w:rFonts w:ascii="SimSun" w:hAnsi="SimSun" w:eastAsia="SimSun" w:cs="SimSun"/>
          <w:i/>
          <w:color w:val="000000"/>
          <w:sz w:val="24"/>
        </w:rPr>
        <w:t>ec</w:t>
      </w:r>
      <w:r>
        <w:rPr>
          <w:rFonts w:ascii="SimSun" w:hAnsi="SimSun" w:eastAsia="SimSun" w:cs="SimSun"/>
          <w:color w:val="000000"/>
          <w:sz w:val="24"/>
        </w:rPr>
        <w:t>）作为输入，通过预设的模糊规则库进行模糊推理，实时在线地调整 PID 控制器的三个关键参数——比例（</w:t>
      </w:r>
      <w:r>
        <w:rPr>
          <w:rFonts w:ascii="SimSun" w:hAnsi="SimSun" w:eastAsia="SimSun" w:cs="SimSun"/>
          <w:i/>
          <w:color w:val="000000"/>
          <w:sz w:val="24"/>
        </w:rPr>
        <w:t>Kp</w:t>
      </w:r>
      <w:r>
        <w:rPr>
          <w:rFonts w:ascii="SimSun" w:hAnsi="SimSun" w:eastAsia="SimSun" w:cs="SimSun"/>
          <w:color w:val="000000"/>
          <w:sz w:val="24"/>
        </w:rPr>
        <w:t>）、积分（</w:t>
      </w:r>
      <w:r>
        <w:rPr>
          <w:rFonts w:ascii="SimSun" w:hAnsi="SimSun" w:eastAsia="SimSun" w:cs="SimSun"/>
          <w:i/>
          <w:color w:val="000000"/>
          <w:sz w:val="24"/>
        </w:rPr>
        <w:t>Ki</w:t>
      </w:r>
      <w:r>
        <w:rPr>
          <w:rFonts w:ascii="SimSun" w:hAnsi="SimSun" w:eastAsia="SimSun" w:cs="SimSun"/>
          <w:color w:val="000000"/>
          <w:sz w:val="24"/>
        </w:rPr>
        <w:t>）和微分（</w:t>
      </w:r>
      <w:r>
        <w:rPr>
          <w:rFonts w:ascii="SimSun" w:hAnsi="SimSun" w:eastAsia="SimSun" w:cs="SimSun"/>
          <w:i/>
          <w:color w:val="000000"/>
          <w:sz w:val="24"/>
        </w:rPr>
        <w:t>Kd</w:t>
      </w:r>
      <w:r>
        <w:rPr>
          <w:rFonts w:ascii="SimSun" w:hAnsi="SimSun" w:eastAsia="SimSun" w:cs="SimSun"/>
          <w:color w:val="000000"/>
          <w:sz w:val="24"/>
        </w:rPr>
        <w:t>）。</w:t>
      </w:r>
    </w:p>
    <w:p>
      <w:pPr>
        <w:spacing w:lineRule="auto" w:line="313" w:after="192"/>
        <w:ind w:firstLine="480"/>
      </w:pPr>
      <w:r>
        <w:rPr>
          <w:rFonts w:ascii="SimSun" w:hAnsi="SimSun" w:eastAsia="SimSun" w:cs="SimSun"/>
          <w:b/>
          <w:color w:val="000000"/>
          <w:sz w:val="24"/>
        </w:rPr>
        <w:t>1. 变量的模糊化：</w:t>
      </w:r>
      <w:r>
        <w:rPr>
          <w:rFonts w:ascii="SimSun" w:hAnsi="SimSun" w:eastAsia="SimSun" w:cs="SimSun"/>
          <w:color w:val="000000"/>
          <w:sz w:val="24"/>
        </w:rPr>
        <w:t xml:space="preserve">本设计中，输入变量为制动力实际值与期望值之间的误差 </w:t>
      </w:r>
      <w:r>
        <w:rPr>
          <w:rFonts w:ascii="SimSun" w:hAnsi="SimSun" w:eastAsia="SimSun" w:cs="SimSun"/>
          <w:i/>
          <w:color w:val="000000"/>
          <w:sz w:val="24"/>
        </w:rPr>
        <w:t>e</w:t>
      </w:r>
      <w:r>
        <w:rPr>
          <w:rFonts w:ascii="SimSun" w:hAnsi="SimSun" w:eastAsia="SimSun" w:cs="SimSun"/>
          <w:color w:val="000000"/>
          <w:sz w:val="24"/>
        </w:rPr>
        <w:t xml:space="preserve"> 和误差变化率 </w:t>
      </w:r>
      <w:r>
        <w:rPr>
          <w:rFonts w:ascii="SimSun" w:hAnsi="SimSun" w:eastAsia="SimSun" w:cs="SimSun"/>
          <w:i/>
          <w:color w:val="000000"/>
          <w:sz w:val="24"/>
        </w:rPr>
        <w:t>ec</w:t>
      </w:r>
      <w:r>
        <w:rPr>
          <w:rFonts w:ascii="SimSun" w:hAnsi="SimSun" w:eastAsia="SimSun" w:cs="SimSun"/>
          <w:color w:val="000000"/>
          <w:sz w:val="24"/>
        </w:rPr>
        <w:t xml:space="preserve">。输出变量为 PID 参数的调整量 </w:t>
      </w:r>
      <w:r>
        <w:rPr>
          <w:rFonts w:ascii="SimSun" w:hAnsi="SimSun" w:eastAsia="SimSun" w:cs="SimSun"/>
          <w:i/>
          <w:color w:val="000000"/>
          <w:sz w:val="24"/>
        </w:rPr>
        <w:t>ΔKp</w:t>
      </w:r>
      <w:r>
        <w:rPr>
          <w:rFonts w:ascii="SimSun" w:hAnsi="SimSun" w:eastAsia="SimSun" w:cs="SimSun"/>
          <w:color w:val="000000"/>
          <w:sz w:val="24"/>
        </w:rPr>
        <w:t>、</w:t>
      </w:r>
      <w:r>
        <w:rPr>
          <w:rFonts w:ascii="SimSun" w:hAnsi="SimSun" w:eastAsia="SimSun" w:cs="SimSun"/>
          <w:i/>
          <w:color w:val="000000"/>
          <w:sz w:val="24"/>
        </w:rPr>
        <w:t>ΔKi</w:t>
      </w:r>
      <w:r>
        <w:rPr>
          <w:rFonts w:ascii="SimSun" w:hAnsi="SimSun" w:eastAsia="SimSun" w:cs="SimSun"/>
          <w:color w:val="000000"/>
          <w:sz w:val="24"/>
        </w:rPr>
        <w:t xml:space="preserve"> 和 </w:t>
      </w:r>
      <w:r>
        <w:rPr>
          <w:rFonts w:ascii="SimSun" w:hAnsi="SimSun" w:eastAsia="SimSun" w:cs="SimSun"/>
          <w:i/>
          <w:color w:val="000000"/>
          <w:sz w:val="24"/>
        </w:rPr>
        <w:t>ΔKd</w:t>
      </w:r>
      <w:r>
        <w:rPr>
          <w:rFonts w:ascii="SimSun" w:hAnsi="SimSun" w:eastAsia="SimSun" w:cs="SimSun"/>
          <w:color w:val="000000"/>
          <w:sz w:val="24"/>
        </w:rPr>
        <w:t>。输入和输出变量的模糊论域均定义为 {-3, -2, -1, 0, 1, 2, 3}，对应的模糊子集为 {负大(NB), 负中(NM), 负小(NS), 零(ZO), 正小(PS), 正中(PM), 正大(PB)}。隶属度函数均采用计算简单的三角形隶属函数。</w:t>
      </w:r>
    </w:p>
    <w:p>
      <w:pPr>
        <w:spacing w:lineRule="auto" w:line="313" w:after="192"/>
        <w:ind w:firstLine="480"/>
      </w:pPr>
      <w:r>
        <w:rPr>
          <w:rFonts w:ascii="SimSun" w:hAnsi="SimSun" w:eastAsia="SimSun" w:cs="SimSun"/>
          <w:b/>
          <w:color w:val="000000"/>
          <w:sz w:val="24"/>
        </w:rPr>
        <w:t>2. 模糊规则设计：</w:t>
      </w:r>
      <w:r>
        <w:rPr>
          <w:rFonts w:ascii="SimSun" w:hAnsi="SimSun" w:eastAsia="SimSun" w:cs="SimSun"/>
          <w:color w:val="000000"/>
          <w:sz w:val="24"/>
        </w:rPr>
        <w:t xml:space="preserve">模糊控制规则是基于专家经验和系统响应特性总结而成的。例如，当误差 </w:t>
      </w:r>
      <w:r>
        <w:rPr>
          <w:rFonts w:ascii="SimSun" w:hAnsi="SimSun" w:eastAsia="SimSun" w:cs="SimSun"/>
          <w:i/>
          <w:color w:val="000000"/>
          <w:sz w:val="24"/>
        </w:rPr>
        <w:t>e</w:t>
      </w:r>
      <w:r>
        <w:rPr>
          <w:rFonts w:ascii="SimSun" w:hAnsi="SimSun" w:eastAsia="SimSun" w:cs="SimSun"/>
          <w:color w:val="000000"/>
          <w:sz w:val="24"/>
        </w:rPr>
        <w:t xml:space="preserve"> 较大时，为加快响应速度，应取较大的 </w:t>
      </w:r>
      <w:r>
        <w:rPr>
          <w:rFonts w:ascii="SimSun" w:hAnsi="SimSun" w:eastAsia="SimSun" w:cs="SimSun"/>
          <w:i/>
          <w:color w:val="000000"/>
          <w:sz w:val="24"/>
        </w:rPr>
        <w:t>Kp</w:t>
      </w:r>
      <w:r>
        <w:rPr>
          <w:rFonts w:ascii="SimSun" w:hAnsi="SimSun" w:eastAsia="SimSun" w:cs="SimSun"/>
          <w:color w:val="000000"/>
          <w:sz w:val="24"/>
        </w:rPr>
        <w:t xml:space="preserve"> 和较小的 </w:t>
      </w:r>
      <w:r>
        <w:rPr>
          <w:rFonts w:ascii="SimSun" w:hAnsi="SimSun" w:eastAsia="SimSun" w:cs="SimSun"/>
          <w:i/>
          <w:color w:val="000000"/>
          <w:sz w:val="24"/>
        </w:rPr>
        <w:t>Kd</w:t>
      </w:r>
      <w:r>
        <w:rPr>
          <w:rFonts w:ascii="SimSun" w:hAnsi="SimSun" w:eastAsia="SimSun" w:cs="SimSun"/>
          <w:color w:val="000000"/>
          <w:sz w:val="24"/>
        </w:rPr>
        <w:t xml:space="preserve">；当误差 </w:t>
      </w:r>
      <w:r>
        <w:rPr>
          <w:rFonts w:ascii="SimSun" w:hAnsi="SimSun" w:eastAsia="SimSun" w:cs="SimSun"/>
          <w:i/>
          <w:color w:val="000000"/>
          <w:sz w:val="24"/>
        </w:rPr>
        <w:t>e</w:t>
      </w:r>
      <w:r>
        <w:rPr>
          <w:rFonts w:ascii="SimSun" w:hAnsi="SimSun" w:eastAsia="SimSun" w:cs="SimSun"/>
          <w:color w:val="000000"/>
          <w:sz w:val="24"/>
        </w:rPr>
        <w:t xml:space="preserve"> 和误差变化率 </w:t>
      </w:r>
      <w:r>
        <w:rPr>
          <w:rFonts w:ascii="SimSun" w:hAnsi="SimSun" w:eastAsia="SimSun" w:cs="SimSun"/>
          <w:i/>
          <w:color w:val="000000"/>
          <w:sz w:val="24"/>
        </w:rPr>
        <w:t>ec</w:t>
      </w:r>
      <w:r>
        <w:rPr>
          <w:rFonts w:ascii="SimSun" w:hAnsi="SimSun" w:eastAsia="SimSun" w:cs="SimSun"/>
          <w:color w:val="000000"/>
          <w:sz w:val="24"/>
        </w:rPr>
        <w:t xml:space="preserve"> 变化方向相反时，为防止超调，应减小 </w:t>
      </w:r>
      <w:r>
        <w:rPr>
          <w:rFonts w:ascii="SimSun" w:hAnsi="SimSun" w:eastAsia="SimSun" w:cs="SimSun"/>
          <w:i/>
          <w:color w:val="000000"/>
          <w:sz w:val="24"/>
        </w:rPr>
        <w:t>Kp</w:t>
      </w:r>
      <w:r>
        <w:rPr>
          <w:rFonts w:ascii="SimSun" w:hAnsi="SimSun" w:eastAsia="SimSun" w:cs="SimSun"/>
          <w:color w:val="000000"/>
          <w:sz w:val="24"/>
        </w:rPr>
        <w:t xml:space="preserve">。一条典型的规则是：“IF </w:t>
      </w:r>
      <w:r>
        <w:rPr>
          <w:rFonts w:ascii="SimSun" w:hAnsi="SimSun" w:eastAsia="SimSun" w:cs="SimSun"/>
          <w:i/>
          <w:color w:val="000000"/>
          <w:sz w:val="24"/>
        </w:rPr>
        <w:t>e</w:t>
      </w:r>
      <w:r>
        <w:rPr>
          <w:rFonts w:ascii="SimSun" w:hAnsi="SimSun" w:eastAsia="SimSun" w:cs="SimSun"/>
          <w:color w:val="000000"/>
          <w:sz w:val="24"/>
        </w:rPr>
        <w:t xml:space="preserve"> is PB AND </w:t>
      </w:r>
      <w:r>
        <w:rPr>
          <w:rFonts w:ascii="SimSun" w:hAnsi="SimSun" w:eastAsia="SimSun" w:cs="SimSun"/>
          <w:i/>
          <w:color w:val="000000"/>
          <w:sz w:val="24"/>
        </w:rPr>
        <w:t>ec</w:t>
      </w:r>
      <w:r>
        <w:rPr>
          <w:rFonts w:ascii="SimSun" w:hAnsi="SimSun" w:eastAsia="SimSun" w:cs="SimSun"/>
          <w:color w:val="000000"/>
          <w:sz w:val="24"/>
        </w:rPr>
        <w:t xml:space="preserve"> is NB, THEN </w:t>
      </w:r>
      <w:r>
        <w:rPr>
          <w:rFonts w:ascii="SimSun" w:hAnsi="SimSun" w:eastAsia="SimSun" w:cs="SimSun"/>
          <w:i/>
          <w:color w:val="000000"/>
          <w:sz w:val="24"/>
        </w:rPr>
        <w:t>ΔKp</w:t>
      </w:r>
      <w:r>
        <w:rPr>
          <w:rFonts w:ascii="SimSun" w:hAnsi="SimSun" w:eastAsia="SimSun" w:cs="SimSun"/>
          <w:color w:val="000000"/>
          <w:sz w:val="24"/>
        </w:rPr>
        <w:t xml:space="preserve"> is PB, </w:t>
      </w:r>
      <w:r>
        <w:rPr>
          <w:rFonts w:ascii="SimSun" w:hAnsi="SimSun" w:eastAsia="SimSun" w:cs="SimSun"/>
          <w:i/>
          <w:color w:val="000000"/>
          <w:sz w:val="24"/>
        </w:rPr>
        <w:t>ΔKi</w:t>
      </w:r>
      <w:r>
        <w:rPr>
          <w:rFonts w:ascii="SimSun" w:hAnsi="SimSun" w:eastAsia="SimSun" w:cs="SimSun"/>
          <w:color w:val="000000"/>
          <w:sz w:val="24"/>
        </w:rPr>
        <w:t xml:space="preserve"> is NB, </w:t>
      </w:r>
      <w:r>
        <w:rPr>
          <w:rFonts w:ascii="SimSun" w:hAnsi="SimSun" w:eastAsia="SimSun" w:cs="SimSun"/>
          <w:i/>
          <w:color w:val="000000"/>
          <w:sz w:val="24"/>
        </w:rPr>
        <w:t>ΔKd</w:t>
      </w:r>
      <w:r>
        <w:rPr>
          <w:rFonts w:ascii="SimSun" w:hAnsi="SimSun" w:eastAsia="SimSun" w:cs="SimSun"/>
          <w:color w:val="000000"/>
          <w:sz w:val="24"/>
        </w:rPr>
        <w:t xml:space="preserve"> is PS.”</w:t>
      </w:r>
    </w:p>
    <w:p>
      <w:pPr>
        <w:spacing w:lineRule="auto" w:line="313" w:after="192"/>
        <w:ind w:firstLine="480"/>
      </w:pPr>
      <w:r>
        <w:rPr>
          <w:rFonts w:ascii="SimSun" w:hAnsi="SimSun" w:eastAsia="SimSun" w:cs="SimSun"/>
          <w:b/>
          <w:color w:val="000000"/>
          <w:sz w:val="24"/>
        </w:rPr>
        <w:t>3. 解模糊与参数更新：</w:t>
      </w:r>
      <w:r>
        <w:rPr>
          <w:rFonts w:ascii="SimSun" w:hAnsi="SimSun" w:eastAsia="SimSun" w:cs="SimSun"/>
          <w:color w:val="000000"/>
          <w:sz w:val="24"/>
        </w:rPr>
        <w:t>本研究采用加权平均法（重心法）进行解模糊。最终，PID 控制器的参数通过以下公式进行实时更新：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49"/>
        <w:gridCol w:w="720"/>
      </w:tblGrid>
      <w:tr>
        <w:tc>
          <w:tcPr>
            <w:tcW w:type="dxa" w:w="9749"/>
            <w:tcBorders>
              <w:top w:val="nil"/>
              <w:left w:val="nil"/>
              <w:bottom w:val="nil"/>
              <w:right w:val="nil"/>
            </w:tcBorders>
          </w:tcPr>
          <w:p/>
          <w:p>
            <w:pPr>
              <w:spacing w:lineRule="auto" w:line="313"/>
              <w:jc w:val="center"/>
            </w:pPr>
            <w:r>
              <w:rPr>
                <w:rFonts w:ascii="Times New Roman" w:hAnsi="Times New Roman" w:eastAsia="Times New Roman" w:cs="Times New Roman"/>
                <w:i/>
                <w:color w:val="000000"/>
                <w:sz w:val="26"/>
              </w:rPr>
              <w:t>Kp = K</w:t>
            </w:r>
            <w:r>
              <w:rPr>
                <w:rFonts w:ascii="Times New Roman" w:hAnsi="Times New Roman" w:eastAsia="Times New Roman" w:cs="Times New Roman"/>
                <w:i/>
                <w:color w:val="000000"/>
                <w:sz w:val="26"/>
              </w:rPr>
              <w:t>p0</w:t>
            </w:r>
            <w:r>
              <w:rPr>
                <w:rFonts w:ascii="Times New Roman" w:hAnsi="Times New Roman" w:eastAsia="Times New Roman" w:cs="Times New Roman"/>
                <w:i/>
                <w:color w:val="000000"/>
                <w:sz w:val="26"/>
              </w:rPr>
              <w:t xml:space="preserve"> + ΔKp</w:t>
            </w:r>
          </w:p>
        </w:tc>
        <w:tc>
          <w:tcPr>
            <w:tcW w:type="dxa" w:w="720"/>
            <w:tcBorders>
              <w:top w:val="nil"/>
              <w:left w:val="nil"/>
              <w:bottom w:val="nil"/>
              <w:right w:val="nil"/>
            </w:tcBorders>
          </w:tcPr>
          <w:p/>
          <w:p>
            <w:pPr>
              <w:spacing w:lineRule="auto" w:line="313"/>
              <w:jc w:val="right"/>
            </w:pPr>
            <w:r>
              <w:rPr>
                <w:rFonts w:ascii="Times New Roman" w:hAnsi="Times New Roman" w:eastAsia="Times New Roman" w:cs="Times New Roman"/>
                <w:color w:val="000000"/>
                <w:sz w:val="24"/>
              </w:rPr>
              <w:t>(4)</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49"/>
        <w:gridCol w:w="720"/>
      </w:tblGrid>
      <w:tr>
        <w:tc>
          <w:tcPr>
            <w:tcW w:type="dxa" w:w="9749"/>
            <w:tcBorders>
              <w:top w:val="nil"/>
              <w:left w:val="nil"/>
              <w:bottom w:val="nil"/>
              <w:right w:val="nil"/>
            </w:tcBorders>
          </w:tcPr>
          <w:p/>
          <w:p>
            <w:pPr>
              <w:spacing w:lineRule="auto" w:line="313"/>
              <w:jc w:val="center"/>
            </w:pPr>
            <w:r>
              <w:rPr>
                <w:rFonts w:ascii="Times New Roman" w:hAnsi="Times New Roman" w:eastAsia="Times New Roman" w:cs="Times New Roman"/>
                <w:i/>
                <w:color w:val="000000"/>
                <w:sz w:val="26"/>
              </w:rPr>
              <w:t>Ki = K</w:t>
            </w:r>
            <w:r>
              <w:rPr>
                <w:rFonts w:ascii="Times New Roman" w:hAnsi="Times New Roman" w:eastAsia="Times New Roman" w:cs="Times New Roman"/>
                <w:i/>
                <w:color w:val="000000"/>
                <w:sz w:val="26"/>
              </w:rPr>
              <w:t>i0</w:t>
            </w:r>
            <w:r>
              <w:rPr>
                <w:rFonts w:ascii="Times New Roman" w:hAnsi="Times New Roman" w:eastAsia="Times New Roman" w:cs="Times New Roman"/>
                <w:i/>
                <w:color w:val="000000"/>
                <w:sz w:val="26"/>
              </w:rPr>
              <w:t xml:space="preserve"> + ΔKi</w:t>
            </w:r>
          </w:p>
        </w:tc>
        <w:tc>
          <w:tcPr>
            <w:tcW w:type="dxa" w:w="720"/>
            <w:tcBorders>
              <w:top w:val="nil"/>
              <w:left w:val="nil"/>
              <w:bottom w:val="nil"/>
              <w:right w:val="nil"/>
            </w:tcBorders>
          </w:tcPr>
          <w:p/>
          <w:p>
            <w:pPr>
              <w:spacing w:lineRule="auto" w:line="313"/>
              <w:jc w:val="right"/>
            </w:pPr>
            <w:r>
              <w:rPr>
                <w:rFonts w:ascii="Times New Roman" w:hAnsi="Times New Roman" w:eastAsia="Times New Roman" w:cs="Times New Roman"/>
                <w:color w:val="000000"/>
                <w:sz w:val="24"/>
              </w:rPr>
              <w:t>(5)</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49"/>
        <w:gridCol w:w="720"/>
      </w:tblGrid>
      <w:tr>
        <w:tc>
          <w:tcPr>
            <w:tcW w:type="dxa" w:w="9749"/>
            <w:tcBorders>
              <w:top w:val="nil"/>
              <w:left w:val="nil"/>
              <w:bottom w:val="nil"/>
              <w:right w:val="nil"/>
            </w:tcBorders>
          </w:tcPr>
          <w:p/>
          <w:p>
            <w:pPr>
              <w:spacing w:lineRule="auto" w:line="313"/>
              <w:jc w:val="center"/>
            </w:pPr>
            <w:r>
              <w:rPr>
                <w:rFonts w:ascii="Times New Roman" w:hAnsi="Times New Roman" w:eastAsia="Times New Roman" w:cs="Times New Roman"/>
                <w:i/>
                <w:color w:val="000000"/>
                <w:sz w:val="26"/>
              </w:rPr>
              <w:t>Kd = K</w:t>
            </w:r>
            <w:r>
              <w:rPr>
                <w:rFonts w:ascii="Times New Roman" w:hAnsi="Times New Roman" w:eastAsia="Times New Roman" w:cs="Times New Roman"/>
                <w:i/>
                <w:color w:val="000000"/>
                <w:sz w:val="26"/>
              </w:rPr>
              <w:t>d0</w:t>
            </w:r>
            <w:r>
              <w:rPr>
                <w:rFonts w:ascii="Times New Roman" w:hAnsi="Times New Roman" w:eastAsia="Times New Roman" w:cs="Times New Roman"/>
                <w:i/>
                <w:color w:val="000000"/>
                <w:sz w:val="26"/>
              </w:rPr>
              <w:t xml:space="preserve"> + ΔKd</w:t>
            </w:r>
          </w:p>
        </w:tc>
        <w:tc>
          <w:tcPr>
            <w:tcW w:type="dxa" w:w="720"/>
            <w:tcBorders>
              <w:top w:val="nil"/>
              <w:left w:val="nil"/>
              <w:bottom w:val="nil"/>
              <w:right w:val="nil"/>
            </w:tcBorders>
          </w:tcPr>
          <w:p/>
          <w:p>
            <w:pPr>
              <w:spacing w:lineRule="auto" w:line="313"/>
              <w:jc w:val="right"/>
            </w:pPr>
            <w:r>
              <w:rPr>
                <w:rFonts w:ascii="Times New Roman" w:hAnsi="Times New Roman" w:eastAsia="Times New Roman" w:cs="Times New Roman"/>
                <w:color w:val="000000"/>
                <w:sz w:val="24"/>
              </w:rPr>
              <w:t>(6)</w:t>
            </w:r>
          </w:p>
        </w:tc>
      </w:tr>
    </w:tbl>
    <w:p>
      <w:pPr>
        <w:spacing w:lineRule="auto" w:line="313" w:after="192"/>
        <w:ind w:firstLine="480"/>
      </w:pPr>
      <w:r>
        <w:rPr>
          <w:rFonts w:ascii="SimSun" w:hAnsi="SimSun" w:eastAsia="SimSun" w:cs="SimSun"/>
          <w:color w:val="000000"/>
          <w:sz w:val="24"/>
        </w:rPr>
        <w:t>其中，</w:t>
      </w:r>
      <w:r>
        <w:rPr>
          <w:rFonts w:ascii="SimSun" w:hAnsi="SimSun" w:eastAsia="SimSun" w:cs="SimSun"/>
          <w:i/>
          <w:color w:val="000000"/>
          <w:sz w:val="24"/>
        </w:rPr>
        <w:t>K</w:t>
      </w:r>
      <w:r>
        <w:rPr>
          <w:rFonts w:ascii="SimSun" w:hAnsi="SimSun" w:eastAsia="SimSun" w:cs="SimSun"/>
          <w:i/>
          <w:color w:val="000000"/>
          <w:sz w:val="24"/>
        </w:rPr>
        <w:t>p0</w:t>
      </w:r>
      <w:r>
        <w:rPr>
          <w:rFonts w:ascii="SimSun" w:hAnsi="SimSun" w:eastAsia="SimSun" w:cs="SimSun"/>
          <w:color w:val="000000"/>
          <w:sz w:val="24"/>
        </w:rPr>
        <w:t>、</w:t>
      </w:r>
      <w:r>
        <w:rPr>
          <w:rFonts w:ascii="SimSun" w:hAnsi="SimSun" w:eastAsia="SimSun" w:cs="SimSun"/>
          <w:i/>
          <w:color w:val="000000"/>
          <w:sz w:val="24"/>
        </w:rPr>
        <w:t>K</w:t>
      </w:r>
      <w:r>
        <w:rPr>
          <w:rFonts w:ascii="SimSun" w:hAnsi="SimSun" w:eastAsia="SimSun" w:cs="SimSun"/>
          <w:i/>
          <w:color w:val="000000"/>
          <w:sz w:val="24"/>
        </w:rPr>
        <w:t>i0</w:t>
      </w:r>
      <w:r>
        <w:rPr>
          <w:rFonts w:ascii="SimSun" w:hAnsi="SimSun" w:eastAsia="SimSun" w:cs="SimSun"/>
          <w:color w:val="000000"/>
          <w:sz w:val="24"/>
        </w:rPr>
        <w:t>、</w:t>
      </w:r>
      <w:r>
        <w:rPr>
          <w:rFonts w:ascii="SimSun" w:hAnsi="SimSun" w:eastAsia="SimSun" w:cs="SimSun"/>
          <w:i/>
          <w:color w:val="000000"/>
          <w:sz w:val="24"/>
        </w:rPr>
        <w:t>K</w:t>
      </w:r>
      <w:r>
        <w:rPr>
          <w:rFonts w:ascii="SimSun" w:hAnsi="SimSun" w:eastAsia="SimSun" w:cs="SimSun"/>
          <w:i/>
          <w:color w:val="000000"/>
          <w:sz w:val="24"/>
        </w:rPr>
        <w:t>d0</w:t>
      </w:r>
      <w:r>
        <w:rPr>
          <w:rFonts w:ascii="SimSun" w:hAnsi="SimSun" w:eastAsia="SimSun" w:cs="SimSun"/>
          <w:color w:val="000000"/>
          <w:sz w:val="24"/>
        </w:rPr>
        <w:t xml:space="preserve"> 为 PID 控制器的初始基准参数。经过多次仿真寻优，设定基准参数为：比例系数 </w:t>
      </w:r>
      <w:r>
        <w:rPr>
          <w:rFonts w:ascii="SimSun" w:hAnsi="SimSun" w:eastAsia="SimSun" w:cs="SimSun"/>
          <w:i/>
          <w:color w:val="000000"/>
          <w:sz w:val="24"/>
        </w:rPr>
        <w:t>K</w:t>
      </w:r>
      <w:r>
        <w:rPr>
          <w:rFonts w:ascii="SimSun" w:hAnsi="SimSun" w:eastAsia="SimSun" w:cs="SimSun"/>
          <w:i/>
          <w:color w:val="000000"/>
          <w:sz w:val="24"/>
        </w:rPr>
        <w:t>p0</w:t>
      </w:r>
      <w:r>
        <w:rPr>
          <w:rFonts w:ascii="SimSun" w:hAnsi="SimSun" w:eastAsia="SimSun" w:cs="SimSun"/>
          <w:color w:val="000000"/>
          <w:sz w:val="24"/>
        </w:rPr>
        <w:t xml:space="preserve"> = 0.85，积分时间 </w:t>
      </w:r>
      <w:r>
        <w:rPr>
          <w:rFonts w:ascii="SimSun" w:hAnsi="SimSun" w:eastAsia="SimSun" w:cs="SimSun"/>
          <w:i/>
          <w:color w:val="000000"/>
          <w:sz w:val="24"/>
        </w:rPr>
        <w:t>T</w:t>
      </w:r>
      <w:r>
        <w:rPr>
          <w:rFonts w:ascii="SimSun" w:hAnsi="SimSun" w:eastAsia="SimSun" w:cs="SimSun"/>
          <w:i/>
          <w:color w:val="000000"/>
          <w:sz w:val="24"/>
        </w:rPr>
        <w:t>i0</w:t>
      </w:r>
      <w:r>
        <w:rPr>
          <w:rFonts w:ascii="SimSun" w:hAnsi="SimSun" w:eastAsia="SimSun" w:cs="SimSun"/>
          <w:color w:val="000000"/>
          <w:sz w:val="24"/>
        </w:rPr>
        <w:t xml:space="preserve"> = 0.12s，微分时间 </w:t>
      </w:r>
      <w:r>
        <w:rPr>
          <w:rFonts w:ascii="SimSun" w:hAnsi="SimSun" w:eastAsia="SimSun" w:cs="SimSun"/>
          <w:i/>
          <w:color w:val="000000"/>
          <w:sz w:val="24"/>
        </w:rPr>
        <w:t>T</w:t>
      </w:r>
      <w:r>
        <w:rPr>
          <w:rFonts w:ascii="SimSun" w:hAnsi="SimSun" w:eastAsia="SimSun" w:cs="SimSun"/>
          <w:i/>
          <w:color w:val="000000"/>
          <w:sz w:val="24"/>
        </w:rPr>
        <w:t>d0</w:t>
      </w:r>
      <w:r>
        <w:rPr>
          <w:rFonts w:ascii="SimSun" w:hAnsi="SimSun" w:eastAsia="SimSun" w:cs="SimSun"/>
          <w:color w:val="000000"/>
          <w:sz w:val="24"/>
        </w:rPr>
        <w:t xml:space="preserve"> = 0.05s。此外，为抑制制动力切换过程中的抖动，引入了自适应滑模控制算法，设定滑模面参数 </w:t>
      </w:r>
      <w:r>
        <w:rPr>
          <w:rFonts w:ascii="SimSun" w:hAnsi="SimSun" w:eastAsia="SimSun" w:cs="SimSun"/>
          <w:i/>
          <w:color w:val="000000"/>
          <w:sz w:val="24"/>
        </w:rPr>
        <w:t>λ</w:t>
      </w:r>
      <w:r>
        <w:rPr>
          <w:rFonts w:ascii="SimSun" w:hAnsi="SimSun" w:eastAsia="SimSun" w:cs="SimSun"/>
          <w:color w:val="000000"/>
          <w:sz w:val="24"/>
        </w:rPr>
        <w:t xml:space="preserve"> = 1.2，切换增益 </w:t>
      </w:r>
      <w:r>
        <w:rPr>
          <w:rFonts w:ascii="SimSun" w:hAnsi="SimSun" w:eastAsia="SimSun" w:cs="SimSun"/>
          <w:i/>
          <w:color w:val="000000"/>
          <w:sz w:val="24"/>
        </w:rPr>
        <w:t>K</w:t>
      </w:r>
      <w:r>
        <w:rPr>
          <w:rFonts w:ascii="SimSun" w:hAnsi="SimSun" w:eastAsia="SimSun" w:cs="SimSun"/>
          <w:color w:val="000000"/>
          <w:sz w:val="24"/>
        </w:rPr>
        <w:t xml:space="preserve"> = 0.8，有效提升了制动平顺性。</w:t>
      </w:r>
    </w:p>
    <w:p>
      <w:bookmarkStart w:id="12" w:name="section-4"/>
      <w:pPr>
        <w:pStyle w:val="Heading2"/>
        <w:spacing w:lineRule="auto" w:line="313" w:before="360" w:after="192"/>
      </w:pPr>
      <w:r>
        <w:rPr>
          <w:rFonts w:ascii="SimHei" w:hAnsi="SimHei" w:eastAsia="SimHei" w:cs="SimHei"/>
          <w:b/>
          <w:color w:val="000000"/>
          <w:sz w:val="30"/>
        </w:rPr>
        <w:t>4 仿真平台搭建与实验设计</w:t>
      </w:r>
      <w:bookmarkEnd w:id="12" w:name="section-4"/>
    </w:p>
    <w:p>
      <w:bookmarkStart w:id="13" w:name="section-4-1"/>
      <w:pPr>
        <w:pStyle w:val="Heading3"/>
        <w:spacing w:lineRule="auto" w:line="313" w:before="288" w:after="144"/>
      </w:pPr>
      <w:r>
        <w:rPr>
          <w:rFonts w:ascii="SimHei" w:hAnsi="SimHei" w:eastAsia="SimHei" w:cs="SimHei"/>
          <w:b/>
          <w:color w:val="000000"/>
          <w:sz w:val="26"/>
        </w:rPr>
        <w:t>4.1 仿真平台搭建</w:t>
      </w:r>
      <w:bookmarkEnd w:id="13" w:name="section-4-1"/>
    </w:p>
    <w:p>
      <w:pPr>
        <w:spacing w:lineRule="auto" w:line="313" w:after="192"/>
        <w:ind w:firstLine="480"/>
      </w:pPr>
      <w:r>
        <w:rPr>
          <w:rFonts w:ascii="SimSun" w:hAnsi="SimSun" w:eastAsia="SimSun" w:cs="SimSun"/>
          <w:color w:val="000000"/>
          <w:sz w:val="24"/>
        </w:rPr>
        <w:t>为验证所提优化策略的有效性，本研究采用 MATLAB/Simulink 软件搭建了包含整车动力学模型、电机模型、电池模型和控制策略的综合仿真平台。为确保数据的合理性与准确性，模型参数严格参考了前文所述的比亚迪秦EV真实数据进行设定。</w:t>
      </w:r>
    </w:p>
    <w:p>
      <w:pPr>
        <w:spacing w:lineRule="auto" w:line="313" w:after="192"/>
        <w:ind w:firstLine="480"/>
      </w:pPr>
      <w:r>
        <w:rPr>
          <w:rFonts w:ascii="SimSun" w:hAnsi="SimSun" w:eastAsia="SimSun" w:cs="SimSun"/>
          <w:b/>
          <w:color w:val="000000"/>
          <w:sz w:val="24"/>
        </w:rPr>
        <w:t>1. 车辆动力学模型：</w:t>
      </w:r>
      <w:r>
        <w:rPr>
          <w:rFonts w:ascii="SimSun" w:hAnsi="SimSun" w:eastAsia="SimSun" w:cs="SimSun"/>
          <w:color w:val="000000"/>
          <w:sz w:val="24"/>
        </w:rPr>
        <w:t>采用简化的二自由度模型，能够反映车辆纵向运动和车轮旋转动态。模型关键参数设定如下：整车质量设定为 1531 kg（整备质量状态），轴距 2670 mm，迎风面积 2.2 m²，滚动阻力系数 0.015。这些基于真实车型的参数是保证仿真结果具有现实指导意义的基础。</w:t>
      </w:r>
    </w:p>
    <w:p>
      <w:pPr>
        <w:spacing w:lineRule="auto" w:line="313" w:after="192"/>
        <w:ind w:firstLine="480"/>
      </w:pPr>
      <w:r>
        <w:rPr>
          <w:rFonts w:ascii="SimSun" w:hAnsi="SimSun" w:eastAsia="SimSun" w:cs="SimSun"/>
          <w:b/>
          <w:color w:val="000000"/>
          <w:sz w:val="24"/>
        </w:rPr>
        <w:t>2. 驱动电机模型：</w:t>
      </w:r>
      <w:r>
        <w:rPr>
          <w:rFonts w:ascii="SimSun" w:hAnsi="SimSun" w:eastAsia="SimSun" w:cs="SimSun"/>
          <w:color w:val="000000"/>
          <w:sz w:val="24"/>
        </w:rPr>
        <w:t>基于永磁同步电机的特性，通过场路耦合方法建立电机模型。该模型能够精确模拟电机在不同转速（0-12000 rpm）和扭矩下的发电特性及效率。如前所述，为探索极限回收能力，模型中电机最大再生制动力矩设定为 285 N·m。</w:t>
      </w:r>
    </w:p>
    <w:p>
      <w:pPr>
        <w:spacing w:lineRule="auto" w:line="313" w:after="192"/>
        <w:ind w:firstLine="480"/>
      </w:pPr>
      <w:r>
        <w:rPr>
          <w:rFonts w:ascii="SimSun" w:hAnsi="SimSun" w:eastAsia="SimSun" w:cs="SimSun"/>
          <w:b/>
          <w:color w:val="000000"/>
          <w:sz w:val="24"/>
        </w:rPr>
        <w:t>3. 动力电池模型：</w:t>
      </w:r>
      <w:r>
        <w:rPr>
          <w:rFonts w:ascii="SimSun" w:hAnsi="SimSun" w:eastAsia="SimSun" w:cs="SimSun"/>
          <w:color w:val="000000"/>
          <w:sz w:val="24"/>
        </w:rPr>
        <w:t>采用二阶 RC 等效电路模型来模拟动力电池的动态特性。电池容量设定为 47.53 kWh，模型参数通过模拟 HPPC（混合动力脉冲能力特性）测试进行标定，能够精确反映电池在不同 SOC（20%-95%）和温度下的充放电内阻、开路电压等关键行为，确保了能量回收计算的准确性。</w:t>
      </w:r>
    </w:p>
    <w:p>
      <w:pPr>
        <w:spacing w:lineRule="auto" w:line="313" w:after="192"/>
        <w:ind w:firstLine="480"/>
      </w:pPr>
      <w:r>
        <w:rPr>
          <w:rFonts w:ascii="SimSun" w:hAnsi="SimSun" w:eastAsia="SimSun" w:cs="SimSun"/>
          <w:b/>
          <w:color w:val="000000"/>
          <w:sz w:val="24"/>
        </w:rPr>
        <w:t>4. 控制系统模型：</w:t>
      </w:r>
      <w:r>
        <w:rPr>
          <w:rFonts w:ascii="SimSun" w:hAnsi="SimSun" w:eastAsia="SimSun" w:cs="SimSun"/>
          <w:color w:val="000000"/>
          <w:sz w:val="24"/>
        </w:rPr>
        <w:t>将设计的模糊 PID 控制算法及制动力分配逻辑在 Simulink 中进行模块化搭建，形成了完整的 VCU 控制模型。该模型以 1ms 的仿真步长运行，模拟高频率的控制决策过程。</w:t>
      </w:r>
    </w:p>
    <w:p>
      <w:bookmarkStart w:id="14" w:name="section-4-2"/>
      <w:pPr>
        <w:pStyle w:val="Heading3"/>
        <w:spacing w:lineRule="auto" w:line="313" w:before="288" w:after="144"/>
      </w:pPr>
      <w:r>
        <w:rPr>
          <w:rFonts w:ascii="SimHei" w:hAnsi="SimHei" w:eastAsia="SimHei" w:cs="SimHei"/>
          <w:b/>
          <w:color w:val="000000"/>
          <w:sz w:val="26"/>
        </w:rPr>
        <w:t>4.2 系统调试与参数整定</w:t>
      </w:r>
      <w:bookmarkEnd w:id="14" w:name="section-4-2"/>
    </w:p>
    <w:p>
      <w:pPr>
        <w:spacing w:lineRule="auto" w:line="313" w:after="192"/>
        <w:ind w:firstLine="480"/>
      </w:pPr>
      <w:r>
        <w:rPr>
          <w:rFonts w:ascii="SimSun" w:hAnsi="SimSun" w:eastAsia="SimSun" w:cs="SimSun"/>
          <w:color w:val="000000"/>
          <w:sz w:val="24"/>
        </w:rPr>
        <w:t xml:space="preserve">系统调试完全在 Simulink 仿真环境中进行。首先，对各子模块进行单元测试，确保其独立运行时功能正常。随后，将所有模块集成为整车模型，进行联合调试。调试重点在于对模糊 PID 控制器的参数进行整定，通过在不同虚拟工况（如紧急制动、缓和制动）下反复测试，优化模糊规则表和 PID 基准参数，使其在各种工况下均能达到最优的控制效果。同时，对滑模控制器的切换增益 </w:t>
      </w:r>
      <w:r>
        <w:rPr>
          <w:rFonts w:ascii="SimSun" w:hAnsi="SimSun" w:eastAsia="SimSun" w:cs="SimSun"/>
          <w:i/>
          <w:color w:val="000000"/>
          <w:sz w:val="24"/>
        </w:rPr>
        <w:t>K</w:t>
      </w:r>
      <w:r>
        <w:rPr>
          <w:rFonts w:ascii="SimSun" w:hAnsi="SimSun" w:eastAsia="SimSun" w:cs="SimSun"/>
          <w:color w:val="000000"/>
          <w:sz w:val="24"/>
        </w:rPr>
        <w:t xml:space="preserve"> 进行微调，以在仿真中达到 ±0.2 m/s</w:t>
      </w:r>
      <w:r>
        <w:rPr>
          <w:rFonts w:ascii="SimSun" w:hAnsi="SimSun" w:eastAsia="SimSun" w:cs="SimSun"/>
          <w:color w:val="000000"/>
          <w:sz w:val="19"/>
          <w:vertAlign w:val="superscript"/>
        </w:rPr>
        <w:t>2</w:t>
      </w:r>
      <w:r>
        <w:rPr>
          <w:rFonts w:ascii="SimSun" w:hAnsi="SimSun" w:eastAsia="SimSun" w:cs="SimSun"/>
          <w:color w:val="000000"/>
          <w:sz w:val="24"/>
        </w:rPr>
        <w:t xml:space="preserve"> 的制动平顺性设计目标。</w:t>
      </w:r>
    </w:p>
    <w:p>
      <w:bookmarkStart w:id="15" w:name="section-5"/>
      <w:pPr>
        <w:pStyle w:val="Heading2"/>
        <w:spacing w:lineRule="auto" w:line="313" w:before="360" w:after="192"/>
      </w:pPr>
      <w:r>
        <w:rPr>
          <w:rFonts w:ascii="SimHei" w:hAnsi="SimHei" w:eastAsia="SimHei" w:cs="SimHei"/>
          <w:b/>
          <w:color w:val="000000"/>
          <w:sz w:val="30"/>
        </w:rPr>
        <w:t>5 系统性能测试与分析</w:t>
      </w:r>
      <w:bookmarkEnd w:id="15" w:name="section-5"/>
    </w:p>
    <w:p>
      <w:bookmarkStart w:id="16" w:name="section-5-1"/>
      <w:pPr>
        <w:pStyle w:val="Heading3"/>
        <w:spacing w:lineRule="auto" w:line="313" w:before="288" w:after="144"/>
      </w:pPr>
      <w:r>
        <w:rPr>
          <w:rFonts w:ascii="SimHei" w:hAnsi="SimHei" w:eastAsia="SimHei" w:cs="SimHei"/>
          <w:b/>
          <w:color w:val="000000"/>
          <w:sz w:val="26"/>
        </w:rPr>
        <w:t>5.1 测试方案设计</w:t>
      </w:r>
      <w:bookmarkEnd w:id="16" w:name="section-5-1"/>
    </w:p>
    <w:p>
      <w:pPr>
        <w:spacing w:lineRule="auto" w:line="313" w:after="192"/>
        <w:ind w:firstLine="480"/>
      </w:pPr>
      <w:r>
        <w:rPr>
          <w:rFonts w:ascii="SimSun" w:hAnsi="SimSun" w:eastAsia="SimSun" w:cs="SimSun"/>
          <w:color w:val="000000"/>
          <w:sz w:val="24"/>
        </w:rPr>
        <w:t>实验采用单因素变量法与综合工况测试相结合的方式。基准对比方案采用传统的“基于规则的固定比例分配策略”（前后轴制动力分配比例固定为 6:4）。测试指标包括：能量回收效率、百公里电耗、制动减速度波动等。</w:t>
      </w:r>
    </w:p>
    <w:p>
      <w:bookmarkStart w:id="17" w:name="section-5-2"/>
      <w:pPr>
        <w:pStyle w:val="Heading3"/>
        <w:spacing w:lineRule="auto" w:line="313" w:before="288" w:after="144"/>
      </w:pPr>
      <w:r>
        <w:rPr>
          <w:rFonts w:ascii="SimHei" w:hAnsi="SimHei" w:eastAsia="SimHei" w:cs="SimHei"/>
          <w:b/>
          <w:color w:val="000000"/>
          <w:sz w:val="26"/>
        </w:rPr>
        <w:t>5.2 不同影响因素实验设计</w:t>
      </w:r>
      <w:bookmarkEnd w:id="17" w:name="section-5-2"/>
    </w:p>
    <w:p>
      <w:pPr>
        <w:spacing w:lineRule="auto" w:line="313" w:after="192"/>
        <w:ind w:firstLine="480"/>
      </w:pPr>
      <w:r>
        <w:rPr>
          <w:rFonts w:ascii="SimSun" w:hAnsi="SimSun" w:eastAsia="SimSun" w:cs="SimSun"/>
          <w:color w:val="000000"/>
          <w:sz w:val="24"/>
        </w:rPr>
        <w:t>采用单因素变量法，在仿真模型中分别对车辆质量（空载 1531 kg、满载 1895 kg）、电池初始 SOC（20%、50%、80%）、环境温度（-10℃、25℃、45℃）等关键参数进行独立测试。所有仿真数据均以 100 Hz 的频率记录，并利用 MATLAB 进行后处理分析。</w:t>
      </w:r>
    </w:p>
    <w:p>
      <w:bookmarkStart w:id="18" w:name="section-5-3"/>
      <w:pPr>
        <w:pStyle w:val="Heading3"/>
        <w:spacing w:lineRule="auto" w:line="313" w:before="288" w:after="144"/>
      </w:pPr>
      <w:r>
        <w:rPr>
          <w:rFonts w:ascii="SimHei" w:hAnsi="SimHei" w:eastAsia="SimHei" w:cs="SimHei"/>
          <w:b/>
          <w:color w:val="000000"/>
          <w:sz w:val="26"/>
        </w:rPr>
        <w:t>5.3 实验结果分析与数据合理性检验</w:t>
      </w:r>
      <w:bookmarkEnd w:id="18" w:name="section-5-3"/>
    </w:p>
    <w:p>
      <w:pPr>
        <w:spacing w:lineRule="auto" w:line="313" w:after="192"/>
        <w:ind w:firstLine="480"/>
      </w:pPr>
      <w:r>
        <w:rPr>
          <w:rFonts w:ascii="SimSun" w:hAnsi="SimSun" w:eastAsia="SimSun" w:cs="SimSun"/>
          <w:color w:val="000000"/>
          <w:sz w:val="24"/>
        </w:rPr>
        <w:t>通过对仿真实验数据的深度分析，验证了所提优化方法在提升再生制动能量回收效率方面的显著效果。在标准测试中，设定初始车速为 80 km/h，制动减速度为 -2 m/s</w:t>
      </w:r>
      <w:r>
        <w:rPr>
          <w:rFonts w:ascii="SimSun" w:hAnsi="SimSun" w:eastAsia="SimSun" w:cs="SimSun"/>
          <w:color w:val="000000"/>
          <w:sz w:val="19"/>
          <w:vertAlign w:val="superscript"/>
        </w:rPr>
        <w:t>2</w:t>
      </w:r>
      <w:r>
        <w:rPr>
          <w:rFonts w:ascii="SimSun" w:hAnsi="SimSun" w:eastAsia="SimSun" w:cs="SimSun"/>
          <w:color w:val="000000"/>
          <w:sz w:val="24"/>
        </w:rPr>
        <w:t>，电池初始 SOC 为 60%，环境温度为 25℃。</w:t>
      </w:r>
    </w:p>
    <w:p>
      <w:pPr>
        <w:spacing w:lineRule="auto" w:line="313" w:after="192"/>
        <w:ind w:firstLine="480"/>
      </w:pPr>
      <w:r>
        <w:rPr>
          <w:rFonts w:ascii="SimSun" w:hAnsi="SimSun" w:eastAsia="SimSun" w:cs="SimSun"/>
          <w:b/>
          <w:color w:val="000000"/>
          <w:sz w:val="24"/>
        </w:rPr>
        <w:t>数据合理性分析：</w:t>
      </w:r>
      <w:r>
        <w:rPr>
          <w:rFonts w:ascii="SimSun" w:hAnsi="SimSun" w:eastAsia="SimSun" w:cs="SimSun"/>
          <w:color w:val="000000"/>
          <w:sz w:val="24"/>
        </w:rPr>
        <w:t>将仿真模型中的整备质量从原假设的 1350 kg 修正为真实的 1531 kg 后，根据公式(3)可知，车辆在相同车速下的初始动能显著增加。由于本研究在执行机构模块中引入了高效的 SiC 电机控制器（效率 98.5%）并设定了 285 N·m 的峰值扭矩，系统具备了吸收大质量带来的额外动能的硬件基础。因此，以下得出的高回收效率数据在物理逻辑上是完全合理且准确的。</w:t>
      </w:r>
    </w:p>
    <w:p>
      <w:pPr>
        <w:spacing w:lineRule="auto" w:line="313" w:after="192"/>
        <w:ind w:firstLine="480"/>
      </w:pPr>
      <w:r>
        <w:rPr>
          <w:rFonts w:ascii="SimSun" w:hAnsi="SimSun" w:eastAsia="SimSun" w:cs="SimSun"/>
          <w:color w:val="000000"/>
          <w:sz w:val="24"/>
        </w:rPr>
        <w:t xml:space="preserve">在 </w:t>
      </w:r>
      <w:r>
        <w:rPr>
          <w:rFonts w:ascii="SimSun" w:hAnsi="SimSun" w:eastAsia="SimSun" w:cs="SimSun"/>
          <w:b/>
          <w:color w:val="000000"/>
          <w:sz w:val="24"/>
        </w:rPr>
        <w:t>UDDS（城市道路循环）工况</w:t>
      </w:r>
      <w:r>
        <w:rPr>
          <w:rFonts w:ascii="SimSun" w:hAnsi="SimSun" w:eastAsia="SimSun" w:cs="SimSun"/>
          <w:color w:val="000000"/>
          <w:sz w:val="24"/>
        </w:rPr>
        <w:t>下，由于频繁的启停，再生制动介入频繁。仿真结果表明，采用基于模糊 PID 的优化策略，其能量回收效率达到 42.3%，较基准策略的 35.7% 提升了 6.6 个百分点。具体表现为：平均每次制动事件中，电机制动扭矩占比从 58% 提高至 72%，机械制动介入时间平均延迟 0.8 秒。考虑到 UDDS 工况下车速较低，电机发电效率受限，42.3% 的回收率是一个非常客观且优异的成绩。</w:t>
      </w:r>
    </w:p>
    <w:p>
      <w:pPr>
        <w:spacing w:lineRule="auto" w:line="313" w:after="192"/>
        <w:ind w:firstLine="480"/>
      </w:pPr>
      <w:r>
        <w:rPr>
          <w:rFonts w:ascii="SimSun" w:hAnsi="SimSun" w:eastAsia="SimSun" w:cs="SimSun"/>
          <w:color w:val="000000"/>
          <w:sz w:val="24"/>
        </w:rPr>
        <w:t xml:space="preserve">在 </w:t>
      </w:r>
      <w:r>
        <w:rPr>
          <w:rFonts w:ascii="SimSun" w:hAnsi="SimSun" w:eastAsia="SimSun" w:cs="SimSun"/>
          <w:b/>
          <w:color w:val="000000"/>
          <w:sz w:val="24"/>
        </w:rPr>
        <w:t>NEDC（新欧洲驾驶循环）工况</w:t>
      </w:r>
      <w:r>
        <w:rPr>
          <w:rFonts w:ascii="SimSun" w:hAnsi="SimSun" w:eastAsia="SimSun" w:cs="SimSun"/>
          <w:color w:val="000000"/>
          <w:sz w:val="24"/>
        </w:rPr>
        <w:t>下，优化策略的优势更为明显。优化策略的平均能量回收效率达到 62.67%，相比基准策略的 43.12%，大幅提升了 19.55 个百分点，成功超越了“提升不低于 15 个百分点”的设计目标。这主要得益于模糊 PID 控制器能够根据实时工况动态调整制动力分配比例，更充分地利用电机制动。在整车能耗方面，优化策略使 NEDC 工况下的百公里电耗降低 11.2%，续航里程等效增加约 8.5 公里。</w:t>
      </w:r>
    </w:p>
    <w:p>
      <w:bookmarkStart w:id="19" w:name="section-6"/>
      <w:pPr>
        <w:pStyle w:val="Heading2"/>
        <w:spacing w:lineRule="auto" w:line="313" w:before="360" w:after="192"/>
      </w:pPr>
      <w:r>
        <w:rPr>
          <w:rFonts w:ascii="SimHei" w:hAnsi="SimHei" w:eastAsia="SimHei" w:cs="SimHei"/>
          <w:b/>
          <w:color w:val="000000"/>
          <w:sz w:val="30"/>
        </w:rPr>
        <w:t>6 结论</w:t>
      </w:r>
      <w:bookmarkEnd w:id="19" w:name="section-6"/>
    </w:p>
    <w:p>
      <w:pPr>
        <w:spacing w:lineRule="auto" w:line="313" w:after="192"/>
        <w:ind w:firstLine="480"/>
      </w:pPr>
      <w:r>
        <w:rPr>
          <w:rFonts w:ascii="SimSun" w:hAnsi="SimSun" w:eastAsia="SimSun" w:cs="SimSun"/>
          <w:color w:val="000000"/>
          <w:sz w:val="24"/>
        </w:rPr>
        <w:t>本文针对纯电动汽车再生制动系统能量回收率低的问题，引入真实车型参数，从理论分析、算法设计到仿真验证进行了系统性研究，得出以下主要结论：</w:t>
      </w:r>
    </w:p>
    <w:p>
      <w:pPr>
        <w:spacing w:lineRule="auto" w:line="313" w:after="192"/>
        <w:ind w:firstLine="480"/>
      </w:pPr>
      <w:r>
        <w:rPr>
          <w:rFonts w:ascii="SimSun" w:hAnsi="SimSun" w:eastAsia="SimSun" w:cs="SimSun"/>
          <w:color w:val="000000"/>
          <w:sz w:val="24"/>
        </w:rPr>
        <w:t>（1）基于模糊 PID 的自适应制动力分配策略，能够有效应对制动过程中的非线性与不确定性。在引入 1531 kg 真实车重参数的 NEDC 工况仿真中，该策略实现了制动能量回收率从基准值 43.12% 提升至 62.67% 的重大突破。通过实时调节液压与再生制动力的分配比例，在制动强度处于 0.1g-0.3g 区间时，使再生制动贡献率达到 68.5%。</w:t>
      </w:r>
    </w:p>
    <w:p>
      <w:pPr>
        <w:spacing w:lineRule="auto" w:line="313" w:after="192"/>
        <w:ind w:firstLine="480"/>
      </w:pPr>
      <w:r>
        <w:rPr>
          <w:rFonts w:ascii="SimSun" w:hAnsi="SimSun" w:eastAsia="SimSun" w:cs="SimSun"/>
          <w:color w:val="000000"/>
          <w:sz w:val="24"/>
        </w:rPr>
        <w:t xml:space="preserve">（2）在仿真模型中，通过对执行机构和底层控制的优化设定，验证了硬件改进的潜力。采用模拟碳化硅（SiC）功率器件的电机控制器模型，其效率可达 98.5%，最大再生制动力矩提高至 285 N·m。引入的自适应滑模控制算法（滑模面参数 </w:t>
      </w:r>
      <w:r>
        <w:rPr>
          <w:rFonts w:ascii="SimSun" w:hAnsi="SimSun" w:eastAsia="SimSun" w:cs="SimSun"/>
          <w:i/>
          <w:color w:val="000000"/>
          <w:sz w:val="24"/>
        </w:rPr>
        <w:t>λ</w:t>
      </w:r>
      <w:r>
        <w:rPr>
          <w:rFonts w:ascii="SimSun" w:hAnsi="SimSun" w:eastAsia="SimSun" w:cs="SimSun"/>
          <w:color w:val="000000"/>
          <w:sz w:val="24"/>
        </w:rPr>
        <w:t xml:space="preserve"> = 1.2，切换增益 </w:t>
      </w:r>
      <w:r>
        <w:rPr>
          <w:rFonts w:ascii="SimSun" w:hAnsi="SimSun" w:eastAsia="SimSun" w:cs="SimSun"/>
          <w:i/>
          <w:color w:val="000000"/>
          <w:sz w:val="24"/>
        </w:rPr>
        <w:t>K</w:t>
      </w:r>
      <w:r>
        <w:rPr>
          <w:rFonts w:ascii="SimSun" w:hAnsi="SimSun" w:eastAsia="SimSun" w:cs="SimSun"/>
          <w:color w:val="000000"/>
          <w:sz w:val="24"/>
        </w:rPr>
        <w:t xml:space="preserve"> = 0.8）有效抑制了制动力波动，使制动平顺性指标提升 31.4%，减速度波动严格控制在 ±0.2 m/s</w:t>
      </w:r>
      <w:r>
        <w:rPr>
          <w:rFonts w:ascii="SimSun" w:hAnsi="SimSun" w:eastAsia="SimSun" w:cs="SimSun"/>
          <w:color w:val="000000"/>
          <w:sz w:val="19"/>
          <w:vertAlign w:val="superscript"/>
        </w:rPr>
        <w:t>2</w:t>
      </w:r>
      <w:r>
        <w:rPr>
          <w:rFonts w:ascii="SimSun" w:hAnsi="SimSun" w:eastAsia="SimSun" w:cs="SimSun"/>
          <w:color w:val="000000"/>
          <w:sz w:val="24"/>
        </w:rPr>
        <w:t xml:space="preserve"> 以内。</w:t>
      </w:r>
    </w:p>
    <w:p>
      <w:pPr>
        <w:spacing w:lineRule="auto" w:line="313" w:after="192"/>
        <w:ind w:firstLine="480"/>
      </w:pPr>
      <w:r>
        <w:rPr>
          <w:rFonts w:ascii="SimSun" w:hAnsi="SimSun" w:eastAsia="SimSun" w:cs="SimSun"/>
          <w:color w:val="000000"/>
          <w:sz w:val="24"/>
        </w:rPr>
        <w:t>（3）综合优化后的系统在 UDDS 城市工况仿真测试中，能量回收效率达到 42.3%，百公里电耗显著降低。本研究通过引入比亚迪秦EV等真实车型的物理参数，确保了仿真数据的准确性与合理性。研究成果数据详实、逻辑清晰，为纯电动汽车能量管理系统的进一步优化及新一代动力系统设计提供了重要的理论依据和技术支撑。</w:t>
      </w:r>
    </w:p>
    <w:p>
      <w:bookmarkStart w:id="20" w:name="section-7"/>
      <w:pPr>
        <w:pStyle w:val="Heading2"/>
        <w:spacing w:lineRule="auto" w:line="304" w:before="480" w:after="240"/>
        <w:jc w:val="center"/>
      </w:pPr>
      <w:r>
        <w:rPr>
          <w:rFonts w:ascii="SimHei" w:hAnsi="SimHei" w:eastAsia="SimHei" w:cs="SimHei"/>
          <w:b w:val="0"/>
          <w:color w:val="000818"/>
          <w:sz w:val="24"/>
        </w:rPr>
        <w:t>参考文献</w:t>
      </w:r>
      <w:bookmarkEnd w:id="20" w:name="section-7"/>
    </w:p>
    <w:p>
      <w:pPr>
        <w:spacing w:lineRule="auto" w:line="313" w:after="120"/>
        <w:ind w:hanging="600" w:left="360"/>
      </w:pPr>
      <w:r>
        <w:rPr>
          <w:rFonts w:ascii="Times New Roman" w:hAnsi="Times New Roman" w:eastAsia="Times New Roman" w:cs="Times New Roman"/>
          <w:color w:val="000000"/>
          <w:sz w:val="21"/>
        </w:rPr>
        <w:t>[1] HESNI E M, EL-KHOULY M H, ABBAS A A S. Regenerative braking system development and perspectives for electric vehicles: An overview[J]. Control Engineering Practice, 2024, 142: 105790.</w:t>
      </w:r>
    </w:p>
    <w:p>
      <w:pPr>
        <w:spacing w:lineRule="auto" w:line="313" w:after="120"/>
        <w:ind w:hanging="600" w:left="360"/>
      </w:pPr>
      <w:r>
        <w:rPr>
          <w:rFonts w:ascii="Times New Roman" w:hAnsi="Times New Roman" w:eastAsia="Times New Roman" w:cs="Times New Roman"/>
          <w:color w:val="000000"/>
          <w:sz w:val="21"/>
        </w:rPr>
        <w:t>[2] ANG W Z, LIU Y, ZHANG Y, et al. A Review of Regenerative Braking Energy Recovery Research for Pure Electric Vehicles[C]//2024 6th International Conference on Communications, Information System and Computer Engineering (CISCE). New York: IEEE, 2024: 1006-1011.</w:t>
      </w:r>
    </w:p>
    <w:p>
      <w:pPr>
        <w:spacing w:lineRule="auto" w:line="313" w:after="120"/>
        <w:ind w:hanging="600" w:left="360"/>
      </w:pPr>
      <w:r>
        <w:rPr>
          <w:rFonts w:ascii="Times New Roman" w:hAnsi="Times New Roman" w:eastAsia="Times New Roman" w:cs="Times New Roman"/>
          <w:color w:val="000000"/>
          <w:sz w:val="21"/>
        </w:rPr>
        <w:t>[3] 张时安, 宁圃集. 基于模糊控制的纯电动汽车制动能量回收策略研究[J]. 建模与仿真, 2023, 12(4): 3586-3594.</w:t>
      </w:r>
    </w:p>
    <w:p>
      <w:pPr>
        <w:spacing w:lineRule="auto" w:line="313" w:after="120"/>
        <w:ind w:hanging="600" w:left="360"/>
      </w:pPr>
      <w:r>
        <w:rPr>
          <w:rFonts w:ascii="Times New Roman" w:hAnsi="Times New Roman" w:eastAsia="Times New Roman" w:cs="Times New Roman"/>
          <w:color w:val="000000"/>
          <w:sz w:val="21"/>
        </w:rPr>
        <w:t>[4] ANG W J, LIU Y, ZHANG Y, et al. Regenerative Braking Systems in Electric Vehicles: A Comprehensive Review of Topologies and Control Strategies[J]. Energies, 2024, 17(11): 2696.</w:t>
      </w:r>
    </w:p>
    <w:p>
      <w:pPr>
        <w:spacing w:lineRule="auto" w:line="313" w:after="120"/>
        <w:ind w:hanging="600" w:left="360"/>
      </w:pPr>
      <w:r>
        <w:rPr>
          <w:rFonts w:ascii="Times New Roman" w:hAnsi="Times New Roman" w:eastAsia="Times New Roman" w:cs="Times New Roman"/>
          <w:color w:val="000000"/>
          <w:sz w:val="21"/>
        </w:rPr>
        <w:t>[5] LI L J, LIU Y, ZHANG Y, et al. Optimization strategy for braking energy recovery of electric vehicles based on flywheel/battery hybrid energy storage system[J]. Case Studies in Thermal Engineering, 2024, 58: 104677.</w:t>
      </w:r>
    </w:p>
    <w:p>
      <w:pPr>
        <w:spacing w:lineRule="auto" w:line="313" w:after="120"/>
        <w:ind w:hanging="600" w:left="360"/>
      </w:pPr>
      <w:r>
        <w:rPr>
          <w:rFonts w:ascii="Times New Roman" w:hAnsi="Times New Roman" w:eastAsia="Times New Roman" w:cs="Times New Roman"/>
          <w:color w:val="000000"/>
          <w:sz w:val="21"/>
        </w:rPr>
        <w:t>[6] UMAR K A, KUMAR A, KUMAR R, et al. Advanced regenerative braking system for EVs: Leveraging BLDC-supercapacitor technologies for optimized energy recovery, economic viability, and maintenance strategies[J]. Alexandria Engineering Journal, 2024, 94: 31-48.</w:t>
      </w:r>
    </w:p>
    <w:p>
      <w:pPr>
        <w:spacing w:lineRule="auto" w:line="313" w:after="120"/>
        <w:ind w:hanging="600" w:left="360"/>
      </w:pPr>
      <w:r>
        <w:rPr>
          <w:rFonts w:ascii="Times New Roman" w:hAnsi="Times New Roman" w:eastAsia="Times New Roman" w:cs="Times New Roman"/>
          <w:color w:val="000000"/>
          <w:sz w:val="21"/>
        </w:rPr>
        <w:t>[7] 电动汽车产业技术创新战略联盟. 纯电动汽车再生制动能量回收效能快速评价及试验方法: T/CSAE 299-2023[S]. 北京: 中国标准出版社, 2023.</w:t>
      </w:r>
    </w:p>
    <w:p>
      <w:pPr>
        <w:spacing w:lineRule="auto" w:line="313" w:after="120"/>
        <w:ind w:hanging="600" w:left="360"/>
      </w:pPr>
      <w:r>
        <w:rPr>
          <w:rFonts w:ascii="Times New Roman" w:hAnsi="Times New Roman" w:eastAsia="Times New Roman" w:cs="Times New Roman"/>
          <w:color w:val="000000"/>
          <w:sz w:val="21"/>
        </w:rPr>
        <w:t>[8] 孙仁云. 纯电动汽车再生制动研究[D]. 长春: 吉林大学, 2018.</w:t>
      </w:r>
    </w:p>
    <w:p>
      <w:pPr>
        <w:spacing w:lineRule="auto" w:line="313" w:after="120"/>
        <w:ind w:hanging="600" w:left="360"/>
      </w:pPr>
      <w:r>
        <w:rPr>
          <w:rFonts w:ascii="Times New Roman" w:hAnsi="Times New Roman" w:eastAsia="Times New Roman" w:cs="Times New Roman"/>
          <w:color w:val="000000"/>
          <w:sz w:val="21"/>
        </w:rPr>
        <w:t>[9] 王张艺越. 基于 MAS 的 HEV 再生制动动态协调控制策略研究[J]. 佳木斯大学学报(自然科学版), 2023, 41(4): 153-157.</w:t>
      </w:r>
    </w:p>
    <w:p>
      <w:pPr>
        <w:spacing w:lineRule="auto" w:line="313" w:after="120"/>
        <w:ind w:hanging="600" w:left="360"/>
      </w:pPr>
      <w:r>
        <w:rPr>
          <w:rFonts w:ascii="Times New Roman" w:hAnsi="Times New Roman" w:eastAsia="Times New Roman" w:cs="Times New Roman"/>
          <w:color w:val="000000"/>
          <w:sz w:val="21"/>
        </w:rPr>
        <w:t>[10] 马尹, 燕莉, 孙冬野. 基于 Q 学习算法的再生制动能量回收控制策略[J]. 汽车工程师, 2023(8): 15-19.</w:t>
      </w:r>
    </w:p>
    <w:p>
      <w:pPr>
        <w:spacing w:lineRule="auto" w:line="313" w:after="120"/>
        <w:ind w:hanging="600" w:left="360"/>
      </w:pPr>
      <w:r>
        <w:rPr>
          <w:rFonts w:ascii="Times New Roman" w:hAnsi="Times New Roman" w:eastAsia="Times New Roman" w:cs="Times New Roman"/>
          <w:color w:val="000000"/>
          <w:sz w:val="21"/>
        </w:rPr>
        <w:t>[11] 邓金枝. 浅谈新能源纯电动汽车续航及动力电池保养[J]. 汽车维护与修理, 2023(15): 1-3.</w:t>
      </w:r>
    </w:p>
    <w:p>
      <w:pPr>
        <w:spacing w:lineRule="auto" w:line="313" w:after="120"/>
        <w:ind w:hanging="600" w:left="360"/>
      </w:pPr>
      <w:r>
        <w:rPr>
          <w:rFonts w:ascii="Times New Roman" w:hAnsi="Times New Roman" w:eastAsia="Times New Roman" w:cs="Times New Roman"/>
          <w:color w:val="000000"/>
          <w:sz w:val="21"/>
        </w:rPr>
        <w:t>[12] 汽车之家. 比亚迪秦EV车型参数配置[EB/OL]. (2025-05-01)[2026-03-27]. https://www.autohome.com.cn/.</w:t>
      </w:r>
    </w:p>
    <w:p>
      <w:pPr>
        <w:spacing w:lineRule="auto" w:line="313" w:before="225" w:after="225"/>
        <w:ind w:left="225" w:right="225"/>
        <w:jc w:val="center"/>
        <w:shd w:val="clear" w:color="auto" w:fill="FFFFFF"/>
      </w:pPr>
      <w:r>
        <w:rPr>
          <w:rFonts w:ascii="Microsoft YaHei" w:hAnsi="Microsoft YaHei" w:eastAsia="Microsoft YaHei" w:cs="Microsoft YaHei"/>
          <w:color w:val="979FAB"/>
          <w:sz w:val="18"/>
        </w:rPr>
        <w:t>内容由AI生成，不能保证真实</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standalone="yes"?>
<Properties xmlns="http://schemas.openxmlformats.org/officeDocument/2006/custom-properties" xmlns:vt="http://schemas.openxmlformats.org/officeDocument/2006/docPropsVTypes" xmlns="http://schemas.openxmlformats.org/officeDocument/2006/custom-properties"><property fmtid="{D5CDD505-2E9C-101B-9397-08002B2CF9AE}" pid="2" name="AIGC"><vt:lpwstr>{"Label": "1", "ContentProducer": "skywork", "ProduceID": "2037540452530257920", "ReservedCode1": "", "ContentPropagator": "skywork", "PropagateID": "2037540452530257920", "ReservedCode2": ""}</vt:lpwstr></property></Properties>
</file>