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28CEEFD3"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77777777"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(API #, etc…)</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77777777" w:rsidR="00621710" w:rsidRPr="00C8443F" w:rsidRDefault="00492434" w:rsidP="00621710">
            <w:pPr>
              <w:rPr>
                <w:rFonts w:ascii="Arial" w:hAnsi="Arial" w:cs="Arial"/>
              </w:rPr>
            </w:pPr>
            <w:r>
              <w:rPr>
                <w:rFonts w:ascii="Arial" w:hAnsi="Arial" w:cs="Arial"/>
              </w:rPr>
              <w:t>{dia_m}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77777777" w:rsidR="00621710" w:rsidRPr="00C8443F" w:rsidRDefault="00492434" w:rsidP="00381C25">
            <w:pPr>
              <w:rPr>
                <w:rFonts w:ascii="Arial" w:hAnsi="Arial" w:cs="Arial"/>
              </w:rPr>
            </w:pP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77777777" w:rsidR="00621710" w:rsidRPr="00C8443F" w:rsidRDefault="00492434" w:rsidP="00621710">
            <w:pPr>
              <w:rPr>
                <w:rFonts w:ascii="Arial" w:hAnsi="Arial" w:cs="Arial"/>
              </w:rPr>
            </w:pPr>
            <w:r>
              <w:rPr>
                <w:rFonts w:ascii="Arial" w:hAnsi="Arial" w:cs="Arial"/>
              </w:rPr>
              <w:t>{tank_capacity_liters}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(weld type, double bottom?,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(weld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(number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77777777" w:rsidR="009C1FC1" w:rsidRPr="00C8443F" w:rsidRDefault="00614EE6" w:rsidP="009C1FC1">
            <w:pPr>
              <w:rPr>
                <w:rFonts w:ascii="Arial" w:hAnsi="Arial" w:cs="Arial"/>
              </w:rPr>
            </w:pPr>
            <w:r>
              <w:rPr>
                <w:rFonts w:ascii="Arial" w:hAnsi="Arial" w:cs="Arial"/>
              </w:rPr>
              <w:t>{roof_</w:t>
            </w:r>
            <w:r w:rsidR="00526E28">
              <w:rPr>
                <w:rFonts w:ascii="Arial" w:hAnsi="Arial" w:cs="Arial"/>
              </w:rPr>
              <w:t>shade</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(vertical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(number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(number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(internal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(steel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(rolling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2F353D1C" w:rsidR="003428E6" w:rsidRDefault="003428E6" w:rsidP="003428E6">
      <w:pPr>
        <w:pStyle w:val="Heading3"/>
      </w:pPr>
      <w:bookmarkStart w:id="19" w:name="_Toc221340857"/>
      <w:r w:rsidRPr="000773F6">
        <w:t>Foundation Settlement Evaluation</w:t>
      </w:r>
      <w:r w:rsidR="00075A7D" w:rsidRPr="000773F6">
        <w:t xml:space="preserve"> Plot</w:t>
      </w:r>
      <w:bookmarkEnd w:id="19"/>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BE01A0A" w:rsidR="00D20812" w:rsidRPr="008B2DC6" w:rsidRDefault="00D20812" w:rsidP="00E958FB">
            <w:pPr>
              <w:jc w:val="center"/>
              <w:rPr>
                <w:rFonts w:ascii="Arial" w:hAnsi="Arial" w:cs="Arial"/>
                <w:sz w:val="22"/>
                <w:szCs w:val="22"/>
              </w:rPr>
            </w:pPr>
            <w:r w:rsidRPr="008B2DC6">
              <w:rPr>
                <w:rFonts w:ascii="Arial" w:hAnsi="Arial" w:cs="Arial"/>
                <w:sz w:val="22"/>
                <w:szCs w:val="22"/>
              </w:rPr>
              <w:t>{relative_level}{/shell_settlement_point}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9A48A2"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77.1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{relative_level}</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w:t>
            </w:r>
            <w:r w:rsidR="00D935C7" w:rsidRPr="000C18CD">
              <w:rPr>
                <w:rFonts w:ascii="Arial" w:hAnsi="Arial" w:cs="Arial"/>
                <w:sz w:val="22"/>
                <w:szCs w:val="22"/>
              </w:rPr>
              <w:t>/</w:t>
            </w:r>
            <w:r w:rsidR="00D935C7" w:rsidRPr="000C18CD">
              <w:rPr>
                <w:rFonts w:ascii="Arial" w:hAnsi="Arial" w:cs="Arial"/>
                <w:sz w:val="22"/>
                <w:szCs w:val="22"/>
              </w:rPr>
              <w:t>shell_settlement_api}</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hint="cs"/>
          <w:szCs w:val="30"/>
          <w:cs/>
          <w:lang w:bidi="th-TH"/>
        </w:rPr>
      </w:pPr>
    </w:p>
    <w:p w14:paraId="0648A83E" w14:textId="77777777" w:rsidR="00F64E7A" w:rsidRPr="000773F6" w:rsidRDefault="00F64E7A" w:rsidP="00F64E7A">
      <w:pPr>
        <w:pStyle w:val="Heading3"/>
      </w:pPr>
      <w:bookmarkStart w:id="21" w:name="_Toc221340859"/>
      <w:r w:rsidRPr="000773F6">
        <w:t>Foundation Settlement Survey Data</w:t>
      </w:r>
      <w:bookmarkEnd w:id="21"/>
    </w:p>
    <w:p w14:paraId="2C6B0673" w14:textId="77777777" w:rsidR="00F64E7A" w:rsidRPr="000773F6" w:rsidRDefault="0002538E" w:rsidP="00F64E7A">
      <w:pPr>
        <w:rPr>
          <w:rFonts w:ascii="Arial" w:hAnsi="Arial" w:cs="Arial"/>
        </w:rPr>
      </w:pPr>
      <w:r w:rsidRPr="000773F6">
        <w:rPr>
          <w:rFonts w:ascii="Arial" w:hAnsi="Arial" w:cs="Arial"/>
        </w:rPr>
        <w:t>See Appendix B for data.</w:t>
      </w:r>
    </w:p>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tblGrid>
      <w:tr w:rsidR="00FA4CC4" w14:paraId="4A9B9C3C" w14:textId="77777777" w:rsidTr="00FA4CC4">
        <w:trPr>
          <w:trHeight w:val="1011"/>
          <w:tblHeader/>
          <w:jc w:val="center"/>
        </w:trPr>
        <w:tc>
          <w:tcPr>
            <w:tcW w:w="1307" w:type="dxa"/>
            <w:tcBorders>
              <w:bottom w:val="single" w:sz="4" w:space="0" w:color="auto"/>
            </w:tcBorders>
            <w:shd w:val="clear" w:color="auto" w:fill="E6E6E6"/>
            <w:vAlign w:val="center"/>
          </w:tcPr>
          <w:p w14:paraId="1629358E" w14:textId="77777777" w:rsidR="00FA4CC4" w:rsidRDefault="00FA4CC4" w:rsidP="006E14A8">
            <w:pPr>
              <w:jc w:val="center"/>
              <w:rPr>
                <w:rFonts w:ascii="Arial" w:hAnsi="Arial" w:cs="Arial"/>
                <w:b/>
                <w:sz w:val="20"/>
                <w:szCs w:val="20"/>
              </w:rPr>
            </w:pPr>
            <w:r>
              <w:rPr>
                <w:rFonts w:ascii="Arial" w:hAnsi="Arial" w:cs="Arial"/>
                <w:b/>
                <w:sz w:val="20"/>
                <w:szCs w:val="20"/>
              </w:rPr>
              <w:t>Bottom</w:t>
            </w:r>
          </w:p>
          <w:p w14:paraId="1DC7DB5C" w14:textId="69F6A30B" w:rsidR="00FA4CC4" w:rsidRPr="002B7D80" w:rsidRDefault="00FA4CC4"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FA4CC4" w:rsidRDefault="00FA4CC4" w:rsidP="006E14A8">
            <w:pPr>
              <w:jc w:val="center"/>
              <w:rPr>
                <w:rFonts w:ascii="Arial" w:hAnsi="Arial" w:cs="Arial"/>
                <w:b/>
                <w:sz w:val="20"/>
                <w:szCs w:val="20"/>
              </w:rPr>
            </w:pPr>
            <w:r>
              <w:rPr>
                <w:rFonts w:ascii="Arial" w:hAnsi="Arial" w:cs="Arial"/>
                <w:b/>
                <w:sz w:val="20"/>
                <w:szCs w:val="20"/>
              </w:rPr>
              <w:t>TP</w:t>
            </w:r>
          </w:p>
          <w:p w14:paraId="5034ED99" w14:textId="77777777" w:rsidR="00FA4CC4" w:rsidRPr="002B7D80" w:rsidRDefault="00FA4CC4"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FA4CC4" w:rsidRDefault="00FA4CC4"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FA4CC4" w:rsidRPr="002B7D80" w:rsidRDefault="00FA4CC4"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FA4CC4" w:rsidRDefault="00FA4CC4" w:rsidP="006E14A8">
            <w:pPr>
              <w:jc w:val="center"/>
              <w:rPr>
                <w:rFonts w:ascii="Arial" w:hAnsi="Arial" w:cs="Arial"/>
                <w:b/>
                <w:sz w:val="20"/>
                <w:szCs w:val="20"/>
              </w:rPr>
            </w:pPr>
            <w:r>
              <w:rPr>
                <w:rFonts w:ascii="Arial" w:hAnsi="Arial" w:cs="Arial"/>
                <w:b/>
                <w:sz w:val="20"/>
                <w:szCs w:val="20"/>
              </w:rPr>
              <w:t>Tnom</w:t>
            </w:r>
          </w:p>
          <w:p w14:paraId="12EC1BBE" w14:textId="77777777" w:rsidR="00FA4CC4" w:rsidRDefault="00FA4CC4"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FA4CC4" w:rsidRDefault="00FA4CC4" w:rsidP="006E14A8">
            <w:pPr>
              <w:jc w:val="center"/>
              <w:rPr>
                <w:rFonts w:ascii="Arial" w:hAnsi="Arial" w:cs="Arial"/>
                <w:b/>
                <w:sz w:val="20"/>
                <w:szCs w:val="20"/>
              </w:rPr>
            </w:pPr>
            <w:r>
              <w:rPr>
                <w:rFonts w:ascii="Arial" w:hAnsi="Arial" w:cs="Arial"/>
                <w:b/>
                <w:sz w:val="20"/>
                <w:szCs w:val="20"/>
              </w:rPr>
              <w:t>Tmin</w:t>
            </w:r>
          </w:p>
          <w:p w14:paraId="64C23C9F" w14:textId="77777777" w:rsidR="00FA4CC4" w:rsidRDefault="00FA4CC4"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FA4CC4" w:rsidRDefault="00FA4CC4"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FA4CC4" w:rsidRDefault="00FA4CC4" w:rsidP="006E14A8">
            <w:pPr>
              <w:jc w:val="center"/>
              <w:rPr>
                <w:rFonts w:ascii="Arial" w:hAnsi="Arial" w:cs="Arial"/>
                <w:b/>
                <w:sz w:val="20"/>
                <w:szCs w:val="20"/>
              </w:rPr>
            </w:pPr>
            <w:r>
              <w:rPr>
                <w:rFonts w:ascii="Arial" w:hAnsi="Arial" w:cs="Arial"/>
                <w:b/>
                <w:sz w:val="20"/>
                <w:szCs w:val="20"/>
              </w:rPr>
              <w:t>Tactual</w:t>
            </w:r>
          </w:p>
          <w:p w14:paraId="3EEAA3D3" w14:textId="77777777" w:rsidR="00FA4CC4" w:rsidRDefault="00FA4CC4" w:rsidP="006E14A8">
            <w:pPr>
              <w:jc w:val="center"/>
              <w:rPr>
                <w:rFonts w:ascii="Arial" w:hAnsi="Arial" w:cs="Arial"/>
                <w:b/>
                <w:sz w:val="20"/>
                <w:szCs w:val="20"/>
              </w:rPr>
            </w:pPr>
            <w:r>
              <w:rPr>
                <w:rFonts w:ascii="Arial" w:hAnsi="Arial" w:cs="Arial"/>
                <w:b/>
                <w:sz w:val="20"/>
                <w:szCs w:val="20"/>
              </w:rPr>
              <w:t>(mm)</w:t>
            </w:r>
          </w:p>
        </w:tc>
      </w:tr>
      <w:tr w:rsidR="00FA4CC4" w:rsidRPr="008B2DC6" w14:paraId="439A6EE4" w14:textId="77777777" w:rsidTr="00FA4CC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FA4CC4" w:rsidRPr="008B2DC6" w:rsidRDefault="00FA4CC4" w:rsidP="006E14A8">
            <w:pPr>
              <w:spacing w:before="20" w:after="20"/>
              <w:jc w:val="center"/>
              <w:rPr>
                <w:rFonts w:ascii="Arial" w:hAnsi="Arial" w:cs="Arial"/>
                <w:b/>
                <w:bCs/>
                <w:sz w:val="22"/>
                <w:szCs w:val="22"/>
              </w:rPr>
            </w:pPr>
            <w:r w:rsidRPr="008B2DC6">
              <w:rPr>
                <w:rFonts w:ascii="Arial" w:hAnsi="Arial" w:cs="Arial"/>
                <w:sz w:val="22"/>
                <w:szCs w:val="22"/>
              </w:rPr>
              <w:t>{#</w:t>
            </w:r>
            <w:r w:rsidR="00DD28BC">
              <w:rPr>
                <w:rFonts w:ascii="Arial" w:hAnsi="Arial" w:cs="Arial"/>
                <w:sz w:val="22"/>
                <w:szCs w:val="22"/>
              </w:rPr>
              <w:t>bottom</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sidR="00DD28BC">
              <w:rPr>
                <w:rFonts w:ascii="Arial" w:hAnsi="Arial" w:cs="Arial"/>
                <w:sz w:val="22"/>
                <w:szCs w:val="22"/>
              </w:rPr>
              <w:t>bottom_no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FA4CC4" w:rsidRPr="00FA4CC4" w:rsidRDefault="00FA4CC4" w:rsidP="006E14A8">
            <w:pPr>
              <w:jc w:val="center"/>
              <w:rPr>
                <w:rFonts w:ascii="Arial" w:hAnsi="Arial" w:cs="Cordia New"/>
                <w:sz w:val="22"/>
                <w:szCs w:val="28"/>
                <w:lang w:bidi="th-TH"/>
              </w:rPr>
            </w:pPr>
            <w:r w:rsidRPr="008B2DC6">
              <w:rPr>
                <w:rFonts w:ascii="Arial" w:hAnsi="Arial" w:cs="Arial"/>
                <w:sz w:val="22"/>
                <w:szCs w:val="22"/>
              </w:rPr>
              <w:t>{</w:t>
            </w:r>
            <w:r w:rsidR="00DD28BC">
              <w:rPr>
                <w:rFonts w:ascii="Arial" w:hAnsi="Arial" w:cs="Arial"/>
                <w:sz w:val="22"/>
                <w:szCs w:val="22"/>
              </w:rPr>
              <w:t>tp_name</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FA4CC4" w:rsidRPr="008B2DC6" w:rsidRDefault="00FA4CC4" w:rsidP="006E14A8">
            <w:pPr>
              <w:jc w:val="center"/>
              <w:rPr>
                <w:rFonts w:ascii="Arial" w:hAnsi="Arial" w:cs="Arial"/>
                <w:sz w:val="22"/>
                <w:szCs w:val="22"/>
              </w:rPr>
            </w:pPr>
            <w:r>
              <w:rPr>
                <w:rFonts w:ascii="Arial" w:hAnsi="Arial" w:cs="Arial"/>
                <w:sz w:val="22"/>
                <w:szCs w:val="22"/>
              </w:rPr>
              <w:t>{tp_</w:t>
            </w:r>
            <w:r w:rsidR="00DD28BC">
              <w:rPr>
                <w:rFonts w:ascii="Arial" w:hAnsi="Arial" w:cs="Arial"/>
                <w:sz w:val="22"/>
                <w:szCs w:val="22"/>
              </w:rPr>
              <w:t>desc</w:t>
            </w:r>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FA4CC4" w:rsidRPr="008B2DC6" w:rsidRDefault="00FA4CC4" w:rsidP="006E14A8">
            <w:pPr>
              <w:jc w:val="center"/>
              <w:rPr>
                <w:rFonts w:ascii="Arial" w:hAnsi="Arial" w:cs="Arial"/>
                <w:sz w:val="22"/>
                <w:szCs w:val="22"/>
              </w:rPr>
            </w:pPr>
            <w:r>
              <w:rPr>
                <w:rFonts w:ascii="Arial" w:hAnsi="Arial" w:cs="Arial"/>
                <w:sz w:val="22"/>
                <w:szCs w:val="22"/>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FA4CC4" w:rsidRPr="008B2DC6" w:rsidRDefault="00FA4CC4" w:rsidP="006E14A8">
            <w:pPr>
              <w:jc w:val="center"/>
              <w:rPr>
                <w:rFonts w:ascii="Arial" w:hAnsi="Arial" w:cs="Arial"/>
                <w:sz w:val="22"/>
                <w:szCs w:val="22"/>
              </w:rPr>
            </w:pPr>
            <w:r>
              <w:rPr>
                <w:rFonts w:ascii="Arial" w:hAnsi="Arial" w:cs="Arial"/>
                <w:sz w:val="22"/>
                <w:szCs w:val="22"/>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FA4CC4" w:rsidRPr="008B2DC6" w:rsidRDefault="00FA4CC4" w:rsidP="006E14A8">
            <w:pPr>
              <w:jc w:val="center"/>
              <w:rPr>
                <w:rFonts w:ascii="Arial" w:hAnsi="Arial" w:cs="Arial"/>
                <w:sz w:val="22"/>
                <w:szCs w:val="22"/>
              </w:rPr>
            </w:pPr>
            <w:r>
              <w:rPr>
                <w:rFonts w:ascii="Arial" w:hAnsi="Arial" w:cs="Arial"/>
                <w:sz w:val="22"/>
                <w:szCs w:val="22"/>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044C2AA6" w:rsidR="00FA4CC4" w:rsidRPr="008B2DC6" w:rsidRDefault="00FA4CC4" w:rsidP="006E14A8">
            <w:pPr>
              <w:jc w:val="center"/>
              <w:rPr>
                <w:rFonts w:ascii="Arial" w:hAnsi="Arial" w:cs="Arial"/>
                <w:sz w:val="22"/>
                <w:szCs w:val="22"/>
              </w:rPr>
            </w:pPr>
            <w:r>
              <w:rPr>
                <w:rFonts w:ascii="Arial" w:hAnsi="Arial" w:cs="Arial"/>
                <w:sz w:val="22"/>
                <w:szCs w:val="22"/>
              </w:rPr>
              <w:t>{t_actual}</w:t>
            </w:r>
            <w:r w:rsidRPr="008B2DC6">
              <w:rPr>
                <w:rFonts w:ascii="Arial" w:hAnsi="Arial" w:cs="Arial"/>
                <w:sz w:val="22"/>
                <w:szCs w:val="22"/>
              </w:rPr>
              <w:t>{</w:t>
            </w:r>
            <w:r>
              <w:rPr>
                <w:rFonts w:ascii="Arial" w:hAnsi="Arial" w:cs="Arial"/>
                <w:sz w:val="22"/>
                <w:szCs w:val="22"/>
              </w:rPr>
              <w:t>/</w:t>
            </w:r>
            <w:r w:rsidR="00DD28BC">
              <w:rPr>
                <w:rFonts w:ascii="Arial" w:hAnsi="Arial" w:cs="Arial"/>
                <w:sz w:val="22"/>
                <w:szCs w:val="22"/>
              </w:rPr>
              <w:t>bottom</w:t>
            </w:r>
            <w:r>
              <w:rPr>
                <w:rFonts w:ascii="Arial" w:hAnsi="Arial" w:cs="Arial"/>
                <w:sz w:val="22"/>
                <w:szCs w:val="22"/>
              </w:rPr>
              <w:t>_thk</w:t>
            </w:r>
            <w:r w:rsidRPr="008B2DC6">
              <w:rPr>
                <w:rFonts w:ascii="Arial" w:hAnsi="Arial" w:cs="Arial"/>
                <w:sz w:val="22"/>
                <w:szCs w:val="22"/>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lastRenderedPageBreak/>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77777777" w:rsidR="0071749A" w:rsidRPr="000773F6" w:rsidRDefault="0071749A" w:rsidP="0071749A">
      <w:pPr>
        <w:rPr>
          <w:rFonts w:ascii="Arial" w:hAnsi="Arial" w:cs="Arial"/>
        </w:rPr>
      </w:pPr>
      <w:r w:rsidRPr="000773F6">
        <w:rPr>
          <w:rFonts w:ascii="Arial" w:hAnsi="Arial" w:cs="Arial"/>
        </w:rPr>
        <w:t>See Appendix B for data.</w:t>
      </w: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0A59C215" w:rsidR="00F505EB" w:rsidRPr="000C2933" w:rsidRDefault="000C2933" w:rsidP="006E14A8">
            <w:pPr>
              <w:jc w:val="both"/>
              <w:rPr>
                <w:rFonts w:ascii="Arial" w:hAnsi="Arial" w:cs="Arial"/>
              </w:rPr>
            </w:pPr>
            <w:bookmarkStart w:id="28" w:name="shell_tank_diamter_mm"/>
            <w:bookmarkEnd w:id="28"/>
            <w:r>
              <w:rPr>
                <w:rFonts w:ascii="Arial" w:hAnsi="Arial" w:cs="Arial"/>
              </w:rPr>
              <w:t>{dia_m}</w:t>
            </w:r>
            <w:r w:rsidR="00F505EB" w:rsidRPr="000C2933">
              <w:rPr>
                <w:rFonts w:ascii="Arial" w:hAnsi="Arial" w:cs="Arial"/>
              </w:rPr>
              <w:t xml:space="preserve"> m. or </w:t>
            </w:r>
            <w:r>
              <w:rPr>
                <w:rFonts w:ascii="Arial" w:hAnsi="Arial" w:cs="Arial"/>
              </w:rPr>
              <w:t>{dia_ft}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4184FBC0" w:rsidR="00F505EB" w:rsidRPr="000C2933" w:rsidRDefault="000C2933" w:rsidP="006E14A8">
            <w:pPr>
              <w:jc w:val="both"/>
              <w:rPr>
                <w:rFonts w:ascii="Arial" w:hAnsi="Arial" w:cs="Arial"/>
              </w:rPr>
            </w:pPr>
            <w:bookmarkStart w:id="29" w:name="shell_tank_height_mm"/>
            <w:bookmarkEnd w:id="29"/>
            <w:r>
              <w:rPr>
                <w:rFonts w:ascii="Arial" w:hAnsi="Arial" w:cs="Arial"/>
              </w:rPr>
              <w:t>{height_m}</w:t>
            </w:r>
            <w:r w:rsidR="00F505EB" w:rsidRPr="000C2933">
              <w:rPr>
                <w:rFonts w:ascii="Arial" w:hAnsi="Arial" w:cs="Arial"/>
              </w:rPr>
              <w:t xml:space="preserve"> m. or </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6E14A8">
            <w:pPr>
              <w:jc w:val="both"/>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23674DC7" w:rsidR="00F505EB" w:rsidRPr="000C2933" w:rsidRDefault="000C2933" w:rsidP="006E14A8">
            <w:pPr>
              <w:jc w:val="both"/>
              <w:rPr>
                <w:rFonts w:ascii="Arial" w:hAnsi="Arial" w:cs="Arial"/>
              </w:rPr>
            </w:pPr>
            <w:bookmarkStart w:id="31" w:name="shell_product"/>
            <w:bookmarkEnd w:id="31"/>
            <w:r>
              <w:rPr>
                <w:rFonts w:ascii="Arial" w:hAnsi="Arial" w:cs="Arial"/>
              </w:rPr>
              <w:t>{product}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6E14A8">
            <w:pPr>
              <w:jc w:val="both"/>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6E14A8">
            <w:pPr>
              <w:jc w:val="both"/>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lastRenderedPageBreak/>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6E14A8">
            <w:pPr>
              <w:jc w:val="both"/>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6E14A8">
            <w:pPr>
              <w:jc w:val="both"/>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6E14A8">
            <w:pPr>
              <w:jc w:val="both"/>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6E14A8">
            <w:pPr>
              <w:jc w:val="both"/>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hint="cs"/>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24EF7471" w:rsidR="00F505EB" w:rsidRPr="000828AE" w:rsidRDefault="000828AE" w:rsidP="006E14A8">
            <w:pPr>
              <w:jc w:val="center"/>
              <w:rPr>
                <w:rFonts w:ascii="Arial" w:hAnsi="Arial" w:cs="Browallia New" w:hint="cs"/>
                <w:sz w:val="22"/>
                <w:szCs w:val="28"/>
                <w:lang w:bidi="th-TH"/>
              </w:rPr>
            </w:pPr>
            <w:r>
              <w:rPr>
                <w:rFonts w:ascii="Arial" w:hAnsi="Arial" w:cs="Arial"/>
                <w:sz w:val="22"/>
                <w:szCs w:val="22"/>
              </w:rPr>
              <w:t>{#shell_course}}{course_no}</w:t>
            </w:r>
          </w:p>
        </w:tc>
        <w:tc>
          <w:tcPr>
            <w:tcW w:w="373" w:type="pct"/>
            <w:shd w:val="clear" w:color="auto" w:fill="auto"/>
            <w:vAlign w:val="center"/>
          </w:tcPr>
          <w:p w14:paraId="6F3E0D1A" w14:textId="1D0154B9" w:rsidR="00F505EB" w:rsidRPr="001231CA" w:rsidRDefault="000828AE" w:rsidP="006E14A8">
            <w:pPr>
              <w:rPr>
                <w:rFonts w:ascii="Arial" w:hAnsi="Arial" w:cs="Arial"/>
                <w:sz w:val="22"/>
                <w:szCs w:val="22"/>
              </w:rPr>
            </w:pPr>
            <w:bookmarkStart w:id="38" w:name="h1"/>
            <w:bookmarkEnd w:id="38"/>
            <w:r>
              <w:rPr>
                <w:rFonts w:ascii="Arial" w:hAnsi="Arial" w:cs="Arial"/>
                <w:sz w:val="22"/>
                <w:szCs w:val="22"/>
              </w:rPr>
              <w:t>{height_of_course_mm}</w:t>
            </w:r>
          </w:p>
        </w:tc>
        <w:tc>
          <w:tcPr>
            <w:tcW w:w="317" w:type="pct"/>
            <w:shd w:val="clear" w:color="auto" w:fill="auto"/>
            <w:vAlign w:val="center"/>
          </w:tcPr>
          <w:p w14:paraId="3A898FF6" w14:textId="21323090" w:rsidR="00F505EB" w:rsidRPr="001231CA" w:rsidRDefault="000828AE" w:rsidP="006E14A8">
            <w:pPr>
              <w:jc w:val="center"/>
              <w:rPr>
                <w:rFonts w:ascii="Arial" w:hAnsi="Arial" w:cs="Arial"/>
                <w:sz w:val="22"/>
                <w:szCs w:val="22"/>
              </w:rPr>
            </w:pPr>
            <w:bookmarkStart w:id="39" w:name="m1"/>
            <w:bookmarkEnd w:id="39"/>
            <w:r>
              <w:rPr>
                <w:rFonts w:ascii="Arial" w:hAnsi="Arial" w:cs="Arial"/>
                <w:sz w:val="22"/>
                <w:szCs w:val="22"/>
              </w:rPr>
              <w:t>{mat_type}</w:t>
            </w:r>
          </w:p>
        </w:tc>
        <w:tc>
          <w:tcPr>
            <w:tcW w:w="578" w:type="pct"/>
            <w:shd w:val="clear" w:color="auto" w:fill="auto"/>
            <w:vAlign w:val="center"/>
          </w:tcPr>
          <w:p w14:paraId="4A64B166" w14:textId="3DA85596" w:rsidR="00F505EB" w:rsidRPr="001231CA" w:rsidRDefault="000828AE" w:rsidP="006E14A8">
            <w:pPr>
              <w:jc w:val="center"/>
              <w:rPr>
                <w:rFonts w:ascii="Arial" w:hAnsi="Arial" w:cs="Arial"/>
                <w:sz w:val="22"/>
                <w:szCs w:val="22"/>
              </w:rPr>
            </w:pPr>
            <w:bookmarkStart w:id="40" w:name="y1"/>
            <w:bookmarkEnd w:id="40"/>
            <w:r>
              <w:rPr>
                <w:rFonts w:ascii="Arial" w:hAnsi="Arial" w:cs="Arial"/>
                <w:sz w:val="22"/>
                <w:szCs w:val="22"/>
              </w:rPr>
              <w:t>{y_value}</w:t>
            </w:r>
          </w:p>
        </w:tc>
        <w:tc>
          <w:tcPr>
            <w:tcW w:w="578" w:type="pct"/>
            <w:shd w:val="clear" w:color="auto" w:fill="auto"/>
            <w:vAlign w:val="center"/>
          </w:tcPr>
          <w:p w14:paraId="13F67883" w14:textId="451D8483" w:rsidR="00F505EB" w:rsidRDefault="000828AE" w:rsidP="006E14A8">
            <w:pPr>
              <w:jc w:val="center"/>
              <w:rPr>
                <w:rFonts w:ascii="Arial" w:hAnsi="Arial" w:cs="Cordia New" w:hint="cs"/>
                <w:sz w:val="22"/>
                <w:szCs w:val="28"/>
                <w:cs/>
                <w:lang w:bidi="th-TH"/>
              </w:rPr>
            </w:pPr>
            <w:bookmarkStart w:id="41" w:name="t1"/>
            <w:bookmarkEnd w:id="41"/>
            <w:r>
              <w:rPr>
                <w:rFonts w:ascii="Arial" w:hAnsi="Arial" w:cs="Arial"/>
                <w:sz w:val="22"/>
                <w:szCs w:val="22"/>
              </w:rPr>
              <w:t>{t_value}</w:t>
            </w:r>
          </w:p>
        </w:tc>
        <w:tc>
          <w:tcPr>
            <w:tcW w:w="481" w:type="pct"/>
            <w:shd w:val="clear" w:color="auto" w:fill="auto"/>
            <w:vAlign w:val="center"/>
          </w:tcPr>
          <w:p w14:paraId="717A06FD" w14:textId="77777777" w:rsidR="00F505EB" w:rsidRPr="001231CA" w:rsidRDefault="00F505EB" w:rsidP="006E14A8">
            <w:pPr>
              <w:jc w:val="center"/>
              <w:rPr>
                <w:rFonts w:ascii="Arial" w:hAnsi="Arial" w:cs="Arial"/>
                <w:sz w:val="22"/>
                <w:szCs w:val="22"/>
              </w:rPr>
            </w:pPr>
            <w:bookmarkStart w:id="42" w:name="st1"/>
            <w:bookmarkEnd w:id="42"/>
            <w:r w:rsidRPr="001231CA">
              <w:rPr>
                <w:rFonts w:ascii="Arial" w:hAnsi="Arial" w:cs="Arial"/>
                <w:sz w:val="22"/>
                <w:szCs w:val="22"/>
              </w:rPr>
              <w:t>23595</w:t>
            </w:r>
          </w:p>
        </w:tc>
        <w:tc>
          <w:tcPr>
            <w:tcW w:w="462" w:type="pct"/>
            <w:shd w:val="clear" w:color="auto" w:fill="auto"/>
            <w:vAlign w:val="center"/>
          </w:tcPr>
          <w:p w14:paraId="716B0A19" w14:textId="44A8D6CC" w:rsidR="00F505EB" w:rsidRPr="000828AE" w:rsidRDefault="000828AE" w:rsidP="006E14A8">
            <w:pPr>
              <w:tabs>
                <w:tab w:val="left" w:pos="598"/>
              </w:tabs>
              <w:jc w:val="center"/>
              <w:rPr>
                <w:rFonts w:ascii="Arial" w:hAnsi="Arial" w:cs="Arial"/>
                <w:sz w:val="22"/>
                <w:szCs w:val="22"/>
                <w:lang w:eastAsia="en-SG"/>
              </w:rPr>
            </w:pPr>
            <w:bookmarkStart w:id="43" w:name="pt1"/>
            <w:bookmarkEnd w:id="43"/>
            <w:r>
              <w:rPr>
                <w:rFonts w:ascii="Arial" w:hAnsi="Arial" w:cs="Arial"/>
                <w:sz w:val="22"/>
                <w:szCs w:val="22"/>
                <w:lang w:eastAsia="en-SG"/>
              </w:rPr>
              <w:t>{t_nom_plate_mm}</w:t>
            </w:r>
          </w:p>
        </w:tc>
        <w:tc>
          <w:tcPr>
            <w:tcW w:w="521" w:type="pct"/>
            <w:shd w:val="clear" w:color="auto" w:fill="auto"/>
            <w:vAlign w:val="center"/>
          </w:tcPr>
          <w:p w14:paraId="326F5A64" w14:textId="67FC0787" w:rsidR="00F505EB" w:rsidRPr="001231CA" w:rsidRDefault="00C8671E" w:rsidP="006E14A8">
            <w:pPr>
              <w:jc w:val="center"/>
              <w:rPr>
                <w:rFonts w:ascii="Arial" w:hAnsi="Arial" w:cs="Arial"/>
                <w:sz w:val="22"/>
                <w:szCs w:val="22"/>
              </w:rPr>
            </w:pPr>
            <w:bookmarkStart w:id="44" w:name="mt1"/>
            <w:bookmarkEnd w:id="44"/>
            <w:r>
              <w:rPr>
                <w:rFonts w:ascii="Arial" w:hAnsi="Arial" w:cs="Arial"/>
                <w:sz w:val="22"/>
                <w:szCs w:val="22"/>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1231CA" w:rsidRDefault="00C8671E" w:rsidP="006E14A8">
            <w:pPr>
              <w:jc w:val="center"/>
              <w:rPr>
                <w:rFonts w:ascii="Arial" w:hAnsi="Arial" w:cs="Arial"/>
                <w:sz w:val="22"/>
                <w:szCs w:val="22"/>
              </w:rPr>
            </w:pPr>
            <w:bookmarkStart w:id="45" w:name="at1"/>
            <w:bookmarkEnd w:id="45"/>
            <w:r>
              <w:rPr>
                <w:rFonts w:ascii="Arial" w:hAnsi="Arial" w:cs="Arial"/>
                <w:sz w:val="22"/>
                <w:szCs w:val="22"/>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26750F55" w:rsidR="00F505EB" w:rsidRPr="001231CA" w:rsidRDefault="00C8671E" w:rsidP="006E14A8">
            <w:pPr>
              <w:jc w:val="center"/>
              <w:rPr>
                <w:rFonts w:ascii="Arial" w:hAnsi="Arial" w:cs="Arial"/>
                <w:sz w:val="22"/>
                <w:szCs w:val="22"/>
              </w:rPr>
            </w:pPr>
            <w:bookmarkStart w:id="46" w:name="cr1"/>
            <w:bookmarkEnd w:id="46"/>
            <w:r>
              <w:rPr>
                <w:rFonts w:ascii="Arial" w:hAnsi="Arial" w:cs="Arial"/>
                <w:sz w:val="22"/>
                <w:szCs w:val="22"/>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1231CA" w:rsidRDefault="00C8671E" w:rsidP="006E14A8">
            <w:pPr>
              <w:jc w:val="center"/>
              <w:rPr>
                <w:rFonts w:ascii="Arial" w:hAnsi="Arial" w:cs="Arial"/>
                <w:sz w:val="22"/>
                <w:szCs w:val="22"/>
              </w:rPr>
            </w:pPr>
            <w:bookmarkStart w:id="47" w:name="rl1"/>
            <w:bookmarkEnd w:id="47"/>
            <w:r>
              <w:rPr>
                <w:rFonts w:ascii="Arial" w:hAnsi="Arial" w:cs="Arial"/>
                <w:sz w:val="22"/>
                <w:szCs w:val="22"/>
              </w:rPr>
              <w:t>{rl}</w:t>
            </w:r>
            <w:r w:rsidR="000828AE">
              <w:rPr>
                <w:rFonts w:ascii="Arial" w:hAnsi="Arial" w:cs="Arial"/>
                <w:sz w:val="22"/>
                <w:szCs w:val="22"/>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lastRenderedPageBreak/>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8B2DC6" w:rsidRDefault="00F34222" w:rsidP="00A25BA6">
            <w:pPr>
              <w:spacing w:before="20" w:after="20"/>
              <w:jc w:val="center"/>
              <w:rPr>
                <w:rFonts w:ascii="Arial" w:hAnsi="Arial" w:cs="Arial"/>
                <w:b/>
                <w:bCs/>
                <w:sz w:val="22"/>
                <w:szCs w:val="22"/>
              </w:rPr>
            </w:pPr>
            <w:r w:rsidRPr="008B2DC6">
              <w:rPr>
                <w:rFonts w:ascii="Arial" w:hAnsi="Arial" w:cs="Arial"/>
                <w:sz w:val="22"/>
                <w:szCs w:val="22"/>
              </w:rPr>
              <w:t>{#shell_</w:t>
            </w:r>
            <w:r>
              <w:rPr>
                <w:rFonts w:ascii="Arial" w:hAnsi="Arial" w:cs="Arial"/>
                <w:sz w:val="22"/>
                <w:szCs w:val="22"/>
              </w:rPr>
              <w:t>thk</w:t>
            </w:r>
            <w:r w:rsidRPr="008B2DC6">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77777777" w:rsidR="00F34222" w:rsidRPr="008B2DC6" w:rsidRDefault="00F34222" w:rsidP="00A25BA6">
            <w:pPr>
              <w:jc w:val="center"/>
              <w:rPr>
                <w:rFonts w:ascii="Arial" w:hAnsi="Arial" w:cs="Arial"/>
                <w:sz w:val="22"/>
                <w:szCs w:val="22"/>
              </w:rPr>
            </w:pPr>
            <w:r w:rsidRPr="008B2DC6">
              <w:rPr>
                <w:rFonts w:ascii="Arial" w:hAnsi="Arial" w:cs="Arial"/>
                <w:sz w:val="22"/>
                <w:szCs w:val="22"/>
              </w:rPr>
              <w:t>{cumulative}</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Default="00F34222" w:rsidP="00A25BA6">
            <w:pPr>
              <w:jc w:val="center"/>
              <w:rPr>
                <w:rFonts w:ascii="Arial" w:hAnsi="Arial" w:cs="Cordia New"/>
                <w:sz w:val="22"/>
                <w:szCs w:val="28"/>
                <w:lang w:bidi="th-TH"/>
              </w:rPr>
            </w:pPr>
            <w:r w:rsidRPr="008B2DC6">
              <w:rPr>
                <w:rFonts w:ascii="Arial" w:hAnsi="Arial" w:cs="Arial"/>
                <w:sz w:val="22"/>
                <w:szCs w:val="22"/>
              </w:rPr>
              <w:t>{</w:t>
            </w:r>
            <w:r w:rsidR="00B86798">
              <w:rPr>
                <w:rFonts w:ascii="Arial" w:hAnsi="Arial" w:cs="Arial"/>
                <w:sz w:val="22"/>
                <w:szCs w:val="22"/>
              </w:rPr>
              <w:t>tp_name</w:t>
            </w:r>
            <w:r>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8B2DC6" w:rsidRDefault="00F34222" w:rsidP="00A25BA6">
            <w:pPr>
              <w:jc w:val="center"/>
              <w:rPr>
                <w:rFonts w:ascii="Arial" w:hAnsi="Arial" w:cs="Arial"/>
                <w:sz w:val="22"/>
                <w:szCs w:val="22"/>
              </w:rPr>
            </w:pPr>
            <w:r>
              <w:rPr>
                <w:rFonts w:ascii="Arial" w:hAnsi="Arial" w:cs="Arial"/>
                <w:sz w:val="22"/>
                <w:szCs w:val="22"/>
              </w:rPr>
              <w:t>{tp_</w:t>
            </w:r>
            <w:r w:rsidR="00B86798">
              <w:rPr>
                <w:rFonts w:ascii="Arial" w:hAnsi="Arial" w:cs="Arial"/>
                <w:sz w:val="22"/>
                <w:szCs w:val="22"/>
              </w:rPr>
              <w:t>desc</w:t>
            </w:r>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8B2DC6" w:rsidRDefault="00F34222" w:rsidP="00A25BA6">
            <w:pPr>
              <w:jc w:val="center"/>
              <w:rPr>
                <w:rFonts w:ascii="Arial" w:hAnsi="Arial" w:cs="Arial"/>
                <w:sz w:val="22"/>
                <w:szCs w:val="22"/>
              </w:rPr>
            </w:pPr>
            <w:r>
              <w:rPr>
                <w:rFonts w:ascii="Arial" w:hAnsi="Arial" w:cs="Arial"/>
                <w:sz w:val="22"/>
                <w:szCs w:val="22"/>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8B2DC6" w:rsidRDefault="00F34222" w:rsidP="00A25BA6">
            <w:pPr>
              <w:jc w:val="center"/>
              <w:rPr>
                <w:rFonts w:ascii="Arial" w:hAnsi="Arial" w:cs="Arial"/>
                <w:sz w:val="22"/>
                <w:szCs w:val="22"/>
              </w:rPr>
            </w:pPr>
            <w:r>
              <w:rPr>
                <w:rFonts w:ascii="Arial" w:hAnsi="Arial" w:cs="Arial"/>
                <w:sz w:val="22"/>
                <w:szCs w:val="22"/>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8B2DC6" w:rsidRDefault="00F34222" w:rsidP="00A25BA6">
            <w:pPr>
              <w:jc w:val="center"/>
              <w:rPr>
                <w:rFonts w:ascii="Arial" w:hAnsi="Arial" w:cs="Arial"/>
                <w:sz w:val="22"/>
                <w:szCs w:val="22"/>
              </w:rPr>
            </w:pPr>
            <w:r>
              <w:rPr>
                <w:rFonts w:ascii="Arial" w:hAnsi="Arial" w:cs="Arial"/>
                <w:sz w:val="22"/>
                <w:szCs w:val="22"/>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8B2DC6" w:rsidRDefault="00F34222" w:rsidP="00A25BA6">
            <w:pPr>
              <w:jc w:val="center"/>
              <w:rPr>
                <w:rFonts w:ascii="Arial" w:hAnsi="Arial" w:cs="Arial"/>
                <w:sz w:val="22"/>
                <w:szCs w:val="22"/>
              </w:rPr>
            </w:pPr>
            <w:r>
              <w:rPr>
                <w:rFonts w:ascii="Arial" w:hAnsi="Arial" w:cs="Arial"/>
                <w:sz w:val="22"/>
                <w:szCs w:val="22"/>
              </w:rPr>
              <w:t>{t_actual}</w:t>
            </w:r>
            <w:r w:rsidRPr="008B2DC6">
              <w:rPr>
                <w:rFonts w:ascii="Arial" w:hAnsi="Arial" w:cs="Arial"/>
                <w:sz w:val="22"/>
                <w:szCs w:val="22"/>
              </w:rPr>
              <w:t>{</w:t>
            </w:r>
            <w:r w:rsidR="008474D8">
              <w:rPr>
                <w:rFonts w:ascii="Arial" w:hAnsi="Arial" w:cs="Arial"/>
                <w:sz w:val="22"/>
                <w:szCs w:val="22"/>
              </w:rPr>
              <w:t>/shell_thk</w:t>
            </w:r>
            <w:r w:rsidRPr="008B2DC6">
              <w:rPr>
                <w:rFonts w:ascii="Arial" w:hAnsi="Arial" w:cs="Arial"/>
                <w:sz w:val="22"/>
                <w:szCs w:val="22"/>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CB984A8" w14:textId="77777777" w:rsidR="007061AA" w:rsidRPr="000773F6" w:rsidRDefault="007061AA" w:rsidP="00DF24BD">
      <w:pPr>
        <w:rPr>
          <w:rFonts w:ascii="Arial" w:hAnsi="Arial" w:cs="Arial"/>
        </w:rPr>
      </w:pPr>
    </w:p>
    <w:p w14:paraId="6422F9F8" w14:textId="77777777" w:rsidR="00123787" w:rsidRPr="000773F6" w:rsidRDefault="00123787" w:rsidP="00D6256C">
      <w:pPr>
        <w:pStyle w:val="Heading2"/>
      </w:pPr>
      <w:bookmarkStart w:id="50" w:name="_Toc221340868"/>
      <w:r w:rsidRPr="000773F6">
        <w:t>Fixed Roof</w:t>
      </w:r>
      <w:bookmarkEnd w:id="50"/>
    </w:p>
    <w:p w14:paraId="2CDC903D" w14:textId="77777777" w:rsidR="00123787" w:rsidRPr="000773F6" w:rsidRDefault="00DF2E0B" w:rsidP="00123787">
      <w:pPr>
        <w:pStyle w:val="Heading3"/>
      </w:pPr>
      <w:bookmarkStart w:id="51" w:name="_Toc221340869"/>
      <w:r w:rsidRPr="000773F6">
        <w:t>Fixed Roof Thickness Readings</w:t>
      </w:r>
      <w:bookmarkEnd w:id="51"/>
    </w:p>
    <w:p w14:paraId="24963247" w14:textId="77777777" w:rsidR="00DF2E0B" w:rsidRDefault="0002538E" w:rsidP="00DF2E0B">
      <w:pPr>
        <w:rPr>
          <w:rFonts w:ascii="Arial" w:hAnsi="Arial" w:cs="Arial"/>
        </w:rPr>
      </w:pPr>
      <w:r w:rsidRPr="000773F6">
        <w:rPr>
          <w:rFonts w:ascii="Arial" w:hAnsi="Arial" w:cs="Arial"/>
        </w:rPr>
        <w:t>See Appendix B for data.</w:t>
      </w: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77777777" w:rsidR="00DF2E0B" w:rsidRPr="000773F6" w:rsidRDefault="00DF2E0B" w:rsidP="00DF2E0B">
      <w:pPr>
        <w:pStyle w:val="Heading3"/>
      </w:pPr>
      <w:bookmarkStart w:id="52" w:name="_Toc221340870"/>
      <w:r w:rsidRPr="000773F6">
        <w:t>Fixed 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77777777" w:rsidR="00DF2E0B" w:rsidRPr="000773F6"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p w14:paraId="2DF50FC0" w14:textId="77777777" w:rsidR="00DF2E0B" w:rsidRPr="000773F6" w:rsidRDefault="00DF2E0B" w:rsidP="00DF2E0B">
      <w:pPr>
        <w:rPr>
          <w:rFonts w:ascii="Arial" w:hAnsi="Arial" w:cs="Arial"/>
        </w:rPr>
      </w:pPr>
    </w:p>
    <w:p w14:paraId="2D6A0182" w14:textId="77777777" w:rsidR="00DF2E0B" w:rsidRPr="000773F6" w:rsidRDefault="00DF2E0B" w:rsidP="00DF2E0B">
      <w:pPr>
        <w:pStyle w:val="Heading3"/>
      </w:pPr>
      <w:bookmarkStart w:id="53" w:name="_Toc221340871"/>
      <w:r w:rsidRPr="000773F6">
        <w:t>Fixed 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0E432252" w14:textId="77777777" w:rsidR="00DF2E0B" w:rsidRPr="000773F6" w:rsidRDefault="00DF2E0B" w:rsidP="00DF2E0B">
      <w:pPr>
        <w:rPr>
          <w:rFonts w:ascii="Arial" w:hAnsi="Arial" w:cs="Arial"/>
        </w:rPr>
      </w:pPr>
    </w:p>
    <w:p w14:paraId="40886CD8" w14:textId="77777777" w:rsidR="00DF2E0B" w:rsidRPr="000773F6" w:rsidRDefault="00DF2E0B" w:rsidP="00DF2E0B">
      <w:pPr>
        <w:pStyle w:val="Heading2"/>
      </w:pPr>
      <w:bookmarkStart w:id="54" w:name="_Toc221340872"/>
      <w:r w:rsidRPr="000773F6">
        <w:t>Floating Roof</w:t>
      </w:r>
      <w:bookmarkEnd w:id="54"/>
    </w:p>
    <w:p w14:paraId="4CC47821" w14:textId="77777777" w:rsidR="00DF2E0B" w:rsidRPr="000773F6" w:rsidRDefault="00DF2E0B" w:rsidP="00DF2E0B">
      <w:pPr>
        <w:pStyle w:val="Heading3"/>
      </w:pPr>
      <w:bookmarkStart w:id="55" w:name="_Toc221340873"/>
      <w:r w:rsidRPr="000773F6">
        <w:t>Floating Roof Thickness Readings</w:t>
      </w:r>
      <w:bookmarkEnd w:id="55"/>
    </w:p>
    <w:p w14:paraId="284165C7" w14:textId="77777777" w:rsidR="00DF2E0B" w:rsidRDefault="0002538E" w:rsidP="00DF2E0B">
      <w:pPr>
        <w:rPr>
          <w:rFonts w:ascii="Arial" w:hAnsi="Arial" w:cs="Arial"/>
        </w:rPr>
      </w:pPr>
      <w:r w:rsidRPr="000773F6">
        <w:rPr>
          <w:rFonts w:ascii="Arial" w:hAnsi="Arial" w:cs="Arial"/>
        </w:rPr>
        <w:t>See Appendix B for data.</w:t>
      </w:r>
    </w:p>
    <w:p w14:paraId="6FEA4A53" w14:textId="77777777" w:rsidR="0071749A" w:rsidRDefault="0071749A" w:rsidP="0071749A">
      <w:pPr>
        <w:pStyle w:val="Heading3"/>
      </w:pPr>
      <w:r>
        <w:t>Service Interval Calculation</w:t>
      </w:r>
    </w:p>
    <w:p w14:paraId="0A32337D" w14:textId="77777777" w:rsidR="0071749A" w:rsidRDefault="0071749A" w:rsidP="0071749A">
      <w:pPr>
        <w:rPr>
          <w:rFonts w:ascii="Arial" w:hAnsi="Arial" w:cs="Arial"/>
        </w:rPr>
      </w:pPr>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4.2.3,</w:t>
      </w:r>
      <w:r w:rsidRPr="000773F6">
        <w:rPr>
          <w:rFonts w:ascii="Arial" w:hAnsi="Arial" w:cs="Arial"/>
        </w:rPr>
        <w:t xml:space="preserve"> Recommend the duration (in years) until next internal inspection</w:t>
      </w:r>
      <w:r>
        <w:rPr>
          <w:rFonts w:ascii="Arial" w:hAnsi="Arial" w:cs="Arial"/>
        </w:rPr>
        <w:t xml:space="preserve"> in two modes: </w:t>
      </w:r>
    </w:p>
    <w:p w14:paraId="42EDF416" w14:textId="77777777" w:rsidR="0071749A" w:rsidRDefault="0071749A" w:rsidP="0071749A">
      <w:pPr>
        <w:rPr>
          <w:rFonts w:ascii="Arial" w:hAnsi="Arial" w:cs="Arial"/>
        </w:rPr>
      </w:pPr>
      <w:r>
        <w:rPr>
          <w:rFonts w:ascii="Arial" w:hAnsi="Arial" w:cs="Arial"/>
        </w:rPr>
        <w:t xml:space="preserve">1) through pitting </w:t>
      </w:r>
    </w:p>
    <w:p w14:paraId="3DB9DA3E" w14:textId="77777777" w:rsidR="0071749A" w:rsidRPr="0071749A" w:rsidRDefault="0071749A" w:rsidP="0071749A">
      <w:r>
        <w:rPr>
          <w:rFonts w:ascii="Arial" w:hAnsi="Arial" w:cs="Arial"/>
        </w:rPr>
        <w:t>2) given minimum roof plate thickness for CVX of 0.1”</w:t>
      </w:r>
      <w:r w:rsidRPr="000773F6">
        <w:rPr>
          <w:rFonts w:ascii="Arial" w:hAnsi="Arial" w:cs="Arial"/>
        </w:rPr>
        <w:t>.</w:t>
      </w:r>
      <w:r>
        <w:rPr>
          <w:rFonts w:ascii="Arial" w:hAnsi="Arial" w:cs="Arial"/>
        </w:rPr>
        <w:t>)</w:t>
      </w:r>
    </w:p>
    <w:p w14:paraId="1DF645BB" w14:textId="77777777" w:rsidR="00DF2E0B" w:rsidRPr="000773F6" w:rsidRDefault="00A96AD1" w:rsidP="00A96AD1">
      <w:pPr>
        <w:pStyle w:val="Heading3"/>
      </w:pPr>
      <w:bookmarkStart w:id="56" w:name="_Toc221340874"/>
      <w:r w:rsidRPr="000773F6">
        <w:t xml:space="preserve">Floating Roof </w:t>
      </w:r>
      <w:r w:rsidR="000864B8" w:rsidRPr="000773F6">
        <w:t>Nozzle Table</w:t>
      </w:r>
      <w:bookmarkEnd w:id="56"/>
    </w:p>
    <w:p w14:paraId="0BDDDC2C" w14:textId="77777777" w:rsidR="000864B8" w:rsidRPr="000773F6" w:rsidRDefault="00733F5A" w:rsidP="000864B8">
      <w:pPr>
        <w:rPr>
          <w:rFonts w:ascii="Arial" w:hAnsi="Arial" w:cs="Arial"/>
        </w:rPr>
      </w:pPr>
      <w:r w:rsidRPr="000773F6">
        <w:rPr>
          <w:rFonts w:ascii="Arial" w:hAnsi="Arial" w:cs="Arial"/>
        </w:rPr>
        <w:t>See Appendix B for data.</w:t>
      </w:r>
    </w:p>
    <w:p w14:paraId="5954312A" w14:textId="77777777" w:rsidR="000864B8" w:rsidRPr="000773F6" w:rsidRDefault="000864B8" w:rsidP="000864B8">
      <w:pPr>
        <w:rPr>
          <w:rFonts w:ascii="Arial" w:hAnsi="Arial" w:cs="Arial"/>
        </w:rPr>
      </w:pPr>
      <w:r w:rsidRPr="000773F6">
        <w:rPr>
          <w:rFonts w:ascii="Arial" w:hAnsi="Arial" w:cs="Arial"/>
        </w:rPr>
        <w:t>(Show table including dimensions, thicknesses, locations, and other data applying to the various floating roof nozzles.)</w:t>
      </w:r>
    </w:p>
    <w:p w14:paraId="0DEF0668" w14:textId="77777777" w:rsidR="000864B8" w:rsidRPr="000773F6" w:rsidRDefault="000864B8" w:rsidP="000864B8">
      <w:pPr>
        <w:rPr>
          <w:rFonts w:ascii="Arial" w:hAnsi="Arial" w:cs="Arial"/>
        </w:rPr>
      </w:pPr>
    </w:p>
    <w:p w14:paraId="25D577B5" w14:textId="77777777" w:rsidR="000864B8" w:rsidRPr="000773F6" w:rsidRDefault="000864B8" w:rsidP="000864B8">
      <w:pPr>
        <w:pStyle w:val="Heading3"/>
      </w:pPr>
      <w:bookmarkStart w:id="57" w:name="_Toc221340875"/>
      <w:r w:rsidRPr="000773F6">
        <w:t>Floating Roof Layout</w:t>
      </w:r>
      <w:bookmarkEnd w:id="57"/>
    </w:p>
    <w:p w14:paraId="095E2FE0" w14:textId="77777777" w:rsidR="000864B8" w:rsidRPr="000773F6" w:rsidRDefault="00733F5A" w:rsidP="000864B8">
      <w:pPr>
        <w:rPr>
          <w:rFonts w:ascii="Arial" w:hAnsi="Arial" w:cs="Arial"/>
        </w:rPr>
      </w:pPr>
      <w:r w:rsidRPr="000773F6">
        <w:rPr>
          <w:rFonts w:ascii="Arial" w:hAnsi="Arial" w:cs="Arial"/>
        </w:rPr>
        <w:t>See Appendix C for drawing.</w:t>
      </w:r>
    </w:p>
    <w:p w14:paraId="7D5F6509" w14:textId="77777777" w:rsidR="000864B8" w:rsidRPr="000773F6" w:rsidRDefault="000864B8" w:rsidP="000864B8">
      <w:pPr>
        <w:rPr>
          <w:rFonts w:ascii="Arial" w:hAnsi="Arial" w:cs="Arial"/>
        </w:rPr>
      </w:pPr>
      <w:r w:rsidRPr="000773F6">
        <w:rPr>
          <w:rFonts w:ascii="Arial" w:hAnsi="Arial" w:cs="Arial"/>
        </w:rPr>
        <w:t>(Show plan view layout drawing of floating roof with all appurtenances labeled and appropriate reference points not</w:t>
      </w:r>
      <w:r w:rsidR="0071749A">
        <w:rPr>
          <w:rFonts w:ascii="Arial" w:hAnsi="Arial" w:cs="Arial"/>
        </w:rPr>
        <w:t>ed. Include all locations of finding</w:t>
      </w:r>
      <w:r w:rsidRPr="000773F6">
        <w:rPr>
          <w:rFonts w:ascii="Arial" w:hAnsi="Arial" w:cs="Arial"/>
        </w:rPr>
        <w:t>s that require repair before returning tank to service.)</w:t>
      </w:r>
    </w:p>
    <w:p w14:paraId="4FB4011B" w14:textId="77777777" w:rsidR="000864B8" w:rsidRDefault="000864B8" w:rsidP="000864B8">
      <w:pPr>
        <w:rPr>
          <w:rFonts w:ascii="Arial" w:hAnsi="Arial" w:cs="Arial"/>
        </w:rPr>
      </w:pPr>
    </w:p>
    <w:p w14:paraId="479B45F2" w14:textId="77777777" w:rsidR="003C4E3B" w:rsidRPr="000773F6" w:rsidRDefault="003C4E3B" w:rsidP="000864B8">
      <w:pPr>
        <w:rPr>
          <w:rFonts w:ascii="Arial" w:hAnsi="Arial" w:cs="Arial"/>
        </w:rPr>
      </w:pPr>
      <w:r>
        <w:rPr>
          <w:rFonts w:ascii="Arial" w:hAnsi="Arial" w:cs="Arial"/>
        </w:rPr>
        <w:t xml:space="preserve">Note: All appurtenance labels must also include a label consistent with “Tanks” emissions software. </w:t>
      </w:r>
    </w:p>
    <w:p w14:paraId="2AD7264A" w14:textId="77777777" w:rsidR="000864B8" w:rsidRPr="000773F6" w:rsidRDefault="000864B8" w:rsidP="000864B8">
      <w:pPr>
        <w:pStyle w:val="Heading3"/>
      </w:pPr>
      <w:bookmarkStart w:id="58" w:name="_Toc221340876"/>
      <w:r w:rsidRPr="000773F6">
        <w:t>Floating Roof Seal Gap Measurement Results</w:t>
      </w:r>
      <w:r w:rsidR="0002538E" w:rsidRPr="000773F6">
        <w:t xml:space="preserve"> (U.S. only)</w:t>
      </w:r>
      <w:bookmarkEnd w:id="58"/>
    </w:p>
    <w:p w14:paraId="1AE4A267" w14:textId="77777777" w:rsidR="000864B8" w:rsidRPr="000773F6" w:rsidRDefault="000864B8" w:rsidP="000864B8">
      <w:pPr>
        <w:rPr>
          <w:rFonts w:ascii="Arial" w:hAnsi="Arial" w:cs="Arial"/>
        </w:rPr>
      </w:pPr>
      <w:r w:rsidRPr="000773F6">
        <w:rPr>
          <w:rFonts w:ascii="Arial" w:hAnsi="Arial" w:cs="Arial"/>
        </w:rPr>
        <w:t xml:space="preserve">(Report </w:t>
      </w:r>
      <w:r w:rsidR="00CA1DE1" w:rsidRPr="000773F6">
        <w:rPr>
          <w:rFonts w:ascii="Arial" w:hAnsi="Arial" w:cs="Arial"/>
        </w:rPr>
        <w:t xml:space="preserve">summary of </w:t>
      </w:r>
      <w:r w:rsidRPr="000773F6">
        <w:rPr>
          <w:rFonts w:ascii="Arial" w:hAnsi="Arial" w:cs="Arial"/>
        </w:rPr>
        <w:t xml:space="preserve">measurements </w:t>
      </w:r>
      <w:r w:rsidR="00CA1DE1" w:rsidRPr="000773F6">
        <w:rPr>
          <w:rFonts w:ascii="Arial" w:hAnsi="Arial" w:cs="Arial"/>
        </w:rPr>
        <w:t xml:space="preserve">and results </w:t>
      </w:r>
      <w:r w:rsidRPr="000773F6">
        <w:rPr>
          <w:rFonts w:ascii="Arial" w:hAnsi="Arial" w:cs="Arial"/>
        </w:rPr>
        <w:t>here if applicable, e.g. tanks in the United States under EPA Air Rules.</w:t>
      </w:r>
      <w:r w:rsidR="00B14AA0" w:rsidRPr="000773F6">
        <w:rPr>
          <w:rFonts w:ascii="Arial" w:hAnsi="Arial" w:cs="Arial"/>
        </w:rPr>
        <w:t xml:space="preserve"> Put data in Appendix B.</w:t>
      </w:r>
      <w:r w:rsidRPr="000773F6">
        <w:rPr>
          <w:rFonts w:ascii="Arial" w:hAnsi="Arial" w:cs="Arial"/>
        </w:rPr>
        <w:t>)</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9" w:name="_Toc221340877"/>
      <w:r w:rsidRPr="000773F6">
        <w:t>Nozzles and Appurtenances</w:t>
      </w:r>
      <w:bookmarkEnd w:id="59"/>
    </w:p>
    <w:p w14:paraId="11721092" w14:textId="77777777" w:rsidR="00D6256C" w:rsidRPr="000773F6" w:rsidRDefault="00D6256C" w:rsidP="00D6256C">
      <w:pPr>
        <w:pStyle w:val="Heading3"/>
      </w:pPr>
      <w:bookmarkStart w:id="60" w:name="_Toc221340878"/>
      <w:r w:rsidRPr="000773F6">
        <w:t>Nozzle</w:t>
      </w:r>
      <w:r w:rsidR="00123787" w:rsidRPr="000773F6">
        <w:t>s</w:t>
      </w:r>
      <w:r w:rsidRPr="000773F6">
        <w:t xml:space="preserve"> and Appurtenances Table</w:t>
      </w:r>
      <w:bookmarkEnd w:id="60"/>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61" w:name="_Toc221340879"/>
      <w:r w:rsidRPr="000773F6">
        <w:t>Shell Rollout</w:t>
      </w:r>
      <w:bookmarkEnd w:id="61"/>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62"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62"/>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63"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63"/>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64" w:name="_Toc221340882"/>
      <w:r w:rsidRPr="000773F6">
        <w:t>Shell Corrosion Rate</w:t>
      </w:r>
      <w:bookmarkEnd w:id="64"/>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5" w:name="_Toc221340883"/>
      <w:r w:rsidRPr="000773F6">
        <w:t>Fixed Roof Corrosion Rate</w:t>
      </w:r>
      <w:bookmarkEnd w:id="65"/>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6"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6"/>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7" w:name="_Toc221340886"/>
      <w:r w:rsidR="00381C25" w:rsidRPr="000773F6">
        <w:lastRenderedPageBreak/>
        <w:t xml:space="preserve">NDE INSPECTION </w:t>
      </w:r>
      <w:r w:rsidR="00E41F54" w:rsidRPr="000773F6">
        <w:t>SUMMARY</w:t>
      </w:r>
      <w:bookmarkEnd w:id="67"/>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8" w:name="_Toc221340887"/>
      <w:r w:rsidRPr="000773F6">
        <w:t>NDE Inspection Scope</w:t>
      </w:r>
      <w:bookmarkEnd w:id="68"/>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9" w:name="_Toc221340888"/>
      <w:r w:rsidRPr="000773F6">
        <w:t>Significant Findings</w:t>
      </w:r>
      <w:bookmarkEnd w:id="69"/>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70"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70"/>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71" w:name="_Toc221340890"/>
      <w:r w:rsidRPr="000773F6">
        <w:t>Shell Readings</w:t>
      </w:r>
      <w:bookmarkEnd w:id="71"/>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72" w:name="_Toc221340891"/>
      <w:r w:rsidRPr="000773F6">
        <w:t>Fixed Roof Readings</w:t>
      </w:r>
      <w:bookmarkEnd w:id="72"/>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73" w:name="_Toc221340892"/>
      <w:r w:rsidRPr="000773F6">
        <w:t>Floating Roof Readings</w:t>
      </w:r>
      <w:bookmarkEnd w:id="73"/>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74" w:name="_Toc221340893"/>
      <w:r w:rsidRPr="000773F6">
        <w:t>Nozzle and Appurtenance Readings</w:t>
      </w:r>
      <w:bookmarkEnd w:id="74"/>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5" w:name="_Toc221340894"/>
      <w:r w:rsidRPr="000773F6">
        <w:t>Sump Readings</w:t>
      </w:r>
      <w:bookmarkEnd w:id="75"/>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6" w:name="_Toc221340895"/>
      <w:r w:rsidR="00243EC4" w:rsidRPr="000773F6">
        <w:lastRenderedPageBreak/>
        <w:t>APPENDIX A – EQUIPMENT</w:t>
      </w:r>
      <w:bookmarkEnd w:id="76"/>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Pr="000773F6" w:rsidRDefault="0071749A" w:rsidP="00243EC4">
      <w:pPr>
        <w:rPr>
          <w:rFonts w:ascii="Arial" w:hAnsi="Arial" w:cs="Arial"/>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7" w:name="_Toc221340896"/>
      <w:r w:rsidRPr="000773F6">
        <w:lastRenderedPageBreak/>
        <w:t xml:space="preserve">APPENDIX B – </w:t>
      </w:r>
      <w:r w:rsidR="00733F5A" w:rsidRPr="000773F6">
        <w:t>DATA</w:t>
      </w:r>
      <w:bookmarkEnd w:id="77"/>
      <w:r w:rsidR="00733F5A" w:rsidRPr="000773F6">
        <w:t xml:space="preserve"> </w:t>
      </w:r>
    </w:p>
    <w:p w14:paraId="5A30AA67" w14:textId="77777777" w:rsidR="00243EC4" w:rsidRPr="000773F6" w:rsidRDefault="00243EC4" w:rsidP="00243EC4">
      <w:pPr>
        <w:rPr>
          <w:rFonts w:ascii="Arial" w:hAnsi="Arial" w:cs="Arial"/>
        </w:rPr>
      </w:pPr>
    </w:p>
    <w:p w14:paraId="18060604" w14:textId="77777777" w:rsidR="00243EC4" w:rsidRPr="000773F6"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3A217DB4" w14:textId="77777777" w:rsidR="00243EC4" w:rsidRPr="000773F6" w:rsidRDefault="00243EC4" w:rsidP="00243EC4">
      <w:pPr>
        <w:rPr>
          <w:rFonts w:ascii="Arial" w:hAnsi="Arial" w:cs="Arial"/>
        </w:rPr>
      </w:pPr>
    </w:p>
    <w:p w14:paraId="31E02959" w14:textId="77777777" w:rsidR="00243EC4" w:rsidRPr="000773F6" w:rsidRDefault="00243EC4" w:rsidP="00243EC4">
      <w:pPr>
        <w:pStyle w:val="Heading1"/>
      </w:pPr>
      <w:r w:rsidRPr="000773F6">
        <w:br w:type="page"/>
      </w:r>
      <w:bookmarkStart w:id="78" w:name="_Toc221340897"/>
      <w:r w:rsidRPr="000773F6">
        <w:lastRenderedPageBreak/>
        <w:t xml:space="preserve">APPENDIX C – </w:t>
      </w:r>
      <w:r w:rsidR="00733F5A" w:rsidRPr="000773F6">
        <w:t>DRAWINGS</w:t>
      </w:r>
      <w:bookmarkEnd w:id="78"/>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9" w:name="_Toc221340898"/>
      <w:r w:rsidRPr="000773F6">
        <w:lastRenderedPageBreak/>
        <w:t>APPENDIX D – PHOTOGRAPHS</w:t>
      </w:r>
      <w:bookmarkEnd w:id="79"/>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80" w:name="_Toc221340899"/>
      <w:r w:rsidRPr="000773F6">
        <w:lastRenderedPageBreak/>
        <w:t>APPENDIX E – CHECKLISTS</w:t>
      </w:r>
      <w:bookmarkEnd w:id="80"/>
      <w:r w:rsidRPr="000773F6">
        <w:t xml:space="preserve"> </w:t>
      </w:r>
    </w:p>
    <w:p w14:paraId="3FA0D96F" w14:textId="77777777" w:rsidR="004D2742" w:rsidRPr="000773F6" w:rsidRDefault="004D2742" w:rsidP="004D2742">
      <w:pPr>
        <w:rPr>
          <w:rFonts w:ascii="Arial" w:hAnsi="Arial" w:cs="Arial"/>
        </w:rPr>
      </w:pPr>
    </w:p>
    <w:p w14:paraId="18C24062" w14:textId="77777777" w:rsidR="004D2742" w:rsidRPr="000773F6" w:rsidRDefault="004D2742" w:rsidP="004D2742">
      <w:pPr>
        <w:rPr>
          <w:rFonts w:ascii="Arial" w:hAnsi="Arial" w:cs="Arial"/>
        </w:rPr>
      </w:pPr>
      <w:r w:rsidRPr="000773F6">
        <w:rPr>
          <w:rFonts w:ascii="Arial" w:hAnsi="Arial" w:cs="Arial"/>
        </w:rPr>
        <w:t>(Attach completed checklist for applicable inspection, i.e. FEI or FII.)</w:t>
      </w:r>
    </w:p>
    <w:p w14:paraId="6F2CA6E5" w14:textId="77777777" w:rsidR="004D2742" w:rsidRPr="000773F6" w:rsidRDefault="004D2742" w:rsidP="004D2742">
      <w:pPr>
        <w:rPr>
          <w:rFonts w:ascii="Arial" w:hAnsi="Arial" w:cs="Arial"/>
        </w:rPr>
      </w:pPr>
    </w:p>
    <w:p w14:paraId="1F0BA158" w14:textId="77777777" w:rsidR="00A30601" w:rsidRDefault="00A30601" w:rsidP="00ED0B9E">
      <w:pPr>
        <w:pStyle w:val="Heading1"/>
      </w:pP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3EA50" w14:textId="77777777" w:rsidR="007A3FF9" w:rsidRDefault="007A3FF9">
      <w:r>
        <w:separator/>
      </w:r>
    </w:p>
  </w:endnote>
  <w:endnote w:type="continuationSeparator" w:id="0">
    <w:p w14:paraId="7FEF5CB9" w14:textId="77777777" w:rsidR="007A3FF9" w:rsidRDefault="007A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328C" w14:textId="77777777" w:rsidR="007A3FF9" w:rsidRDefault="007A3FF9">
      <w:r>
        <w:separator/>
      </w:r>
    </w:p>
  </w:footnote>
  <w:footnote w:type="continuationSeparator" w:id="0">
    <w:p w14:paraId="3CA3EDDC" w14:textId="77777777" w:rsidR="007A3FF9" w:rsidRDefault="007A3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73737"/>
    <w:rsid w:val="00075A7D"/>
    <w:rsid w:val="0007706D"/>
    <w:rsid w:val="000773F6"/>
    <w:rsid w:val="000828AE"/>
    <w:rsid w:val="000864B8"/>
    <w:rsid w:val="000877A0"/>
    <w:rsid w:val="000C18CD"/>
    <w:rsid w:val="000C2933"/>
    <w:rsid w:val="000D1CAB"/>
    <w:rsid w:val="000F6444"/>
    <w:rsid w:val="00105506"/>
    <w:rsid w:val="0011177B"/>
    <w:rsid w:val="001231CA"/>
    <w:rsid w:val="00123787"/>
    <w:rsid w:val="0013355B"/>
    <w:rsid w:val="001805C1"/>
    <w:rsid w:val="001864DD"/>
    <w:rsid w:val="001B1BE5"/>
    <w:rsid w:val="001C039E"/>
    <w:rsid w:val="001C5D23"/>
    <w:rsid w:val="001E628E"/>
    <w:rsid w:val="001F15EA"/>
    <w:rsid w:val="001F35C2"/>
    <w:rsid w:val="001F60AC"/>
    <w:rsid w:val="00206713"/>
    <w:rsid w:val="002231F7"/>
    <w:rsid w:val="00243EC4"/>
    <w:rsid w:val="002525BC"/>
    <w:rsid w:val="00267EF8"/>
    <w:rsid w:val="002874F6"/>
    <w:rsid w:val="002A352D"/>
    <w:rsid w:val="002B46E9"/>
    <w:rsid w:val="002B6712"/>
    <w:rsid w:val="002B7D80"/>
    <w:rsid w:val="002C172D"/>
    <w:rsid w:val="002C6137"/>
    <w:rsid w:val="002D3034"/>
    <w:rsid w:val="002E388B"/>
    <w:rsid w:val="002F1455"/>
    <w:rsid w:val="002F1665"/>
    <w:rsid w:val="003428E6"/>
    <w:rsid w:val="00357A10"/>
    <w:rsid w:val="00366007"/>
    <w:rsid w:val="00370697"/>
    <w:rsid w:val="00381C25"/>
    <w:rsid w:val="003C4E3B"/>
    <w:rsid w:val="003D5757"/>
    <w:rsid w:val="003D7E67"/>
    <w:rsid w:val="0040202D"/>
    <w:rsid w:val="00405AB7"/>
    <w:rsid w:val="00416BB9"/>
    <w:rsid w:val="00466ABA"/>
    <w:rsid w:val="00472C66"/>
    <w:rsid w:val="00483A05"/>
    <w:rsid w:val="004909CD"/>
    <w:rsid w:val="00491D01"/>
    <w:rsid w:val="00492434"/>
    <w:rsid w:val="004B36B2"/>
    <w:rsid w:val="004B4D42"/>
    <w:rsid w:val="004D2742"/>
    <w:rsid w:val="004E7B58"/>
    <w:rsid w:val="00505058"/>
    <w:rsid w:val="005113BD"/>
    <w:rsid w:val="00520D6F"/>
    <w:rsid w:val="00526E28"/>
    <w:rsid w:val="005372A1"/>
    <w:rsid w:val="00543224"/>
    <w:rsid w:val="00585E61"/>
    <w:rsid w:val="005C3C29"/>
    <w:rsid w:val="005D7012"/>
    <w:rsid w:val="005E24B4"/>
    <w:rsid w:val="005F6402"/>
    <w:rsid w:val="00614EE6"/>
    <w:rsid w:val="00621710"/>
    <w:rsid w:val="00634D9E"/>
    <w:rsid w:val="00635252"/>
    <w:rsid w:val="00643C96"/>
    <w:rsid w:val="0065338F"/>
    <w:rsid w:val="00656A60"/>
    <w:rsid w:val="006C0F59"/>
    <w:rsid w:val="006E04AB"/>
    <w:rsid w:val="006E2036"/>
    <w:rsid w:val="006E665A"/>
    <w:rsid w:val="006F1B99"/>
    <w:rsid w:val="007061AA"/>
    <w:rsid w:val="007107E3"/>
    <w:rsid w:val="0071749A"/>
    <w:rsid w:val="00720A9F"/>
    <w:rsid w:val="00733F5A"/>
    <w:rsid w:val="00736F5C"/>
    <w:rsid w:val="007A13B9"/>
    <w:rsid w:val="007A3FF9"/>
    <w:rsid w:val="007A66D9"/>
    <w:rsid w:val="007B1585"/>
    <w:rsid w:val="007F200F"/>
    <w:rsid w:val="00805D06"/>
    <w:rsid w:val="00816205"/>
    <w:rsid w:val="0084106B"/>
    <w:rsid w:val="008474D8"/>
    <w:rsid w:val="00855C95"/>
    <w:rsid w:val="0085656E"/>
    <w:rsid w:val="00870F94"/>
    <w:rsid w:val="008836C8"/>
    <w:rsid w:val="008A4593"/>
    <w:rsid w:val="008B2DC6"/>
    <w:rsid w:val="008C0824"/>
    <w:rsid w:val="008C3DC6"/>
    <w:rsid w:val="008C5328"/>
    <w:rsid w:val="008D3205"/>
    <w:rsid w:val="0093462C"/>
    <w:rsid w:val="00962143"/>
    <w:rsid w:val="009662BB"/>
    <w:rsid w:val="00967F3E"/>
    <w:rsid w:val="009A48A2"/>
    <w:rsid w:val="009C1FC1"/>
    <w:rsid w:val="009C31A8"/>
    <w:rsid w:val="009E7E1A"/>
    <w:rsid w:val="009F7D60"/>
    <w:rsid w:val="00A02667"/>
    <w:rsid w:val="00A130C0"/>
    <w:rsid w:val="00A21444"/>
    <w:rsid w:val="00A25BA6"/>
    <w:rsid w:val="00A30601"/>
    <w:rsid w:val="00A31B4B"/>
    <w:rsid w:val="00A53775"/>
    <w:rsid w:val="00A61274"/>
    <w:rsid w:val="00A618A9"/>
    <w:rsid w:val="00A662B9"/>
    <w:rsid w:val="00A71892"/>
    <w:rsid w:val="00A96AD1"/>
    <w:rsid w:val="00AA63F8"/>
    <w:rsid w:val="00B04552"/>
    <w:rsid w:val="00B14AA0"/>
    <w:rsid w:val="00B24D3C"/>
    <w:rsid w:val="00B541A9"/>
    <w:rsid w:val="00B86798"/>
    <w:rsid w:val="00B963E6"/>
    <w:rsid w:val="00BB77D5"/>
    <w:rsid w:val="00BC7E42"/>
    <w:rsid w:val="00BD033D"/>
    <w:rsid w:val="00BE4F7E"/>
    <w:rsid w:val="00BE4FCA"/>
    <w:rsid w:val="00BF1760"/>
    <w:rsid w:val="00C176C2"/>
    <w:rsid w:val="00C33757"/>
    <w:rsid w:val="00C8443F"/>
    <w:rsid w:val="00C8671E"/>
    <w:rsid w:val="00CA1DE1"/>
    <w:rsid w:val="00CD5ACA"/>
    <w:rsid w:val="00CF4C6F"/>
    <w:rsid w:val="00D12788"/>
    <w:rsid w:val="00D20812"/>
    <w:rsid w:val="00D34E1B"/>
    <w:rsid w:val="00D42250"/>
    <w:rsid w:val="00D6256C"/>
    <w:rsid w:val="00D669AB"/>
    <w:rsid w:val="00D935C7"/>
    <w:rsid w:val="00D93D77"/>
    <w:rsid w:val="00DB1A45"/>
    <w:rsid w:val="00DD28BC"/>
    <w:rsid w:val="00DD43B2"/>
    <w:rsid w:val="00DF24BD"/>
    <w:rsid w:val="00DF2E0B"/>
    <w:rsid w:val="00E0341F"/>
    <w:rsid w:val="00E25FFD"/>
    <w:rsid w:val="00E41F54"/>
    <w:rsid w:val="00E73AB0"/>
    <w:rsid w:val="00E958FB"/>
    <w:rsid w:val="00EA190A"/>
    <w:rsid w:val="00ED0B9E"/>
    <w:rsid w:val="00EE1B69"/>
    <w:rsid w:val="00EF04B3"/>
    <w:rsid w:val="00EF338A"/>
    <w:rsid w:val="00EF5D24"/>
    <w:rsid w:val="00F011AC"/>
    <w:rsid w:val="00F34222"/>
    <w:rsid w:val="00F505EB"/>
    <w:rsid w:val="00F603F0"/>
    <w:rsid w:val="00F64E7A"/>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val="en-US" w:eastAsia="en-US"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25</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20334</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50</cp:revision>
  <cp:lastPrinted>2015-08-26T16:09:00Z</cp:lastPrinted>
  <dcterms:created xsi:type="dcterms:W3CDTF">2023-01-26T03:36:00Z</dcterms:created>
  <dcterms:modified xsi:type="dcterms:W3CDTF">2023-01-26T09:58:00Z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