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footer4.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284" w:leader="none"/>
        </w:tabs>
        <w:rPr>
          <w:lang w:eastAsia="pt-BR"/>
        </w:rPr>
      </w:pPr>
      <w:r>
        <w:rPr>
          <w:lang w:eastAsia="pt-BR"/>
        </w:rPr>
        <w:drawing>
          <wp:anchor behindDoc="1" distT="0" distB="0" distL="0" distR="0" simplePos="0" locked="0" layoutInCell="1" allowOverlap="1" relativeHeight="32">
            <wp:simplePos x="0" y="0"/>
            <wp:positionH relativeFrom="column">
              <wp:posOffset>-762000</wp:posOffset>
            </wp:positionH>
            <wp:positionV relativeFrom="paragraph">
              <wp:posOffset>-960120</wp:posOffset>
            </wp:positionV>
            <wp:extent cx="7823200" cy="11048365"/>
            <wp:effectExtent l="0" t="0" r="0" b="0"/>
            <wp:wrapNone/>
            <wp:docPr id="1" name="Imagem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7" descr=""/>
                    <pic:cNvPicPr>
                      <a:picLocks noChangeAspect="1" noChangeArrowheads="1"/>
                    </pic:cNvPicPr>
                  </pic:nvPicPr>
                  <pic:blipFill>
                    <a:blip r:embed="rId2"/>
                    <a:stretch>
                      <a:fillRect/>
                    </a:stretch>
                  </pic:blipFill>
                  <pic:spPr bwMode="auto">
                    <a:xfrm>
                      <a:off x="0" y="0"/>
                      <a:ext cx="7823200" cy="11048365"/>
                    </a:xfrm>
                    <a:prstGeom prst="rect">
                      <a:avLst/>
                    </a:prstGeom>
                    <a:noFill/>
                  </pic:spPr>
                </pic:pic>
              </a:graphicData>
            </a:graphic>
          </wp:anchor>
        </w:drawing>
      </w:r>
    </w:p>
    <w:p>
      <w:pPr>
        <w:pStyle w:val="Normal"/>
        <w:tabs>
          <w:tab w:val="clear" w:pos="708"/>
          <w:tab w:val="left" w:pos="284" w:leader="none"/>
        </w:tabs>
        <w:rPr>
          <w:rFonts w:ascii="Times New Roman" w:hAnsi="Times New Roman" w:cs="Times New Roman"/>
          <w:b/>
          <w:sz w:val="24"/>
        </w:rPr>
      </w:pPr>
      <w:r>
        <w:rPr>
          <w:rFonts w:cs="Times New Roman" w:ascii="Times New Roman" w:hAnsi="Times New Roman"/>
          <w:b/>
          <w:sz w:val="24"/>
        </w:rPr>
      </w:r>
    </w:p>
    <w:p>
      <w:pPr>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080" w:right="1080" w:gutter="0" w:header="709" w:top="1440" w:footer="709" w:bottom="1440"/>
          <w:pgNumType w:fmt="decimal"/>
          <w:formProt w:val="false"/>
          <w:textDirection w:val="lrTb"/>
          <w:docGrid w:type="default" w:linePitch="360" w:charSpace="0"/>
        </w:sectPr>
        <w:pStyle w:val="Normal"/>
        <w:tabs>
          <w:tab w:val="clear" w:pos="708"/>
          <w:tab w:val="left" w:pos="284" w:leader="none"/>
        </w:tabs>
        <w:rPr>
          <w:rFonts w:ascii="Times New Roman" w:hAnsi="Times New Roman" w:cs="Times New Roman"/>
          <w:b/>
          <w:sz w:val="24"/>
        </w:rPr>
      </w:pPr>
      <w:r>
        <w:rPr>
          <w:rFonts w:cs="Times New Roman" w:ascii="Times New Roman" w:hAnsi="Times New Roman"/>
          <w:b/>
          <w:sz w:val="24"/>
        </w:rPr>
        <w:drawing>
          <wp:anchor behindDoc="0" distT="0" distB="0" distL="0" distR="0" simplePos="0" locked="0" layoutInCell="1" allowOverlap="1" relativeHeight="33">
            <wp:simplePos x="0" y="0"/>
            <wp:positionH relativeFrom="column">
              <wp:posOffset>3832860</wp:posOffset>
            </wp:positionH>
            <wp:positionV relativeFrom="paragraph">
              <wp:posOffset>7666990</wp:posOffset>
            </wp:positionV>
            <wp:extent cx="1880235" cy="679450"/>
            <wp:effectExtent l="0" t="0" r="0" b="0"/>
            <wp:wrapNone/>
            <wp:docPr id="2" name="Imagem 1" descr="Placa vermelha com letras brancas em fundo pret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Placa vermelha com letras brancas em fundo preto&#10;&#10;Descrição gerada automaticamente com confiança baixa"/>
                    <pic:cNvPicPr>
                      <a:picLocks noChangeAspect="1" noChangeArrowheads="1"/>
                    </pic:cNvPicPr>
                  </pic:nvPicPr>
                  <pic:blipFill>
                    <a:blip r:embed="rId3"/>
                    <a:stretch>
                      <a:fillRect/>
                    </a:stretch>
                  </pic:blipFill>
                  <pic:spPr bwMode="auto">
                    <a:xfrm>
                      <a:off x="0" y="0"/>
                      <a:ext cx="1880235" cy="679450"/>
                    </a:xfrm>
                    <a:prstGeom prst="rect">
                      <a:avLst/>
                    </a:prstGeom>
                    <a:noFill/>
                  </pic:spPr>
                </pic:pic>
              </a:graphicData>
            </a:graphic>
          </wp:anchor>
        </w:drawing>
        <mc:AlternateContent>
          <mc:Choice Requires="wps">
            <w:drawing>
              <wp:anchor behindDoc="0" distT="0" distB="0" distL="0" distR="0" simplePos="0" locked="0" layoutInCell="1" allowOverlap="1" relativeHeight="34" wp14:anchorId="51072906">
                <wp:simplePos x="0" y="0"/>
                <wp:positionH relativeFrom="column">
                  <wp:posOffset>-350520</wp:posOffset>
                </wp:positionH>
                <wp:positionV relativeFrom="paragraph">
                  <wp:posOffset>5589905</wp:posOffset>
                </wp:positionV>
                <wp:extent cx="6934200" cy="1447800"/>
                <wp:effectExtent l="0" t="0" r="0" b="0"/>
                <wp:wrapNone/>
                <wp:docPr id="3" name="Caixa de Texto 12"/>
                <a:graphic xmlns:a="http://schemas.openxmlformats.org/drawingml/2006/main">
                  <a:graphicData uri="http://schemas.microsoft.com/office/word/2010/wordprocessingShape">
                    <wps:wsp>
                      <wps:cNvSpPr/>
                      <wps:spPr>
                        <a:xfrm>
                          <a:off x="0" y="0"/>
                          <a:ext cx="6934320" cy="1447920"/>
                        </a:xfrm>
                        <a:prstGeom prst="rect">
                          <a:avLst/>
                        </a:prstGeom>
                        <a:noFill/>
                        <a:ln w="0">
                          <a:noFill/>
                        </a:ln>
                      </wps:spPr>
                      <wps:style>
                        <a:lnRef idx="0"/>
                        <a:fillRef idx="0"/>
                        <a:effectRef idx="0"/>
                        <a:fontRef idx="minor"/>
                      </wps:style>
                      <wps:txbx>
                        <w:txbxContent>
                          <w:p>
                            <w:pPr>
                              <w:pStyle w:val="Title"/>
                              <w:spacing w:before="240" w:after="120"/>
                              <w:jc w:val="left"/>
                              <w:rPr>
                                <w:rFonts w:eastAsia="Times New Roman" w:cs="Arial"/>
                                <w:sz w:val="64"/>
                                <w:szCs w:val="64"/>
                                <w14:shadow w14:blurRad="50800" w14:dist="38100" w14:dir="2700000" w14:sx="100000" w14:sy="100000" w14:kx="0" w14:ky="0" w14:algn="tl">
                                  <w14:srgbClr w14:val="000000">
                                    <w14:alpha w14:val="60000"/>
                                  </w14:srgbClr>
                                </w14:shadow>
                              </w:rPr>
                            </w:pPr>
                            <w:r>
                              <w:rPr>
                                <w:rFonts w:cs="Arial"/>
                                <w:sz w:val="64"/>
                                <w:szCs w:val="64"/>
                                <w:lang w:val="pt-BR"/>
                                <w14:shadow w14:blurRad="50800" w14:dist="38100" w14:dir="2700000" w14:sx="100000" w14:sy="100000" w14:kx="0" w14:ky="0" w14:algn="tl">
                                  <w14:srgbClr w14:val="000000">
                                    <w14:alpha w14:val="60000"/>
                                  </w14:srgbClr>
                                </w14:shadow>
                              </w:rPr>
                              <w:t>A segurança alimentar no Ceará em 2024</w:t>
                            </w:r>
                          </w:p>
                        </w:txbxContent>
                      </wps:txbx>
                      <wps:bodyPr anchor="t" upright="1">
                        <a:noAutofit/>
                      </wps:bodyPr>
                    </wps:wsp>
                  </a:graphicData>
                </a:graphic>
              </wp:anchor>
            </w:drawing>
          </mc:Choice>
          <mc:Fallback>
            <w:pict>
              <v:rect id="shape_0" ID="Caixa de Texto 12" path="m0,0l-2147483645,0l-2147483645,-2147483646l0,-2147483646xe" stroked="f" o:allowincell="f" style="position:absolute;margin-left:-27.6pt;margin-top:440.15pt;width:545.95pt;height:113.95pt;mso-wrap-style:square;v-text-anchor:top" wp14:anchorId="51072906">
                <v:fill o:detectmouseclick="t" on="false"/>
                <v:stroke color="#3465a4" joinstyle="round" endcap="flat"/>
                <v:textbox>
                  <w:txbxContent>
                    <w:p>
                      <w:pPr>
                        <w:pStyle w:val="Title"/>
                        <w:spacing w:before="240" w:after="120"/>
                        <w:jc w:val="left"/>
                        <w:rPr>
                          <w:rFonts w:eastAsia="Times New Roman" w:cs="Arial"/>
                          <w:sz w:val="64"/>
                          <w:szCs w:val="64"/>
                          <w14:shadow w14:blurRad="50800" w14:dist="38100" w14:dir="2700000" w14:sx="100000" w14:sy="100000" w14:kx="0" w14:ky="0" w14:algn="tl">
                            <w14:srgbClr w14:val="000000">
                              <w14:alpha w14:val="60000"/>
                            </w14:srgbClr>
                          </w14:shadow>
                        </w:rPr>
                      </w:pPr>
                      <w:r>
                        <w:rPr>
                          <w:rFonts w:cs="Arial"/>
                          <w:sz w:val="64"/>
                          <w:szCs w:val="64"/>
                          <w:lang w:val="pt-BR"/>
                          <w14:shadow w14:blurRad="50800" w14:dist="38100" w14:dir="2700000" w14:sx="100000" w14:sy="100000" w14:kx="0" w14:ky="0" w14:algn="tl">
                            <w14:srgbClr w14:val="000000">
                              <w14:alpha w14:val="60000"/>
                            </w14:srgbClr>
                          </w14:shadow>
                        </w:rPr>
                        <w:t>A segurança alimentar no Ceará em 2024</w:t>
                      </w:r>
                    </w:p>
                  </w:txbxContent>
                </v:textbox>
                <w10:wrap type="none"/>
              </v:rect>
            </w:pict>
          </mc:Fallback>
        </mc:AlternateContent>
        <mc:AlternateContent>
          <mc:Choice Requires="wps">
            <w:drawing>
              <wp:anchor behindDoc="0" distT="0" distB="5080" distL="0" distR="0" simplePos="0" locked="0" layoutInCell="1" allowOverlap="1" relativeHeight="36" wp14:anchorId="3083F0E7">
                <wp:simplePos x="0" y="0"/>
                <wp:positionH relativeFrom="column">
                  <wp:posOffset>2866390</wp:posOffset>
                </wp:positionH>
                <wp:positionV relativeFrom="paragraph">
                  <wp:posOffset>4288790</wp:posOffset>
                </wp:positionV>
                <wp:extent cx="2985770" cy="337820"/>
                <wp:effectExtent l="0" t="0" r="0" b="5080"/>
                <wp:wrapNone/>
                <wp:docPr id="4" name="Caixa de Texto 13"/>
                <a:graphic xmlns:a="http://schemas.openxmlformats.org/drawingml/2006/main">
                  <a:graphicData uri="http://schemas.microsoft.com/office/word/2010/wordprocessingShape">
                    <wps:wsp>
                      <wps:cNvSpPr/>
                      <wps:spPr>
                        <a:xfrm>
                          <a:off x="0" y="0"/>
                          <a:ext cx="2985840" cy="337680"/>
                        </a:xfrm>
                        <a:prstGeom prst="rect">
                          <a:avLst/>
                        </a:prstGeom>
                        <a:noFill/>
                        <a:ln w="0">
                          <a:noFill/>
                        </a:ln>
                      </wps:spPr>
                      <wps:style>
                        <a:lnRef idx="0"/>
                        <a:fillRef idx="0"/>
                        <a:effectRef idx="0"/>
                        <a:fontRef idx="minor"/>
                      </wps:style>
                      <wps:txbx>
                        <w:txbxContent>
                          <w:p>
                            <w:pPr>
                              <w:pStyle w:val="Contedodoquadro"/>
                              <w:spacing w:lineRule="auto" w:line="240" w:before="0" w:after="200"/>
                              <w:rPr>
                                <w:rFonts w:eastAsia="Times New Roman" w:cs="Calibri" w:cstheme="minorHAnsi"/>
                                <w:b/>
                                <w:color w:val="auto"/>
                                <w:sz w:val="36"/>
                                <w:szCs w:val="36"/>
                                <w:u w:val="single"/>
                                <w14:shadow w14:blurRad="50800" w14:dist="38100" w14:dir="5400000" w14:sx="100000" w14:sy="100000" w14:kx="0" w14:ky="0" w14:algn="t">
                                  <w14:srgbClr w14:val="000000">
                                    <w14:alpha w14:val="60000"/>
                                  </w14:srgbClr>
                                </w14:shadow>
                              </w:rPr>
                            </w:pPr>
                            <w:r>
                              <w:rPr>
                                <w:rFonts w:eastAsia="Times New Roman" w:cs="Calibri" w:cstheme="minorHAnsi"/>
                                <w:b/>
                                <w:color w:val="auto"/>
                                <w:sz w:val="36"/>
                                <w:szCs w:val="36"/>
                                <w14:shadow w14:blurRad="50800" w14:dist="38100" w14:dir="5400000" w14:sx="100000" w14:sy="100000" w14:kx="0" w14:ky="0" w14:algn="t">
                                  <w14:srgbClr w14:val="000000">
                                    <w14:alpha w14:val="60000"/>
                                  </w14:srgbClr>
                                </w14:shadow>
                              </w:rPr>
                              <w:t>Nº 000 - Dezembro/2025</w:t>
                            </w:r>
                          </w:p>
                        </w:txbxContent>
                      </wps:txbx>
                      <wps:bodyPr anchor="t" upright="1">
                        <a:noAutofit/>
                      </wps:bodyPr>
                    </wps:wsp>
                  </a:graphicData>
                </a:graphic>
              </wp:anchor>
            </w:drawing>
          </mc:Choice>
          <mc:Fallback>
            <w:pict>
              <v:rect id="shape_0" ID="Caixa de Texto 13" path="m0,0l-2147483645,0l-2147483645,-2147483646l0,-2147483646xe" stroked="f" o:allowincell="f" style="position:absolute;margin-left:225.7pt;margin-top:337.7pt;width:235.05pt;height:26.55pt;mso-wrap-style:square;v-text-anchor:top" wp14:anchorId="3083F0E7">
                <v:fill o:detectmouseclick="t" on="false"/>
                <v:stroke color="#3465a4" joinstyle="round" endcap="flat"/>
                <v:textbox>
                  <w:txbxContent>
                    <w:p>
                      <w:pPr>
                        <w:pStyle w:val="Contedodoquadro"/>
                        <w:spacing w:lineRule="auto" w:line="240" w:before="0" w:after="200"/>
                        <w:rPr>
                          <w:rFonts w:eastAsia="Times New Roman" w:cs="Calibri" w:cstheme="minorHAnsi"/>
                          <w:b/>
                          <w:color w:val="auto"/>
                          <w:sz w:val="36"/>
                          <w:szCs w:val="36"/>
                          <w:u w:val="single"/>
                          <w14:shadow w14:blurRad="50800" w14:dist="38100" w14:dir="5400000" w14:sx="100000" w14:sy="100000" w14:kx="0" w14:ky="0" w14:algn="t">
                            <w14:srgbClr w14:val="000000">
                              <w14:alpha w14:val="60000"/>
                            </w14:srgbClr>
                          </w14:shadow>
                        </w:rPr>
                      </w:pPr>
                      <w:r>
                        <w:rPr>
                          <w:rFonts w:eastAsia="Times New Roman" w:cs="Calibri" w:cstheme="minorHAnsi"/>
                          <w:b/>
                          <w:color w:val="auto"/>
                          <w:sz w:val="36"/>
                          <w:szCs w:val="36"/>
                          <w14:shadow w14:blurRad="50800" w14:dist="38100" w14:dir="5400000" w14:sx="100000" w14:sy="100000" w14:kx="0" w14:ky="0" w14:algn="t">
                            <w14:srgbClr w14:val="000000">
                              <w14:alpha w14:val="60000"/>
                            </w14:srgbClr>
                          </w14:shadow>
                        </w:rPr>
                        <w:t>Nº 000 - Dezembro/2025</w:t>
                      </w:r>
                    </w:p>
                  </w:txbxContent>
                </v:textbox>
                <w10:wrap type="none"/>
              </v:rect>
            </w:pict>
          </mc:Fallback>
        </mc:AlternateContent>
        <w:drawing>
          <wp:anchor behindDoc="0" distT="0" distB="0" distL="0" distR="0" simplePos="0" locked="0" layoutInCell="1" allowOverlap="1" relativeHeight="42">
            <wp:simplePos x="0" y="0"/>
            <wp:positionH relativeFrom="column">
              <wp:posOffset>1209675</wp:posOffset>
            </wp:positionH>
            <wp:positionV relativeFrom="paragraph">
              <wp:posOffset>7480935</wp:posOffset>
            </wp:positionV>
            <wp:extent cx="1943100" cy="1085215"/>
            <wp:effectExtent l="0" t="0" r="0" b="0"/>
            <wp:wrapNone/>
            <wp:docPr id="5"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3" descr="Logotipo&#10;&#10;O conteúdo gerado por IA pode estar incorreto."/>
                    <pic:cNvPicPr>
                      <a:picLocks noChangeAspect="1" noChangeArrowheads="1"/>
                    </pic:cNvPicPr>
                  </pic:nvPicPr>
                  <pic:blipFill>
                    <a:blip r:embed="rId4"/>
                    <a:stretch>
                      <a:fillRect/>
                    </a:stretch>
                  </pic:blipFill>
                  <pic:spPr bwMode="auto">
                    <a:xfrm>
                      <a:off x="0" y="0"/>
                      <a:ext cx="1943100" cy="1085215"/>
                    </a:xfrm>
                    <a:prstGeom prst="rect">
                      <a:avLst/>
                    </a:prstGeom>
                    <a:noFill/>
                  </pic:spPr>
                </pic:pic>
              </a:graphicData>
            </a:graphic>
          </wp:anchor>
        </w:drawing>
      </w:r>
    </w:p>
    <w:p>
      <w:pPr>
        <w:sectPr>
          <w:headerReference w:type="default" r:id="rId11"/>
          <w:headerReference w:type="first" r:id="rId12"/>
          <w:footerReference w:type="default" r:id="rId13"/>
          <w:footerReference w:type="first" r:id="rId14"/>
          <w:type w:val="nextPage"/>
          <w:pgSz w:w="11906" w:h="16838"/>
          <w:pgMar w:left="1701" w:right="991" w:gutter="0" w:header="708" w:top="1417" w:footer="708" w:bottom="1417"/>
          <w:pgNumType w:fmt="decimal"/>
          <w:formProt w:val="false"/>
          <w:textDirection w:val="lrTb"/>
          <w:docGrid w:type="default" w:linePitch="360" w:charSpace="0"/>
        </w:sectPr>
        <w:pStyle w:val="Normal"/>
        <w:tabs>
          <w:tab w:val="clear" w:pos="708"/>
          <w:tab w:val="left" w:pos="284" w:leader="none"/>
        </w:tabs>
        <w:rPr>
          <w:rFonts w:ascii="Times New Roman" w:hAnsi="Times New Roman" w:cs="Times New Roman"/>
          <w:b/>
          <w:sz w:val="24"/>
        </w:rPr>
      </w:pPr>
      <w:r>
        <w:rPr>
          <w:rFonts w:cs="Times New Roman" w:ascii="Times New Roman" w:hAnsi="Times New Roman"/>
          <w:b/>
          <w:sz w:val="24"/>
        </w:rPr>
        <mc:AlternateContent>
          <mc:Choice Requires="wps">
            <w:drawing>
              <wp:anchor behindDoc="0" distT="0" distB="3175" distL="0" distR="0" simplePos="0" locked="0" layoutInCell="1" allowOverlap="1" relativeHeight="38" wp14:anchorId="22C60215">
                <wp:simplePos x="0" y="0"/>
                <wp:positionH relativeFrom="column">
                  <wp:posOffset>-753745</wp:posOffset>
                </wp:positionH>
                <wp:positionV relativeFrom="paragraph">
                  <wp:posOffset>-668020</wp:posOffset>
                </wp:positionV>
                <wp:extent cx="3491865" cy="10189210"/>
                <wp:effectExtent l="0" t="0" r="0" b="3175"/>
                <wp:wrapNone/>
                <wp:docPr id="6" name="Caixa de Texto 8"/>
                <a:graphic xmlns:a="http://schemas.openxmlformats.org/drawingml/2006/main">
                  <a:graphicData uri="http://schemas.microsoft.com/office/word/2010/wordprocessingShape">
                    <wps:wsp>
                      <wps:cNvSpPr/>
                      <wps:spPr>
                        <a:xfrm>
                          <a:off x="0" y="0"/>
                          <a:ext cx="3492000" cy="10189080"/>
                        </a:xfrm>
                        <a:prstGeom prst="rect">
                          <a:avLst/>
                        </a:prstGeom>
                        <a:solidFill>
                          <a:schemeClr val="accent3">
                            <a:lumMod val="20000"/>
                            <a:lumOff val="80000"/>
                            <a:alpha val="60000"/>
                          </a:schemeClr>
                        </a:solidFill>
                        <a:ln w="3175">
                          <a:noFill/>
                        </a:ln>
                      </wps:spPr>
                      <wps:style>
                        <a:lnRef idx="0"/>
                        <a:fillRef idx="0"/>
                        <a:effectRef idx="0"/>
                        <a:fontRef idx="minor"/>
                      </wps:style>
                      <wps:txbx>
                        <w:txbxContent>
                          <w:p>
                            <w:pPr>
                              <w:pStyle w:val="Contedodoquadro"/>
                              <w:spacing w:lineRule="auto" w:line="240" w:before="0" w:after="0"/>
                              <w:rPr>
                                <w:rFonts w:cs="Calibri" w:cstheme="minorHAnsi"/>
                                <w:b/>
                                <w:sz w:val="19"/>
                                <w:szCs w:val="19"/>
                              </w:rPr>
                            </w:pPr>
                            <w:r>
                              <w:rPr>
                                <w:rFonts w:cs="Calibri" w:cstheme="minorHAnsi"/>
                                <w:b/>
                                <w:sz w:val="19"/>
                                <w:szCs w:val="19"/>
                              </w:rPr>
                              <w:t>Governador do Estado do Ceará</w:t>
                            </w:r>
                          </w:p>
                          <w:p>
                            <w:pPr>
                              <w:pStyle w:val="Contedodoquadro"/>
                              <w:spacing w:lineRule="auto" w:line="240" w:before="0" w:after="120"/>
                              <w:rPr>
                                <w:rFonts w:cs="Calibri" w:cstheme="minorHAnsi"/>
                                <w:sz w:val="19"/>
                                <w:szCs w:val="19"/>
                              </w:rPr>
                            </w:pPr>
                            <w:r>
                              <w:rPr>
                                <w:rFonts w:cs="Calibri" w:cstheme="minorHAnsi"/>
                                <w:sz w:val="19"/>
                                <w:szCs w:val="19"/>
                              </w:rPr>
                              <w:t>Elmano de Freitas da Costa</w:t>
                            </w:r>
                          </w:p>
                          <w:p>
                            <w:pPr>
                              <w:pStyle w:val="Contedodoquadro"/>
                              <w:spacing w:lineRule="auto" w:line="240" w:before="0" w:after="0"/>
                              <w:rPr>
                                <w:rFonts w:cs="Calibri" w:cstheme="minorHAnsi"/>
                                <w:b/>
                                <w:sz w:val="19"/>
                                <w:szCs w:val="19"/>
                              </w:rPr>
                            </w:pPr>
                            <w:r>
                              <w:rPr>
                                <w:rFonts w:cs="Calibri" w:cstheme="minorHAnsi"/>
                                <w:b/>
                                <w:sz w:val="19"/>
                                <w:szCs w:val="19"/>
                              </w:rPr>
                              <w:t>Vice-Governadora do Estado do Ceará</w:t>
                            </w:r>
                          </w:p>
                          <w:p>
                            <w:pPr>
                              <w:pStyle w:val="Contedodoquadro"/>
                              <w:spacing w:lineRule="auto" w:line="240" w:before="0" w:after="120"/>
                              <w:rPr>
                                <w:rFonts w:cs="Calibri" w:cstheme="minorHAnsi"/>
                                <w:sz w:val="19"/>
                                <w:szCs w:val="19"/>
                              </w:rPr>
                            </w:pPr>
                            <w:r>
                              <w:rPr>
                                <w:rFonts w:cs="Calibri" w:cstheme="minorHAnsi"/>
                                <w:sz w:val="19"/>
                                <w:szCs w:val="19"/>
                              </w:rPr>
                              <w:t>Jade Afonso Romero</w:t>
                            </w:r>
                          </w:p>
                          <w:p>
                            <w:pPr>
                              <w:pStyle w:val="Contedodoquadro"/>
                              <w:spacing w:lineRule="auto" w:line="240" w:before="0" w:after="0"/>
                              <w:rPr>
                                <w:rFonts w:cs="Calibri" w:cstheme="minorHAnsi"/>
                                <w:b/>
                                <w:sz w:val="19"/>
                                <w:szCs w:val="19"/>
                              </w:rPr>
                            </w:pPr>
                            <w:r>
                              <w:rPr>
                                <w:rFonts w:cs="Calibri" w:cstheme="minorHAnsi"/>
                                <w:b/>
                                <w:sz w:val="19"/>
                                <w:szCs w:val="19"/>
                              </w:rPr>
                              <w:t>Secretaria do Planejamento e Gestão – SEPLAG</w:t>
                            </w:r>
                          </w:p>
                          <w:p>
                            <w:pPr>
                              <w:pStyle w:val="Contedodoquadro"/>
                              <w:spacing w:lineRule="auto" w:line="240" w:before="0" w:after="0"/>
                              <w:rPr>
                                <w:rFonts w:ascii="Calibri" w:hAnsi="Calibri" w:eastAsia="Calibri" w:cs="Calibri"/>
                                <w:sz w:val="19"/>
                                <w:szCs w:val="19"/>
                              </w:rPr>
                            </w:pPr>
                            <w:r>
                              <w:rPr>
                                <w:rFonts w:eastAsia="Calibri" w:cs="Calibri" w:ascii="Calibri" w:hAnsi="Calibri"/>
                                <w:sz w:val="19"/>
                                <w:szCs w:val="19"/>
                              </w:rPr>
                              <w:t>Alexandre Sobreira Cialdini – Secretário</w:t>
                            </w:r>
                          </w:p>
                          <w:p>
                            <w:pPr>
                              <w:pStyle w:val="Contedodoquadro"/>
                              <w:spacing w:lineRule="auto" w:line="240" w:before="0" w:after="0"/>
                              <w:rPr>
                                <w:rFonts w:ascii="Calibri" w:hAnsi="Calibri" w:eastAsia="Calibri" w:cs="Calibri"/>
                                <w:sz w:val="19"/>
                                <w:szCs w:val="19"/>
                              </w:rPr>
                            </w:pPr>
                            <w:r>
                              <w:rPr>
                                <w:rFonts w:eastAsia="Calibri" w:cs="Calibri" w:ascii="Calibri" w:hAnsi="Calibri"/>
                                <w:sz w:val="19"/>
                                <w:szCs w:val="19"/>
                              </w:rPr>
                              <w:t>Caio Hugo Carvalho Vitor - Secretário Executivo de Gestão de Compras e Patrimônio</w:t>
                            </w:r>
                          </w:p>
                          <w:p>
                            <w:pPr>
                              <w:pStyle w:val="Contedodoquadro"/>
                              <w:spacing w:lineRule="auto" w:line="240" w:before="0" w:after="0"/>
                              <w:rPr>
                                <w:rFonts w:ascii="Calibri" w:hAnsi="Calibri" w:eastAsia="Calibri" w:cs="Calibri"/>
                                <w:sz w:val="19"/>
                                <w:szCs w:val="19"/>
                              </w:rPr>
                            </w:pPr>
                            <w:r>
                              <w:rPr>
                                <w:rFonts w:eastAsia="Calibri" w:cs="Calibri" w:ascii="Calibri" w:hAnsi="Calibri"/>
                                <w:sz w:val="19"/>
                                <w:szCs w:val="19"/>
                              </w:rPr>
                              <w:t>José Garrido Braga Neto - Secretário Executivo de Gestão de Pessoas</w:t>
                            </w:r>
                          </w:p>
                          <w:p>
                            <w:pPr>
                              <w:pStyle w:val="Contedodoquadro"/>
                              <w:spacing w:lineRule="auto" w:line="240" w:before="0" w:after="0"/>
                              <w:rPr>
                                <w:rFonts w:ascii="Calibri" w:hAnsi="Calibri" w:eastAsia="Calibri" w:cs="Calibri"/>
                                <w:sz w:val="19"/>
                                <w:szCs w:val="19"/>
                              </w:rPr>
                            </w:pPr>
                            <w:r>
                              <w:rPr>
                                <w:rFonts w:eastAsia="Calibri" w:cs="Calibri" w:ascii="Calibri" w:hAnsi="Calibri"/>
                                <w:sz w:val="19"/>
                                <w:szCs w:val="19"/>
                              </w:rPr>
                              <w:t>Naiana Corrêa Lima Peixoto - Secretária Executiva de Planejamento e Orçamento</w:t>
                            </w:r>
                          </w:p>
                          <w:p>
                            <w:pPr>
                              <w:pStyle w:val="Contedodoquadro"/>
                              <w:spacing w:lineRule="auto" w:line="240" w:before="0" w:after="0"/>
                              <w:rPr>
                                <w:rFonts w:ascii="Calibri" w:hAnsi="Calibri" w:eastAsia="Calibri" w:cs="Calibri"/>
                                <w:sz w:val="19"/>
                                <w:szCs w:val="19"/>
                              </w:rPr>
                            </w:pPr>
                            <w:r>
                              <w:rPr>
                                <w:rFonts w:eastAsia="Calibri" w:cs="Calibri" w:ascii="Calibri" w:hAnsi="Calibri"/>
                                <w:sz w:val="19"/>
                                <w:szCs w:val="19"/>
                              </w:rPr>
                              <w:t>Daniel de Carvalho Bentes - Secretário Executivo de Modernização e Governo Digital</w:t>
                            </w:r>
                          </w:p>
                          <w:p>
                            <w:pPr>
                              <w:pStyle w:val="Contedodoquadro"/>
                              <w:spacing w:lineRule="auto" w:line="240" w:before="0" w:after="120"/>
                              <w:rPr>
                                <w:rFonts w:cs="Calibri" w:cstheme="minorHAnsi"/>
                                <w:b/>
                                <w:sz w:val="19"/>
                                <w:szCs w:val="19"/>
                              </w:rPr>
                            </w:pPr>
                            <w:r>
                              <w:rPr>
                                <w:rFonts w:eastAsia="Calibri" w:cs="Calibri" w:ascii="Calibri" w:hAnsi="Calibri"/>
                                <w:sz w:val="19"/>
                                <w:szCs w:val="19"/>
                              </w:rPr>
                              <w:t>Francisca Rejane Araujo Felipe Pessoa de Albuquerque - Secretária executiva de Planejamento e Gestão Interna</w:t>
                            </w:r>
                          </w:p>
                          <w:p>
                            <w:pPr>
                              <w:pStyle w:val="Contedodoquadro"/>
                              <w:spacing w:lineRule="auto" w:line="240" w:before="0" w:after="0"/>
                              <w:rPr>
                                <w:rFonts w:cs="Calibri" w:cstheme="minorHAnsi"/>
                                <w:b/>
                                <w:sz w:val="19"/>
                                <w:szCs w:val="19"/>
                              </w:rPr>
                            </w:pPr>
                            <w:r>
                              <w:rPr>
                                <w:rFonts w:cs="Calibri" w:cstheme="minorHAnsi"/>
                                <w:b/>
                                <w:sz w:val="19"/>
                                <w:szCs w:val="19"/>
                              </w:rPr>
                              <w:t>Instituto de Pesquisa e Estratégia Econômica do Ceará – IPECE</w:t>
                            </w:r>
                          </w:p>
                          <w:p>
                            <w:pPr>
                              <w:pStyle w:val="Contedodoquadro"/>
                              <w:spacing w:lineRule="auto" w:line="240" w:before="0" w:after="0"/>
                              <w:rPr>
                                <w:rFonts w:cs="Calibri" w:cstheme="minorHAnsi"/>
                                <w:sz w:val="19"/>
                                <w:szCs w:val="19"/>
                              </w:rPr>
                            </w:pPr>
                            <w:r>
                              <w:rPr>
                                <w:rFonts w:cs="Calibri" w:cstheme="minorHAnsi"/>
                                <w:b/>
                                <w:sz w:val="19"/>
                                <w:szCs w:val="19"/>
                              </w:rPr>
                              <w:t>Diretor Geral</w:t>
                            </w:r>
                          </w:p>
                          <w:p>
                            <w:pPr>
                              <w:pStyle w:val="Contedodoquadro"/>
                              <w:spacing w:lineRule="auto" w:line="240" w:before="0" w:after="120"/>
                              <w:rPr>
                                <w:rFonts w:cs="Calibri" w:cstheme="minorHAnsi"/>
                                <w:sz w:val="19"/>
                                <w:szCs w:val="19"/>
                              </w:rPr>
                            </w:pPr>
                            <w:r>
                              <w:rPr>
                                <w:rFonts w:cs="Calibri" w:cstheme="minorHAnsi"/>
                                <w:sz w:val="19"/>
                                <w:szCs w:val="19"/>
                              </w:rPr>
                              <w:t>Alfredo José Pessoa de Oliveira</w:t>
                            </w:r>
                          </w:p>
                          <w:p>
                            <w:pPr>
                              <w:pStyle w:val="Contedodoquadro"/>
                              <w:spacing w:lineRule="auto" w:line="240" w:before="0" w:after="0"/>
                              <w:rPr>
                                <w:rFonts w:cs="Calibri" w:cstheme="minorHAnsi"/>
                                <w:b/>
                                <w:sz w:val="19"/>
                                <w:szCs w:val="19"/>
                              </w:rPr>
                            </w:pPr>
                            <w:r>
                              <w:rPr>
                                <w:rFonts w:cs="Calibri" w:cstheme="minorHAnsi"/>
                                <w:b/>
                                <w:sz w:val="19"/>
                                <w:szCs w:val="19"/>
                              </w:rPr>
                              <w:t>Diretoria de Estudos Econômicos – DIEC</w:t>
                            </w:r>
                          </w:p>
                          <w:p>
                            <w:pPr>
                              <w:pStyle w:val="Contedodoquadro"/>
                              <w:spacing w:lineRule="auto" w:line="240" w:before="0" w:after="120"/>
                              <w:rPr>
                                <w:rFonts w:cs="Calibri" w:cstheme="minorHAnsi"/>
                                <w:sz w:val="19"/>
                                <w:szCs w:val="19"/>
                              </w:rPr>
                            </w:pPr>
                            <w:r>
                              <w:rPr>
                                <w:rFonts w:cs="Calibri" w:cstheme="minorHAnsi"/>
                                <w:sz w:val="19"/>
                                <w:szCs w:val="19"/>
                              </w:rPr>
                              <w:t>Ricardo Antônio de Castro Pereira</w:t>
                            </w:r>
                          </w:p>
                          <w:p>
                            <w:pPr>
                              <w:pStyle w:val="Contedodoquadro"/>
                              <w:spacing w:lineRule="auto" w:line="240" w:before="0" w:after="0"/>
                              <w:rPr>
                                <w:rFonts w:cs="Calibri" w:cstheme="minorHAnsi"/>
                                <w:b/>
                                <w:sz w:val="19"/>
                                <w:szCs w:val="19"/>
                              </w:rPr>
                            </w:pPr>
                            <w:r>
                              <w:rPr>
                                <w:rFonts w:cs="Calibri" w:cstheme="minorHAnsi"/>
                                <w:b/>
                                <w:sz w:val="19"/>
                                <w:szCs w:val="19"/>
                              </w:rPr>
                              <w:t>Diretoria de Estudos Sociais – DISOC</w:t>
                            </w:r>
                          </w:p>
                          <w:p>
                            <w:pPr>
                              <w:pStyle w:val="Contedodoquadro"/>
                              <w:spacing w:lineRule="auto" w:line="240" w:before="0" w:after="120"/>
                              <w:rPr>
                                <w:rFonts w:cs="Calibri" w:cstheme="minorHAnsi"/>
                                <w:sz w:val="19"/>
                                <w:szCs w:val="19"/>
                              </w:rPr>
                            </w:pPr>
                            <w:r>
                              <w:rPr>
                                <w:rFonts w:cs="Calibri" w:cstheme="minorHAnsi"/>
                                <w:sz w:val="19"/>
                                <w:szCs w:val="19"/>
                              </w:rPr>
                              <w:t>José Meneleu Neto</w:t>
                            </w:r>
                          </w:p>
                          <w:p>
                            <w:pPr>
                              <w:pStyle w:val="Contedodoquadro"/>
                              <w:spacing w:lineRule="auto" w:line="240" w:before="0" w:after="0"/>
                              <w:rPr>
                                <w:rFonts w:cs="Calibri" w:cstheme="minorHAnsi"/>
                                <w:b/>
                                <w:sz w:val="19"/>
                                <w:szCs w:val="19"/>
                              </w:rPr>
                            </w:pPr>
                            <w:r>
                              <w:rPr>
                                <w:rFonts w:cs="Calibri" w:cstheme="minorHAnsi"/>
                                <w:b/>
                                <w:sz w:val="19"/>
                                <w:szCs w:val="19"/>
                              </w:rPr>
                              <w:t>Diretoria de Estudos de Gestão Pública – DIGEP</w:t>
                            </w:r>
                          </w:p>
                          <w:p>
                            <w:pPr>
                              <w:pStyle w:val="Contedodoquadro"/>
                              <w:spacing w:lineRule="auto" w:line="240" w:before="0" w:after="120"/>
                              <w:rPr>
                                <w:rFonts w:cs="Calibri" w:cstheme="minorHAnsi"/>
                                <w:bCs/>
                                <w:sz w:val="19"/>
                                <w:szCs w:val="19"/>
                              </w:rPr>
                            </w:pPr>
                            <w:r>
                              <w:rPr>
                                <w:rFonts w:cs="Calibri" w:cstheme="minorHAnsi"/>
                                <w:bCs/>
                                <w:sz w:val="19"/>
                                <w:szCs w:val="19"/>
                              </w:rPr>
                              <w:t>José Fábio Bezerra Montenegro</w:t>
                            </w:r>
                          </w:p>
                          <w:p>
                            <w:pPr>
                              <w:pStyle w:val="Contedodoquadro"/>
                              <w:spacing w:lineRule="auto" w:line="240" w:before="0" w:after="0"/>
                              <w:rPr>
                                <w:rFonts w:cs="Calibri" w:cstheme="minorHAnsi"/>
                                <w:b/>
                                <w:sz w:val="19"/>
                                <w:szCs w:val="19"/>
                              </w:rPr>
                            </w:pPr>
                            <w:r>
                              <w:rPr>
                                <w:rFonts w:cs="Calibri" w:cstheme="minorHAnsi"/>
                                <w:b/>
                                <w:sz w:val="19"/>
                                <w:szCs w:val="19"/>
                              </w:rPr>
                              <w:t xml:space="preserve">Gerência de Estatística, Geografia e </w:t>
                            </w:r>
                            <w:r>
                              <w:rPr>
                                <w:rFonts w:eastAsia="Calibri" w:cs="Calibri" w:ascii="Calibri" w:hAnsi="Calibri"/>
                                <w:b/>
                                <w:sz w:val="19"/>
                                <w:szCs w:val="19"/>
                              </w:rPr>
                              <w:t xml:space="preserve">Informações </w:t>
                            </w:r>
                            <w:r>
                              <w:rPr>
                                <w:rFonts w:cs="Calibri" w:cstheme="minorHAnsi"/>
                                <w:b/>
                                <w:sz w:val="19"/>
                                <w:szCs w:val="19"/>
                              </w:rPr>
                              <w:t>– GEGIN</w:t>
                            </w:r>
                          </w:p>
                          <w:p>
                            <w:pPr>
                              <w:pStyle w:val="Contedodoquadro"/>
                              <w:spacing w:lineRule="auto" w:line="240" w:before="0" w:after="0"/>
                              <w:rPr>
                                <w:rFonts w:eastAsia="Calibri" w:cs="Calibri" w:cstheme="minorHAnsi"/>
                                <w:bCs/>
                                <w:sz w:val="19"/>
                                <w:szCs w:val="19"/>
                              </w:rPr>
                            </w:pPr>
                            <w:r>
                              <w:rPr>
                                <w:rFonts w:eastAsia="Calibri" w:cs="Calibri" w:cstheme="minorHAnsi"/>
                                <w:bCs/>
                                <w:sz w:val="19"/>
                                <w:szCs w:val="19"/>
                              </w:rPr>
                              <w:t>Rafaela Martins Leite Monteiro</w:t>
                            </w:r>
                          </w:p>
                          <w:p>
                            <w:pPr>
                              <w:pStyle w:val="Contedodoquadro"/>
                              <w:spacing w:lineRule="auto" w:line="240" w:before="0" w:after="0"/>
                              <w:ind w:left="-142" w:right="-181"/>
                              <w:rPr>
                                <w:rFonts w:cs="Calibri" w:cstheme="minorHAnsi"/>
                                <w:sz w:val="19"/>
                                <w:szCs w:val="19"/>
                              </w:rPr>
                            </w:pPr>
                            <w:r>
                              <w:rPr>
                                <w:rFonts w:cs="Calibri" w:cstheme="minorHAnsi"/>
                                <w:sz w:val="19"/>
                                <w:szCs w:val="19"/>
                              </w:rPr>
                              <w:t>__________________________________________________________</w:t>
                            </w:r>
                          </w:p>
                          <w:p>
                            <w:pPr>
                              <w:pStyle w:val="Contedodoquadro"/>
                              <w:spacing w:lineRule="auto" w:line="240" w:before="0" w:after="120"/>
                              <w:rPr>
                                <w:rFonts w:cs="Calibri" w:cstheme="minorHAnsi"/>
                                <w:b/>
                                <w:sz w:val="19"/>
                                <w:szCs w:val="19"/>
                              </w:rPr>
                            </w:pPr>
                            <w:r>
                              <w:rPr>
                                <w:rFonts w:eastAsia="Calibri" w:cs="Calibri" w:cstheme="minorHAnsi"/>
                                <w:b/>
                                <w:sz w:val="19"/>
                                <w:szCs w:val="19"/>
                              </w:rPr>
                              <w:t>IPECE Informe – Nº 000 – Janeiro/2026</w:t>
                            </w:r>
                          </w:p>
                          <w:p>
                            <w:pPr>
                              <w:pStyle w:val="Contedodoquadro"/>
                              <w:spacing w:lineRule="auto" w:line="240" w:before="0" w:after="0"/>
                              <w:rPr>
                                <w:rFonts w:eastAsia="Calibri" w:cs="Calibri" w:cstheme="minorHAnsi"/>
                                <w:b/>
                                <w:bCs/>
                                <w:sz w:val="19"/>
                                <w:szCs w:val="19"/>
                              </w:rPr>
                            </w:pPr>
                            <w:r>
                              <w:rPr>
                                <w:rFonts w:eastAsia="Calibri" w:cs="Calibri" w:cstheme="minorHAnsi"/>
                                <w:b/>
                                <w:bCs/>
                                <w:sz w:val="19"/>
                                <w:szCs w:val="19"/>
                              </w:rPr>
                              <w:t xml:space="preserve">DIRETORIA RESPONSÁVEL: </w:t>
                            </w:r>
                          </w:p>
                          <w:p>
                            <w:pPr>
                              <w:pStyle w:val="Contedodoquadro"/>
                              <w:spacing w:lineRule="auto" w:line="240" w:before="0" w:after="120"/>
                              <w:rPr>
                                <w:rFonts w:eastAsia="Calibri" w:cs="Calibri" w:cstheme="minorHAnsi"/>
                                <w:bCs/>
                                <w:sz w:val="19"/>
                                <w:szCs w:val="19"/>
                              </w:rPr>
                            </w:pPr>
                            <w:r>
                              <w:rPr>
                                <w:rFonts w:eastAsia="Calibri" w:cs="Calibri" w:cstheme="minorHAnsi"/>
                                <w:bCs/>
                                <w:sz w:val="19"/>
                                <w:szCs w:val="19"/>
                              </w:rPr>
                              <w:t xml:space="preserve">Diretoria de Estudos </w:t>
                            </w:r>
                            <w:r>
                              <w:rPr>
                                <w:rFonts w:eastAsia="Calibri" w:cs="Calibri" w:cstheme="minorHAnsi"/>
                                <w:bCs/>
                                <w:sz w:val="19"/>
                                <w:szCs w:val="19"/>
                              </w:rPr>
                              <w:t>Sociais</w:t>
                            </w:r>
                            <w:r>
                              <w:rPr>
                                <w:rFonts w:eastAsia="Calibri" w:cs="Calibri" w:cstheme="minorHAnsi"/>
                                <w:bCs/>
                                <w:sz w:val="19"/>
                                <w:szCs w:val="19"/>
                              </w:rPr>
                              <w:t xml:space="preserve"> – </w:t>
                            </w:r>
                            <w:r>
                              <w:rPr>
                                <w:rFonts w:eastAsia="Calibri" w:cs="Calibri" w:cstheme="minorHAnsi"/>
                                <w:bCs/>
                                <w:sz w:val="19"/>
                                <w:szCs w:val="19"/>
                              </w:rPr>
                              <w:t>DISOC</w:t>
                            </w:r>
                          </w:p>
                          <w:p>
                            <w:pPr>
                              <w:pStyle w:val="Contedodoquadro"/>
                              <w:spacing w:lineRule="auto" w:line="240" w:before="0" w:after="60"/>
                              <w:rPr>
                                <w:rFonts w:cs="Calibri" w:cstheme="minorHAnsi"/>
                                <w:b/>
                                <w:sz w:val="19"/>
                                <w:szCs w:val="19"/>
                              </w:rPr>
                            </w:pPr>
                            <w:r>
                              <w:rPr>
                                <w:rFonts w:cs="Calibri" w:cstheme="minorHAnsi"/>
                                <w:b/>
                                <w:sz w:val="19"/>
                                <w:szCs w:val="19"/>
                              </w:rPr>
                              <w:t xml:space="preserve">Elaboração: </w:t>
                            </w:r>
                          </w:p>
                          <w:p>
                            <w:pPr>
                              <w:pStyle w:val="Contedodoquadro"/>
                              <w:spacing w:lineRule="auto" w:line="240" w:before="0" w:after="0"/>
                              <w:ind w:left="142"/>
                              <w:rPr>
                                <w:rFonts w:eastAsia="Calibri" w:cs="Calibri" w:cstheme="minorHAnsi"/>
                                <w:sz w:val="19"/>
                                <w:szCs w:val="19"/>
                              </w:rPr>
                            </w:pPr>
                            <w:r>
                              <w:rPr>
                                <w:rFonts w:eastAsia="Calibri" w:cs="Calibri" w:cstheme="minorHAnsi"/>
                                <w:sz w:val="19"/>
                                <w:szCs w:val="19"/>
                              </w:rPr>
                              <w:t>Jimmy Lima de Oliveira</w:t>
                            </w:r>
                            <w:r>
                              <w:rPr>
                                <w:rFonts w:eastAsia="Calibri" w:cs="Calibri" w:cstheme="minorHAnsi"/>
                                <w:sz w:val="19"/>
                                <w:szCs w:val="19"/>
                              </w:rPr>
                              <w:t xml:space="preserve"> (Analista de Políticas Públicas)</w:t>
                            </w:r>
                          </w:p>
                          <w:p>
                            <w:pPr>
                              <w:pStyle w:val="Contedodoquadro"/>
                              <w:spacing w:lineRule="auto" w:line="240" w:before="0" w:after="0"/>
                              <w:ind w:left="142"/>
                              <w:rPr>
                                <w:rFonts w:eastAsia="Calibri" w:cs="Calibri" w:cstheme="minorHAnsi"/>
                                <w:sz w:val="19"/>
                                <w:szCs w:val="19"/>
                              </w:rPr>
                            </w:pPr>
                            <w:r>
                              <w:rPr>
                                <w:rFonts w:eastAsia="Calibri" w:cs="Calibri" w:cstheme="minorHAnsi"/>
                                <w:sz w:val="19"/>
                                <w:szCs w:val="19"/>
                              </w:rPr>
                              <w:t>João Victor Batista Lopes (Assesor técnico)</w:t>
                            </w:r>
                          </w:p>
                          <w:p>
                            <w:pPr>
                              <w:pStyle w:val="Contedodoquadro"/>
                              <w:spacing w:lineRule="auto" w:line="240" w:before="0" w:after="0"/>
                              <w:ind w:left="142"/>
                              <w:rPr>
                                <w:rFonts w:eastAsia="Calibri" w:cs="Calibri" w:cstheme="minorHAnsi"/>
                                <w:sz w:val="19"/>
                                <w:szCs w:val="19"/>
                              </w:rPr>
                            </w:pPr>
                            <w:r>
                              <w:rPr/>
                            </w:r>
                          </w:p>
                          <w:p>
                            <w:pPr>
                              <w:pStyle w:val="Contedodoquadro"/>
                              <w:spacing w:lineRule="auto" w:line="240" w:before="0" w:after="0"/>
                              <w:ind w:left="-142" w:right="-181"/>
                              <w:rPr>
                                <w:rFonts w:cs="Calibri" w:cstheme="minorHAnsi"/>
                                <w:sz w:val="19"/>
                                <w:szCs w:val="19"/>
                              </w:rPr>
                            </w:pPr>
                            <w:r>
                              <w:rPr>
                                <w:rFonts w:cs="Calibri" w:cstheme="minorHAnsi"/>
                                <w:sz w:val="19"/>
                                <w:szCs w:val="19"/>
                              </w:rPr>
                              <w:t>__________________________________________________________</w:t>
                            </w:r>
                          </w:p>
                          <w:p>
                            <w:pPr>
                              <w:pStyle w:val="Contedodoquadro"/>
                              <w:spacing w:lineRule="auto" w:line="240" w:before="120" w:after="120"/>
                              <w:jc w:val="both"/>
                              <w:rPr>
                                <w:rFonts w:cs="Calibri" w:cstheme="minorHAnsi"/>
                                <w:sz w:val="16"/>
                                <w:szCs w:val="16"/>
                              </w:rPr>
                            </w:pPr>
                            <w:r>
                              <w:rPr>
                                <w:rFonts w:cs="Calibri" w:cstheme="minorHAnsi"/>
                                <w:sz w:val="16"/>
                                <w:szCs w:val="16"/>
                              </w:rPr>
                              <w:t xml:space="preserve">O </w:t>
                            </w:r>
                            <w:r>
                              <w:rPr>
                                <w:rFonts w:cs="Calibri" w:cstheme="minorHAnsi"/>
                                <w:b/>
                                <w:sz w:val="16"/>
                                <w:szCs w:val="16"/>
                              </w:rPr>
                              <w:t>Instituto de Pesquisa e Estratégia Econômica do Ceará (IPECE)</w:t>
                            </w:r>
                            <w:r>
                              <w:rPr>
                                <w:rFonts w:cs="Calibri" w:cstheme="minorHAnsi"/>
                                <w:sz w:val="16"/>
                                <w:szCs w:val="16"/>
                              </w:rPr>
                              <w:t xml:space="preserve"> é uma autarquia vinculada à Secretaria do Planejamento e Gestão do Estado do Ceará. Fundado em 14 de abril de 2003, o IPECE é o órgão do Governo responsável pela geração de estudos, pesquisas e informações socioeconômicas e geográficas que permitem a avaliação de programas e a elaboração de estratégias e políticas públicas para o desenvolvimento do Estado do Ceará.</w:t>
                            </w:r>
                          </w:p>
                          <w:p>
                            <w:pPr>
                              <w:pStyle w:val="Contedodoquadro"/>
                              <w:spacing w:lineRule="auto" w:line="240" w:before="0" w:after="120"/>
                              <w:jc w:val="both"/>
                              <w:rPr>
                                <w:rFonts w:cs="Calibri" w:cstheme="minorHAnsi"/>
                                <w:sz w:val="16"/>
                                <w:szCs w:val="16"/>
                              </w:rPr>
                            </w:pPr>
                            <w:r>
                              <w:rPr>
                                <w:rFonts w:cs="Calibri" w:cstheme="minorHAnsi"/>
                                <w:b/>
                                <w:sz w:val="16"/>
                                <w:szCs w:val="16"/>
                              </w:rPr>
                              <w:t>Missão:</w:t>
                            </w:r>
                            <w:r>
                              <w:rPr>
                                <w:rFonts w:cs="Calibri" w:cstheme="minorHAnsi"/>
                                <w:sz w:val="16"/>
                                <w:szCs w:val="16"/>
                              </w:rPr>
                              <w:t xml:space="preserve"> Gerar e disseminar conhecimento e informações, subsidiar a formulação e avaliação de políticas públicas e assessorar o Governo nas decisões estratégicas, contribuindo para o desenvolvimento sustentável do Ceará.</w:t>
                            </w:r>
                          </w:p>
                          <w:p>
                            <w:pPr>
                              <w:pStyle w:val="Contedodoquadro"/>
                              <w:spacing w:lineRule="auto" w:line="240" w:before="0" w:after="120"/>
                              <w:jc w:val="both"/>
                              <w:rPr>
                                <w:rFonts w:cs="Calibri" w:cstheme="minorHAnsi"/>
                                <w:sz w:val="16"/>
                                <w:szCs w:val="16"/>
                              </w:rPr>
                            </w:pPr>
                            <w:r>
                              <w:rPr>
                                <w:rFonts w:cs="Calibri" w:cstheme="minorHAnsi"/>
                                <w:b/>
                                <w:sz w:val="16"/>
                                <w:szCs w:val="16"/>
                              </w:rPr>
                              <w:t>Valores:</w:t>
                            </w:r>
                            <w:r>
                              <w:rPr>
                                <w:rFonts w:cs="Calibri" w:cstheme="minorHAnsi"/>
                                <w:sz w:val="16"/>
                                <w:szCs w:val="16"/>
                              </w:rPr>
                              <w:t xml:space="preserve"> </w:t>
                            </w:r>
                            <w:r>
                              <w:rPr>
                                <w:rFonts w:eastAsia="Calibri" w:cs="Calibri" w:ascii="Calibri" w:hAnsi="Calibri"/>
                                <w:sz w:val="16"/>
                                <w:szCs w:val="16"/>
                              </w:rPr>
                              <w:t>Ética, transparência e impessoalidade; Competência, comprometimento e senso de equipe; Compromisso com a sociedade e valorização do ser humano; Autonomia Técnica; Rigor científico e inovação.</w:t>
                            </w:r>
                          </w:p>
                          <w:p>
                            <w:pPr>
                              <w:pStyle w:val="Contedodoquadro"/>
                              <w:spacing w:lineRule="auto" w:line="240" w:before="0" w:after="0"/>
                              <w:jc w:val="both"/>
                              <w:rPr>
                                <w:rFonts w:cs="Calibri" w:cstheme="minorHAnsi"/>
                                <w:sz w:val="16"/>
                                <w:szCs w:val="16"/>
                              </w:rPr>
                            </w:pPr>
                            <w:r>
                              <w:rPr>
                                <w:rFonts w:cs="Calibri" w:cstheme="minorHAnsi"/>
                                <w:b/>
                                <w:sz w:val="16"/>
                                <w:szCs w:val="16"/>
                              </w:rPr>
                              <w:t>Visão:</w:t>
                            </w:r>
                            <w:r>
                              <w:rPr>
                                <w:rFonts w:cs="Calibri" w:cstheme="minorHAnsi"/>
                                <w:sz w:val="16"/>
                                <w:szCs w:val="16"/>
                              </w:rPr>
                              <w:t xml:space="preserve"> Até 2031, consolidar-se como referência em inteligência pública e assessoramento estratégico ao Governo do Ceará, ampliando sua capácidade de produzir e disseminar conhecimento qualificado, inovador e orientado às políticas públicas efetivas e sustentáveis.</w:t>
                            </w:r>
                          </w:p>
                          <w:p>
                            <w:pPr>
                              <w:pStyle w:val="Contedodoquadro"/>
                              <w:spacing w:lineRule="auto" w:line="240" w:before="0" w:after="0"/>
                              <w:jc w:val="both"/>
                              <w:rPr>
                                <w:rFonts w:cs="Calibri" w:cstheme="minorHAnsi"/>
                                <w:sz w:val="16"/>
                                <w:szCs w:val="16"/>
                              </w:rPr>
                            </w:pPr>
                            <w:r>
                              <w:rPr>
                                <w:rFonts w:cs="Calibri" w:cstheme="minorHAnsi"/>
                                <w:sz w:val="16"/>
                                <w:szCs w:val="16"/>
                              </w:rPr>
                            </w:r>
                          </w:p>
                          <w:p>
                            <w:pPr>
                              <w:pStyle w:val="Contedodoquadro"/>
                              <w:spacing w:lineRule="auto" w:line="240" w:before="0" w:after="0"/>
                              <w:jc w:val="center"/>
                              <w:rPr>
                                <w:rFonts w:cs="Calibri" w:cstheme="minorHAnsi"/>
                                <w:sz w:val="16"/>
                                <w:szCs w:val="16"/>
                              </w:rPr>
                            </w:pPr>
                            <w:r>
                              <w:rPr>
                                <w:rFonts w:cs="Calibri" w:cstheme="minorHAnsi"/>
                                <w:sz w:val="16"/>
                                <w:szCs w:val="16"/>
                              </w:rPr>
                              <w:t xml:space="preserve">Instituto de Pesquisa e Estratégia Econômica do Ceará (IPECE) </w:t>
                            </w:r>
                          </w:p>
                          <w:p>
                            <w:pPr>
                              <w:pStyle w:val="Contedodoquadro"/>
                              <w:spacing w:lineRule="auto" w:line="240" w:before="0" w:after="0"/>
                              <w:jc w:val="center"/>
                              <w:rPr>
                                <w:rFonts w:cs="Calibri" w:cstheme="minorHAnsi"/>
                                <w:sz w:val="16"/>
                                <w:szCs w:val="16"/>
                              </w:rPr>
                            </w:pPr>
                            <w:r>
                              <w:rPr>
                                <w:rFonts w:cs="Calibri" w:cstheme="minorHAnsi"/>
                                <w:sz w:val="16"/>
                                <w:szCs w:val="16"/>
                              </w:rPr>
                              <w:t>Av. Gal. Afonso Albuquerque Lima, s/n | Edifício SEPLAG | Térreo Cambeba | Cep: 60.822-325 |</w:t>
                            </w:r>
                          </w:p>
                          <w:p>
                            <w:pPr>
                              <w:pStyle w:val="Contedodoquadro"/>
                              <w:spacing w:lineRule="auto" w:line="240" w:before="0" w:after="0"/>
                              <w:jc w:val="center"/>
                              <w:rPr>
                                <w:rFonts w:cs="Calibri" w:cstheme="minorHAnsi"/>
                                <w:sz w:val="16"/>
                                <w:szCs w:val="16"/>
                              </w:rPr>
                            </w:pPr>
                            <w:r>
                              <w:rPr>
                                <w:rFonts w:cs="Calibri" w:cstheme="minorHAnsi"/>
                                <w:sz w:val="16"/>
                                <w:szCs w:val="16"/>
                              </w:rPr>
                              <w:t>Fortaleza, Ceará, Brasil | Telefone: (85) 2018-2639</w:t>
                            </w:r>
                          </w:p>
                          <w:p>
                            <w:pPr>
                              <w:pStyle w:val="Contedodoquadro"/>
                              <w:spacing w:lineRule="auto" w:line="240" w:before="0" w:after="0"/>
                              <w:jc w:val="center"/>
                              <w:rPr>
                                <w:rFonts w:cs="Calibri" w:cstheme="minorHAnsi"/>
                                <w:sz w:val="18"/>
                                <w:szCs w:val="18"/>
                              </w:rPr>
                            </w:pPr>
                            <w:r>
                              <w:rPr>
                                <w:rFonts w:cs="Calibri" w:cstheme="minorHAnsi"/>
                                <w:sz w:val="16"/>
                                <w:szCs w:val="16"/>
                              </w:rPr>
                              <w:t>www.ipece.ce.gov.br</w:t>
                            </w:r>
                          </w:p>
                          <w:p>
                            <w:pPr>
                              <w:pStyle w:val="Contedodoquadro"/>
                              <w:spacing w:lineRule="auto" w:line="240" w:before="0" w:after="0"/>
                              <w:rPr>
                                <w:rFonts w:cs="Calibri" w:cstheme="minorHAnsi"/>
                                <w:sz w:val="16"/>
                                <w:szCs w:val="16"/>
                              </w:rPr>
                            </w:pPr>
                            <w:r>
                              <w:rPr/>
                            </w:r>
                          </w:p>
                        </w:txbxContent>
                      </wps:txbx>
                      <wps:bodyPr anchor="t">
                        <a:prstTxWarp prst="textNoShape"/>
                        <a:noAutofit/>
                      </wps:bodyPr>
                    </wps:wsp>
                  </a:graphicData>
                </a:graphic>
              </wp:anchor>
            </w:drawing>
          </mc:Choice>
          <mc:Fallback>
            <w:pict>
              <v:rect id="shape_0" ID="Caixa de Texto 8" path="m0,0l-2147483645,0l-2147483645,-2147483646l0,-2147483646xe" fillcolor="#ebf1de" stroked="f" o:allowincell="f" style="position:absolute;margin-left:-59.35pt;margin-top:-52.6pt;width:274.9pt;height:802.25pt;mso-wrap-style:square;v-text-anchor:top" wp14:anchorId="22C60215">
                <v:fill o:detectmouseclick="t" type="solid" color2="#140e21" opacity="0.59"/>
                <v:stroke color="#3465a4" weight="3240" joinstyle="round" endcap="flat"/>
                <v:textbox>
                  <w:txbxContent>
                    <w:p>
                      <w:pPr>
                        <w:pStyle w:val="Contedodoquadro"/>
                        <w:spacing w:lineRule="auto" w:line="240" w:before="0" w:after="0"/>
                        <w:rPr>
                          <w:rFonts w:cs="Calibri" w:cstheme="minorHAnsi"/>
                          <w:b/>
                          <w:sz w:val="19"/>
                          <w:szCs w:val="19"/>
                        </w:rPr>
                      </w:pPr>
                      <w:r>
                        <w:rPr>
                          <w:rFonts w:cs="Calibri" w:cstheme="minorHAnsi"/>
                          <w:b/>
                          <w:sz w:val="19"/>
                          <w:szCs w:val="19"/>
                        </w:rPr>
                        <w:t>Governador do Estado do Ceará</w:t>
                      </w:r>
                    </w:p>
                    <w:p>
                      <w:pPr>
                        <w:pStyle w:val="Contedodoquadro"/>
                        <w:spacing w:lineRule="auto" w:line="240" w:before="0" w:after="120"/>
                        <w:rPr>
                          <w:rFonts w:cs="Calibri" w:cstheme="minorHAnsi"/>
                          <w:sz w:val="19"/>
                          <w:szCs w:val="19"/>
                        </w:rPr>
                      </w:pPr>
                      <w:r>
                        <w:rPr>
                          <w:rFonts w:cs="Calibri" w:cstheme="minorHAnsi"/>
                          <w:sz w:val="19"/>
                          <w:szCs w:val="19"/>
                        </w:rPr>
                        <w:t>Elmano de Freitas da Costa</w:t>
                      </w:r>
                    </w:p>
                    <w:p>
                      <w:pPr>
                        <w:pStyle w:val="Contedodoquadro"/>
                        <w:spacing w:lineRule="auto" w:line="240" w:before="0" w:after="0"/>
                        <w:rPr>
                          <w:rFonts w:cs="Calibri" w:cstheme="minorHAnsi"/>
                          <w:b/>
                          <w:sz w:val="19"/>
                          <w:szCs w:val="19"/>
                        </w:rPr>
                      </w:pPr>
                      <w:r>
                        <w:rPr>
                          <w:rFonts w:cs="Calibri" w:cstheme="minorHAnsi"/>
                          <w:b/>
                          <w:sz w:val="19"/>
                          <w:szCs w:val="19"/>
                        </w:rPr>
                        <w:t>Vice-Governadora do Estado do Ceará</w:t>
                      </w:r>
                    </w:p>
                    <w:p>
                      <w:pPr>
                        <w:pStyle w:val="Contedodoquadro"/>
                        <w:spacing w:lineRule="auto" w:line="240" w:before="0" w:after="120"/>
                        <w:rPr>
                          <w:rFonts w:cs="Calibri" w:cstheme="minorHAnsi"/>
                          <w:sz w:val="19"/>
                          <w:szCs w:val="19"/>
                        </w:rPr>
                      </w:pPr>
                      <w:r>
                        <w:rPr>
                          <w:rFonts w:cs="Calibri" w:cstheme="minorHAnsi"/>
                          <w:sz w:val="19"/>
                          <w:szCs w:val="19"/>
                        </w:rPr>
                        <w:t>Jade Afonso Romero</w:t>
                      </w:r>
                    </w:p>
                    <w:p>
                      <w:pPr>
                        <w:pStyle w:val="Contedodoquadro"/>
                        <w:spacing w:lineRule="auto" w:line="240" w:before="0" w:after="0"/>
                        <w:rPr>
                          <w:rFonts w:cs="Calibri" w:cstheme="minorHAnsi"/>
                          <w:b/>
                          <w:sz w:val="19"/>
                          <w:szCs w:val="19"/>
                        </w:rPr>
                      </w:pPr>
                      <w:r>
                        <w:rPr>
                          <w:rFonts w:cs="Calibri" w:cstheme="minorHAnsi"/>
                          <w:b/>
                          <w:sz w:val="19"/>
                          <w:szCs w:val="19"/>
                        </w:rPr>
                        <w:t>Secretaria do Planejamento e Gestão – SEPLAG</w:t>
                      </w:r>
                    </w:p>
                    <w:p>
                      <w:pPr>
                        <w:pStyle w:val="Contedodoquadro"/>
                        <w:spacing w:lineRule="auto" w:line="240" w:before="0" w:after="0"/>
                        <w:rPr>
                          <w:rFonts w:ascii="Calibri" w:hAnsi="Calibri" w:eastAsia="Calibri" w:cs="Calibri"/>
                          <w:sz w:val="19"/>
                          <w:szCs w:val="19"/>
                        </w:rPr>
                      </w:pPr>
                      <w:r>
                        <w:rPr>
                          <w:rFonts w:eastAsia="Calibri" w:cs="Calibri" w:ascii="Calibri" w:hAnsi="Calibri"/>
                          <w:sz w:val="19"/>
                          <w:szCs w:val="19"/>
                        </w:rPr>
                        <w:t>Alexandre Sobreira Cialdini – Secretário</w:t>
                      </w:r>
                    </w:p>
                    <w:p>
                      <w:pPr>
                        <w:pStyle w:val="Contedodoquadro"/>
                        <w:spacing w:lineRule="auto" w:line="240" w:before="0" w:after="0"/>
                        <w:rPr>
                          <w:rFonts w:ascii="Calibri" w:hAnsi="Calibri" w:eastAsia="Calibri" w:cs="Calibri"/>
                          <w:sz w:val="19"/>
                          <w:szCs w:val="19"/>
                        </w:rPr>
                      </w:pPr>
                      <w:r>
                        <w:rPr>
                          <w:rFonts w:eastAsia="Calibri" w:cs="Calibri" w:ascii="Calibri" w:hAnsi="Calibri"/>
                          <w:sz w:val="19"/>
                          <w:szCs w:val="19"/>
                        </w:rPr>
                        <w:t>Caio Hugo Carvalho Vitor - Secretário Executivo de Gestão de Compras e Patrimônio</w:t>
                      </w:r>
                    </w:p>
                    <w:p>
                      <w:pPr>
                        <w:pStyle w:val="Contedodoquadro"/>
                        <w:spacing w:lineRule="auto" w:line="240" w:before="0" w:after="0"/>
                        <w:rPr>
                          <w:rFonts w:ascii="Calibri" w:hAnsi="Calibri" w:eastAsia="Calibri" w:cs="Calibri"/>
                          <w:sz w:val="19"/>
                          <w:szCs w:val="19"/>
                        </w:rPr>
                      </w:pPr>
                      <w:r>
                        <w:rPr>
                          <w:rFonts w:eastAsia="Calibri" w:cs="Calibri" w:ascii="Calibri" w:hAnsi="Calibri"/>
                          <w:sz w:val="19"/>
                          <w:szCs w:val="19"/>
                        </w:rPr>
                        <w:t>José Garrido Braga Neto - Secretário Executivo de Gestão de Pessoas</w:t>
                      </w:r>
                    </w:p>
                    <w:p>
                      <w:pPr>
                        <w:pStyle w:val="Contedodoquadro"/>
                        <w:spacing w:lineRule="auto" w:line="240" w:before="0" w:after="0"/>
                        <w:rPr>
                          <w:rFonts w:ascii="Calibri" w:hAnsi="Calibri" w:eastAsia="Calibri" w:cs="Calibri"/>
                          <w:sz w:val="19"/>
                          <w:szCs w:val="19"/>
                        </w:rPr>
                      </w:pPr>
                      <w:r>
                        <w:rPr>
                          <w:rFonts w:eastAsia="Calibri" w:cs="Calibri" w:ascii="Calibri" w:hAnsi="Calibri"/>
                          <w:sz w:val="19"/>
                          <w:szCs w:val="19"/>
                        </w:rPr>
                        <w:t>Naiana Corrêa Lima Peixoto - Secretária Executiva de Planejamento e Orçamento</w:t>
                      </w:r>
                    </w:p>
                    <w:p>
                      <w:pPr>
                        <w:pStyle w:val="Contedodoquadro"/>
                        <w:spacing w:lineRule="auto" w:line="240" w:before="0" w:after="0"/>
                        <w:rPr>
                          <w:rFonts w:ascii="Calibri" w:hAnsi="Calibri" w:eastAsia="Calibri" w:cs="Calibri"/>
                          <w:sz w:val="19"/>
                          <w:szCs w:val="19"/>
                        </w:rPr>
                      </w:pPr>
                      <w:r>
                        <w:rPr>
                          <w:rFonts w:eastAsia="Calibri" w:cs="Calibri" w:ascii="Calibri" w:hAnsi="Calibri"/>
                          <w:sz w:val="19"/>
                          <w:szCs w:val="19"/>
                        </w:rPr>
                        <w:t>Daniel de Carvalho Bentes - Secretário Executivo de Modernização e Governo Digital</w:t>
                      </w:r>
                    </w:p>
                    <w:p>
                      <w:pPr>
                        <w:pStyle w:val="Contedodoquadro"/>
                        <w:spacing w:lineRule="auto" w:line="240" w:before="0" w:after="120"/>
                        <w:rPr>
                          <w:rFonts w:cs="Calibri" w:cstheme="minorHAnsi"/>
                          <w:b/>
                          <w:sz w:val="19"/>
                          <w:szCs w:val="19"/>
                        </w:rPr>
                      </w:pPr>
                      <w:r>
                        <w:rPr>
                          <w:rFonts w:eastAsia="Calibri" w:cs="Calibri" w:ascii="Calibri" w:hAnsi="Calibri"/>
                          <w:sz w:val="19"/>
                          <w:szCs w:val="19"/>
                        </w:rPr>
                        <w:t>Francisca Rejane Araujo Felipe Pessoa de Albuquerque - Secretária executiva de Planejamento e Gestão Interna</w:t>
                      </w:r>
                    </w:p>
                    <w:p>
                      <w:pPr>
                        <w:pStyle w:val="Contedodoquadro"/>
                        <w:spacing w:lineRule="auto" w:line="240" w:before="0" w:after="0"/>
                        <w:rPr>
                          <w:rFonts w:cs="Calibri" w:cstheme="minorHAnsi"/>
                          <w:b/>
                          <w:sz w:val="19"/>
                          <w:szCs w:val="19"/>
                        </w:rPr>
                      </w:pPr>
                      <w:r>
                        <w:rPr>
                          <w:rFonts w:cs="Calibri" w:cstheme="minorHAnsi"/>
                          <w:b/>
                          <w:sz w:val="19"/>
                          <w:szCs w:val="19"/>
                        </w:rPr>
                        <w:t>Instituto de Pesquisa e Estratégia Econômica do Ceará – IPECE</w:t>
                      </w:r>
                    </w:p>
                    <w:p>
                      <w:pPr>
                        <w:pStyle w:val="Contedodoquadro"/>
                        <w:spacing w:lineRule="auto" w:line="240" w:before="0" w:after="0"/>
                        <w:rPr>
                          <w:rFonts w:cs="Calibri" w:cstheme="minorHAnsi"/>
                          <w:sz w:val="19"/>
                          <w:szCs w:val="19"/>
                        </w:rPr>
                      </w:pPr>
                      <w:r>
                        <w:rPr>
                          <w:rFonts w:cs="Calibri" w:cstheme="minorHAnsi"/>
                          <w:b/>
                          <w:sz w:val="19"/>
                          <w:szCs w:val="19"/>
                        </w:rPr>
                        <w:t>Diretor Geral</w:t>
                      </w:r>
                    </w:p>
                    <w:p>
                      <w:pPr>
                        <w:pStyle w:val="Contedodoquadro"/>
                        <w:spacing w:lineRule="auto" w:line="240" w:before="0" w:after="120"/>
                        <w:rPr>
                          <w:rFonts w:cs="Calibri" w:cstheme="minorHAnsi"/>
                          <w:sz w:val="19"/>
                          <w:szCs w:val="19"/>
                        </w:rPr>
                      </w:pPr>
                      <w:r>
                        <w:rPr>
                          <w:rFonts w:cs="Calibri" w:cstheme="minorHAnsi"/>
                          <w:sz w:val="19"/>
                          <w:szCs w:val="19"/>
                        </w:rPr>
                        <w:t>Alfredo José Pessoa de Oliveira</w:t>
                      </w:r>
                    </w:p>
                    <w:p>
                      <w:pPr>
                        <w:pStyle w:val="Contedodoquadro"/>
                        <w:spacing w:lineRule="auto" w:line="240" w:before="0" w:after="0"/>
                        <w:rPr>
                          <w:rFonts w:cs="Calibri" w:cstheme="minorHAnsi"/>
                          <w:b/>
                          <w:sz w:val="19"/>
                          <w:szCs w:val="19"/>
                        </w:rPr>
                      </w:pPr>
                      <w:r>
                        <w:rPr>
                          <w:rFonts w:cs="Calibri" w:cstheme="minorHAnsi"/>
                          <w:b/>
                          <w:sz w:val="19"/>
                          <w:szCs w:val="19"/>
                        </w:rPr>
                        <w:t>Diretoria de Estudos Econômicos – DIEC</w:t>
                      </w:r>
                    </w:p>
                    <w:p>
                      <w:pPr>
                        <w:pStyle w:val="Contedodoquadro"/>
                        <w:spacing w:lineRule="auto" w:line="240" w:before="0" w:after="120"/>
                        <w:rPr>
                          <w:rFonts w:cs="Calibri" w:cstheme="minorHAnsi"/>
                          <w:sz w:val="19"/>
                          <w:szCs w:val="19"/>
                        </w:rPr>
                      </w:pPr>
                      <w:r>
                        <w:rPr>
                          <w:rFonts w:cs="Calibri" w:cstheme="minorHAnsi"/>
                          <w:sz w:val="19"/>
                          <w:szCs w:val="19"/>
                        </w:rPr>
                        <w:t>Ricardo Antônio de Castro Pereira</w:t>
                      </w:r>
                    </w:p>
                    <w:p>
                      <w:pPr>
                        <w:pStyle w:val="Contedodoquadro"/>
                        <w:spacing w:lineRule="auto" w:line="240" w:before="0" w:after="0"/>
                        <w:rPr>
                          <w:rFonts w:cs="Calibri" w:cstheme="minorHAnsi"/>
                          <w:b/>
                          <w:sz w:val="19"/>
                          <w:szCs w:val="19"/>
                        </w:rPr>
                      </w:pPr>
                      <w:r>
                        <w:rPr>
                          <w:rFonts w:cs="Calibri" w:cstheme="minorHAnsi"/>
                          <w:b/>
                          <w:sz w:val="19"/>
                          <w:szCs w:val="19"/>
                        </w:rPr>
                        <w:t>Diretoria de Estudos Sociais – DISOC</w:t>
                      </w:r>
                    </w:p>
                    <w:p>
                      <w:pPr>
                        <w:pStyle w:val="Contedodoquadro"/>
                        <w:spacing w:lineRule="auto" w:line="240" w:before="0" w:after="120"/>
                        <w:rPr>
                          <w:rFonts w:cs="Calibri" w:cstheme="minorHAnsi"/>
                          <w:sz w:val="19"/>
                          <w:szCs w:val="19"/>
                        </w:rPr>
                      </w:pPr>
                      <w:r>
                        <w:rPr>
                          <w:rFonts w:cs="Calibri" w:cstheme="minorHAnsi"/>
                          <w:sz w:val="19"/>
                          <w:szCs w:val="19"/>
                        </w:rPr>
                        <w:t>José Meneleu Neto</w:t>
                      </w:r>
                    </w:p>
                    <w:p>
                      <w:pPr>
                        <w:pStyle w:val="Contedodoquadro"/>
                        <w:spacing w:lineRule="auto" w:line="240" w:before="0" w:after="0"/>
                        <w:rPr>
                          <w:rFonts w:cs="Calibri" w:cstheme="minorHAnsi"/>
                          <w:b/>
                          <w:sz w:val="19"/>
                          <w:szCs w:val="19"/>
                        </w:rPr>
                      </w:pPr>
                      <w:r>
                        <w:rPr>
                          <w:rFonts w:cs="Calibri" w:cstheme="minorHAnsi"/>
                          <w:b/>
                          <w:sz w:val="19"/>
                          <w:szCs w:val="19"/>
                        </w:rPr>
                        <w:t>Diretoria de Estudos de Gestão Pública – DIGEP</w:t>
                      </w:r>
                    </w:p>
                    <w:p>
                      <w:pPr>
                        <w:pStyle w:val="Contedodoquadro"/>
                        <w:spacing w:lineRule="auto" w:line="240" w:before="0" w:after="120"/>
                        <w:rPr>
                          <w:rFonts w:cs="Calibri" w:cstheme="minorHAnsi"/>
                          <w:bCs/>
                          <w:sz w:val="19"/>
                          <w:szCs w:val="19"/>
                        </w:rPr>
                      </w:pPr>
                      <w:r>
                        <w:rPr>
                          <w:rFonts w:cs="Calibri" w:cstheme="minorHAnsi"/>
                          <w:bCs/>
                          <w:sz w:val="19"/>
                          <w:szCs w:val="19"/>
                        </w:rPr>
                        <w:t>José Fábio Bezerra Montenegro</w:t>
                      </w:r>
                    </w:p>
                    <w:p>
                      <w:pPr>
                        <w:pStyle w:val="Contedodoquadro"/>
                        <w:spacing w:lineRule="auto" w:line="240" w:before="0" w:after="0"/>
                        <w:rPr>
                          <w:rFonts w:cs="Calibri" w:cstheme="minorHAnsi"/>
                          <w:b/>
                          <w:sz w:val="19"/>
                          <w:szCs w:val="19"/>
                        </w:rPr>
                      </w:pPr>
                      <w:r>
                        <w:rPr>
                          <w:rFonts w:cs="Calibri" w:cstheme="minorHAnsi"/>
                          <w:b/>
                          <w:sz w:val="19"/>
                          <w:szCs w:val="19"/>
                        </w:rPr>
                        <w:t xml:space="preserve">Gerência de Estatística, Geografia e </w:t>
                      </w:r>
                      <w:r>
                        <w:rPr>
                          <w:rFonts w:eastAsia="Calibri" w:cs="Calibri" w:ascii="Calibri" w:hAnsi="Calibri"/>
                          <w:b/>
                          <w:sz w:val="19"/>
                          <w:szCs w:val="19"/>
                        </w:rPr>
                        <w:t xml:space="preserve">Informações </w:t>
                      </w:r>
                      <w:r>
                        <w:rPr>
                          <w:rFonts w:cs="Calibri" w:cstheme="minorHAnsi"/>
                          <w:b/>
                          <w:sz w:val="19"/>
                          <w:szCs w:val="19"/>
                        </w:rPr>
                        <w:t>– GEGIN</w:t>
                      </w:r>
                    </w:p>
                    <w:p>
                      <w:pPr>
                        <w:pStyle w:val="Contedodoquadro"/>
                        <w:spacing w:lineRule="auto" w:line="240" w:before="0" w:after="0"/>
                        <w:rPr>
                          <w:rFonts w:eastAsia="Calibri" w:cs="Calibri" w:cstheme="minorHAnsi"/>
                          <w:bCs/>
                          <w:sz w:val="19"/>
                          <w:szCs w:val="19"/>
                        </w:rPr>
                      </w:pPr>
                      <w:r>
                        <w:rPr>
                          <w:rFonts w:eastAsia="Calibri" w:cs="Calibri" w:cstheme="minorHAnsi"/>
                          <w:bCs/>
                          <w:sz w:val="19"/>
                          <w:szCs w:val="19"/>
                        </w:rPr>
                        <w:t>Rafaela Martins Leite Monteiro</w:t>
                      </w:r>
                    </w:p>
                    <w:p>
                      <w:pPr>
                        <w:pStyle w:val="Contedodoquadro"/>
                        <w:spacing w:lineRule="auto" w:line="240" w:before="0" w:after="0"/>
                        <w:ind w:left="-142" w:right="-181"/>
                        <w:rPr>
                          <w:rFonts w:cs="Calibri" w:cstheme="minorHAnsi"/>
                          <w:sz w:val="19"/>
                          <w:szCs w:val="19"/>
                        </w:rPr>
                      </w:pPr>
                      <w:r>
                        <w:rPr>
                          <w:rFonts w:cs="Calibri" w:cstheme="minorHAnsi"/>
                          <w:sz w:val="19"/>
                          <w:szCs w:val="19"/>
                        </w:rPr>
                        <w:t>__________________________________________________________</w:t>
                      </w:r>
                    </w:p>
                    <w:p>
                      <w:pPr>
                        <w:pStyle w:val="Contedodoquadro"/>
                        <w:spacing w:lineRule="auto" w:line="240" w:before="0" w:after="120"/>
                        <w:rPr>
                          <w:rFonts w:cs="Calibri" w:cstheme="minorHAnsi"/>
                          <w:b/>
                          <w:sz w:val="19"/>
                          <w:szCs w:val="19"/>
                        </w:rPr>
                      </w:pPr>
                      <w:r>
                        <w:rPr>
                          <w:rFonts w:eastAsia="Calibri" w:cs="Calibri" w:cstheme="minorHAnsi"/>
                          <w:b/>
                          <w:sz w:val="19"/>
                          <w:szCs w:val="19"/>
                        </w:rPr>
                        <w:t>IPECE Informe – Nº 000 – Janeiro/2026</w:t>
                      </w:r>
                    </w:p>
                    <w:p>
                      <w:pPr>
                        <w:pStyle w:val="Contedodoquadro"/>
                        <w:spacing w:lineRule="auto" w:line="240" w:before="0" w:after="0"/>
                        <w:rPr>
                          <w:rFonts w:eastAsia="Calibri" w:cs="Calibri" w:cstheme="minorHAnsi"/>
                          <w:b/>
                          <w:bCs/>
                          <w:sz w:val="19"/>
                          <w:szCs w:val="19"/>
                        </w:rPr>
                      </w:pPr>
                      <w:r>
                        <w:rPr>
                          <w:rFonts w:eastAsia="Calibri" w:cs="Calibri" w:cstheme="minorHAnsi"/>
                          <w:b/>
                          <w:bCs/>
                          <w:sz w:val="19"/>
                          <w:szCs w:val="19"/>
                        </w:rPr>
                        <w:t xml:space="preserve">DIRETORIA RESPONSÁVEL: </w:t>
                      </w:r>
                    </w:p>
                    <w:p>
                      <w:pPr>
                        <w:pStyle w:val="Contedodoquadro"/>
                        <w:spacing w:lineRule="auto" w:line="240" w:before="0" w:after="120"/>
                        <w:rPr>
                          <w:rFonts w:eastAsia="Calibri" w:cs="Calibri" w:cstheme="minorHAnsi"/>
                          <w:bCs/>
                          <w:sz w:val="19"/>
                          <w:szCs w:val="19"/>
                        </w:rPr>
                      </w:pPr>
                      <w:r>
                        <w:rPr>
                          <w:rFonts w:eastAsia="Calibri" w:cs="Calibri" w:cstheme="minorHAnsi"/>
                          <w:bCs/>
                          <w:sz w:val="19"/>
                          <w:szCs w:val="19"/>
                        </w:rPr>
                        <w:t xml:space="preserve">Diretoria de Estudos </w:t>
                      </w:r>
                      <w:r>
                        <w:rPr>
                          <w:rFonts w:eastAsia="Calibri" w:cs="Calibri" w:cstheme="minorHAnsi"/>
                          <w:bCs/>
                          <w:sz w:val="19"/>
                          <w:szCs w:val="19"/>
                        </w:rPr>
                        <w:t>Sociais</w:t>
                      </w:r>
                      <w:r>
                        <w:rPr>
                          <w:rFonts w:eastAsia="Calibri" w:cs="Calibri" w:cstheme="minorHAnsi"/>
                          <w:bCs/>
                          <w:sz w:val="19"/>
                          <w:szCs w:val="19"/>
                        </w:rPr>
                        <w:t xml:space="preserve"> – </w:t>
                      </w:r>
                      <w:r>
                        <w:rPr>
                          <w:rFonts w:eastAsia="Calibri" w:cs="Calibri" w:cstheme="minorHAnsi"/>
                          <w:bCs/>
                          <w:sz w:val="19"/>
                          <w:szCs w:val="19"/>
                        </w:rPr>
                        <w:t>DISOC</w:t>
                      </w:r>
                    </w:p>
                    <w:p>
                      <w:pPr>
                        <w:pStyle w:val="Contedodoquadro"/>
                        <w:spacing w:lineRule="auto" w:line="240" w:before="0" w:after="60"/>
                        <w:rPr>
                          <w:rFonts w:cs="Calibri" w:cstheme="minorHAnsi"/>
                          <w:b/>
                          <w:sz w:val="19"/>
                          <w:szCs w:val="19"/>
                        </w:rPr>
                      </w:pPr>
                      <w:r>
                        <w:rPr>
                          <w:rFonts w:cs="Calibri" w:cstheme="minorHAnsi"/>
                          <w:b/>
                          <w:sz w:val="19"/>
                          <w:szCs w:val="19"/>
                        </w:rPr>
                        <w:t xml:space="preserve">Elaboração: </w:t>
                      </w:r>
                    </w:p>
                    <w:p>
                      <w:pPr>
                        <w:pStyle w:val="Contedodoquadro"/>
                        <w:spacing w:lineRule="auto" w:line="240" w:before="0" w:after="0"/>
                        <w:ind w:left="142"/>
                        <w:rPr>
                          <w:rFonts w:eastAsia="Calibri" w:cs="Calibri" w:cstheme="minorHAnsi"/>
                          <w:sz w:val="19"/>
                          <w:szCs w:val="19"/>
                        </w:rPr>
                      </w:pPr>
                      <w:r>
                        <w:rPr>
                          <w:rFonts w:eastAsia="Calibri" w:cs="Calibri" w:cstheme="minorHAnsi"/>
                          <w:sz w:val="19"/>
                          <w:szCs w:val="19"/>
                        </w:rPr>
                        <w:t>Jimmy Lima de Oliveira</w:t>
                      </w:r>
                      <w:r>
                        <w:rPr>
                          <w:rFonts w:eastAsia="Calibri" w:cs="Calibri" w:cstheme="minorHAnsi"/>
                          <w:sz w:val="19"/>
                          <w:szCs w:val="19"/>
                        </w:rPr>
                        <w:t xml:space="preserve"> (Analista de Políticas Públicas)</w:t>
                      </w:r>
                    </w:p>
                    <w:p>
                      <w:pPr>
                        <w:pStyle w:val="Contedodoquadro"/>
                        <w:spacing w:lineRule="auto" w:line="240" w:before="0" w:after="0"/>
                        <w:ind w:left="142"/>
                        <w:rPr>
                          <w:rFonts w:eastAsia="Calibri" w:cs="Calibri" w:cstheme="minorHAnsi"/>
                          <w:sz w:val="19"/>
                          <w:szCs w:val="19"/>
                        </w:rPr>
                      </w:pPr>
                      <w:r>
                        <w:rPr>
                          <w:rFonts w:eastAsia="Calibri" w:cs="Calibri" w:cstheme="minorHAnsi"/>
                          <w:sz w:val="19"/>
                          <w:szCs w:val="19"/>
                        </w:rPr>
                        <w:t>João Victor Batista Lopes (Assesor técnico)</w:t>
                      </w:r>
                    </w:p>
                    <w:p>
                      <w:pPr>
                        <w:pStyle w:val="Contedodoquadro"/>
                        <w:spacing w:lineRule="auto" w:line="240" w:before="0" w:after="0"/>
                        <w:ind w:left="142"/>
                        <w:rPr>
                          <w:rFonts w:eastAsia="Calibri" w:cs="Calibri" w:cstheme="minorHAnsi"/>
                          <w:sz w:val="19"/>
                          <w:szCs w:val="19"/>
                        </w:rPr>
                      </w:pPr>
                      <w:r>
                        <w:rPr/>
                      </w:r>
                    </w:p>
                    <w:p>
                      <w:pPr>
                        <w:pStyle w:val="Contedodoquadro"/>
                        <w:spacing w:lineRule="auto" w:line="240" w:before="0" w:after="0"/>
                        <w:ind w:left="-142" w:right="-181"/>
                        <w:rPr>
                          <w:rFonts w:cs="Calibri" w:cstheme="minorHAnsi"/>
                          <w:sz w:val="19"/>
                          <w:szCs w:val="19"/>
                        </w:rPr>
                      </w:pPr>
                      <w:r>
                        <w:rPr>
                          <w:rFonts w:cs="Calibri" w:cstheme="minorHAnsi"/>
                          <w:sz w:val="19"/>
                          <w:szCs w:val="19"/>
                        </w:rPr>
                        <w:t>__________________________________________________________</w:t>
                      </w:r>
                    </w:p>
                    <w:p>
                      <w:pPr>
                        <w:pStyle w:val="Contedodoquadro"/>
                        <w:spacing w:lineRule="auto" w:line="240" w:before="120" w:after="120"/>
                        <w:jc w:val="both"/>
                        <w:rPr>
                          <w:rFonts w:cs="Calibri" w:cstheme="minorHAnsi"/>
                          <w:sz w:val="16"/>
                          <w:szCs w:val="16"/>
                        </w:rPr>
                      </w:pPr>
                      <w:r>
                        <w:rPr>
                          <w:rFonts w:cs="Calibri" w:cstheme="minorHAnsi"/>
                          <w:sz w:val="16"/>
                          <w:szCs w:val="16"/>
                        </w:rPr>
                        <w:t xml:space="preserve">O </w:t>
                      </w:r>
                      <w:r>
                        <w:rPr>
                          <w:rFonts w:cs="Calibri" w:cstheme="minorHAnsi"/>
                          <w:b/>
                          <w:sz w:val="16"/>
                          <w:szCs w:val="16"/>
                        </w:rPr>
                        <w:t>Instituto de Pesquisa e Estratégia Econômica do Ceará (IPECE)</w:t>
                      </w:r>
                      <w:r>
                        <w:rPr>
                          <w:rFonts w:cs="Calibri" w:cstheme="minorHAnsi"/>
                          <w:sz w:val="16"/>
                          <w:szCs w:val="16"/>
                        </w:rPr>
                        <w:t xml:space="preserve"> é uma autarquia vinculada à Secretaria do Planejamento e Gestão do Estado do Ceará. Fundado em 14 de abril de 2003, o IPECE é o órgão do Governo responsável pela geração de estudos, pesquisas e informações socioeconômicas e geográficas que permitem a avaliação de programas e a elaboração de estratégias e políticas públicas para o desenvolvimento do Estado do Ceará.</w:t>
                      </w:r>
                    </w:p>
                    <w:p>
                      <w:pPr>
                        <w:pStyle w:val="Contedodoquadro"/>
                        <w:spacing w:lineRule="auto" w:line="240" w:before="0" w:after="120"/>
                        <w:jc w:val="both"/>
                        <w:rPr>
                          <w:rFonts w:cs="Calibri" w:cstheme="minorHAnsi"/>
                          <w:sz w:val="16"/>
                          <w:szCs w:val="16"/>
                        </w:rPr>
                      </w:pPr>
                      <w:r>
                        <w:rPr>
                          <w:rFonts w:cs="Calibri" w:cstheme="minorHAnsi"/>
                          <w:b/>
                          <w:sz w:val="16"/>
                          <w:szCs w:val="16"/>
                        </w:rPr>
                        <w:t>Missão:</w:t>
                      </w:r>
                      <w:r>
                        <w:rPr>
                          <w:rFonts w:cs="Calibri" w:cstheme="minorHAnsi"/>
                          <w:sz w:val="16"/>
                          <w:szCs w:val="16"/>
                        </w:rPr>
                        <w:t xml:space="preserve"> Gerar e disseminar conhecimento e informações, subsidiar a formulação e avaliação de políticas públicas e assessorar o Governo nas decisões estratégicas, contribuindo para o desenvolvimento sustentável do Ceará.</w:t>
                      </w:r>
                    </w:p>
                    <w:p>
                      <w:pPr>
                        <w:pStyle w:val="Contedodoquadro"/>
                        <w:spacing w:lineRule="auto" w:line="240" w:before="0" w:after="120"/>
                        <w:jc w:val="both"/>
                        <w:rPr>
                          <w:rFonts w:cs="Calibri" w:cstheme="minorHAnsi"/>
                          <w:sz w:val="16"/>
                          <w:szCs w:val="16"/>
                        </w:rPr>
                      </w:pPr>
                      <w:r>
                        <w:rPr>
                          <w:rFonts w:cs="Calibri" w:cstheme="minorHAnsi"/>
                          <w:b/>
                          <w:sz w:val="16"/>
                          <w:szCs w:val="16"/>
                        </w:rPr>
                        <w:t>Valores:</w:t>
                      </w:r>
                      <w:r>
                        <w:rPr>
                          <w:rFonts w:cs="Calibri" w:cstheme="minorHAnsi"/>
                          <w:sz w:val="16"/>
                          <w:szCs w:val="16"/>
                        </w:rPr>
                        <w:t xml:space="preserve"> </w:t>
                      </w:r>
                      <w:r>
                        <w:rPr>
                          <w:rFonts w:eastAsia="Calibri" w:cs="Calibri" w:ascii="Calibri" w:hAnsi="Calibri"/>
                          <w:sz w:val="16"/>
                          <w:szCs w:val="16"/>
                        </w:rPr>
                        <w:t>Ética, transparência e impessoalidade; Competência, comprometimento e senso de equipe; Compromisso com a sociedade e valorização do ser humano; Autonomia Técnica; Rigor científico e inovação.</w:t>
                      </w:r>
                    </w:p>
                    <w:p>
                      <w:pPr>
                        <w:pStyle w:val="Contedodoquadro"/>
                        <w:spacing w:lineRule="auto" w:line="240" w:before="0" w:after="0"/>
                        <w:jc w:val="both"/>
                        <w:rPr>
                          <w:rFonts w:cs="Calibri" w:cstheme="minorHAnsi"/>
                          <w:sz w:val="16"/>
                          <w:szCs w:val="16"/>
                        </w:rPr>
                      </w:pPr>
                      <w:r>
                        <w:rPr>
                          <w:rFonts w:cs="Calibri" w:cstheme="minorHAnsi"/>
                          <w:b/>
                          <w:sz w:val="16"/>
                          <w:szCs w:val="16"/>
                        </w:rPr>
                        <w:t>Visão:</w:t>
                      </w:r>
                      <w:r>
                        <w:rPr>
                          <w:rFonts w:cs="Calibri" w:cstheme="minorHAnsi"/>
                          <w:sz w:val="16"/>
                          <w:szCs w:val="16"/>
                        </w:rPr>
                        <w:t xml:space="preserve"> Até 2031, consolidar-se como referência em inteligência pública e assessoramento estratégico ao Governo do Ceará, ampliando sua capácidade de produzir e disseminar conhecimento qualificado, inovador e orientado às políticas públicas efetivas e sustentáveis.</w:t>
                      </w:r>
                    </w:p>
                    <w:p>
                      <w:pPr>
                        <w:pStyle w:val="Contedodoquadro"/>
                        <w:spacing w:lineRule="auto" w:line="240" w:before="0" w:after="0"/>
                        <w:jc w:val="both"/>
                        <w:rPr>
                          <w:rFonts w:cs="Calibri" w:cstheme="minorHAnsi"/>
                          <w:sz w:val="16"/>
                          <w:szCs w:val="16"/>
                        </w:rPr>
                      </w:pPr>
                      <w:r>
                        <w:rPr>
                          <w:rFonts w:cs="Calibri" w:cstheme="minorHAnsi"/>
                          <w:sz w:val="16"/>
                          <w:szCs w:val="16"/>
                        </w:rPr>
                      </w:r>
                    </w:p>
                    <w:p>
                      <w:pPr>
                        <w:pStyle w:val="Contedodoquadro"/>
                        <w:spacing w:lineRule="auto" w:line="240" w:before="0" w:after="0"/>
                        <w:jc w:val="center"/>
                        <w:rPr>
                          <w:rFonts w:cs="Calibri" w:cstheme="minorHAnsi"/>
                          <w:sz w:val="16"/>
                          <w:szCs w:val="16"/>
                        </w:rPr>
                      </w:pPr>
                      <w:r>
                        <w:rPr>
                          <w:rFonts w:cs="Calibri" w:cstheme="minorHAnsi"/>
                          <w:sz w:val="16"/>
                          <w:szCs w:val="16"/>
                        </w:rPr>
                        <w:t xml:space="preserve">Instituto de Pesquisa e Estratégia Econômica do Ceará (IPECE) </w:t>
                      </w:r>
                    </w:p>
                    <w:p>
                      <w:pPr>
                        <w:pStyle w:val="Contedodoquadro"/>
                        <w:spacing w:lineRule="auto" w:line="240" w:before="0" w:after="0"/>
                        <w:jc w:val="center"/>
                        <w:rPr>
                          <w:rFonts w:cs="Calibri" w:cstheme="minorHAnsi"/>
                          <w:sz w:val="16"/>
                          <w:szCs w:val="16"/>
                        </w:rPr>
                      </w:pPr>
                      <w:r>
                        <w:rPr>
                          <w:rFonts w:cs="Calibri" w:cstheme="minorHAnsi"/>
                          <w:sz w:val="16"/>
                          <w:szCs w:val="16"/>
                        </w:rPr>
                        <w:t>Av. Gal. Afonso Albuquerque Lima, s/n | Edifício SEPLAG | Térreo Cambeba | Cep: 60.822-325 |</w:t>
                      </w:r>
                    </w:p>
                    <w:p>
                      <w:pPr>
                        <w:pStyle w:val="Contedodoquadro"/>
                        <w:spacing w:lineRule="auto" w:line="240" w:before="0" w:after="0"/>
                        <w:jc w:val="center"/>
                        <w:rPr>
                          <w:rFonts w:cs="Calibri" w:cstheme="minorHAnsi"/>
                          <w:sz w:val="16"/>
                          <w:szCs w:val="16"/>
                        </w:rPr>
                      </w:pPr>
                      <w:r>
                        <w:rPr>
                          <w:rFonts w:cs="Calibri" w:cstheme="minorHAnsi"/>
                          <w:sz w:val="16"/>
                          <w:szCs w:val="16"/>
                        </w:rPr>
                        <w:t>Fortaleza, Ceará, Brasil | Telefone: (85) 2018-2639</w:t>
                      </w:r>
                    </w:p>
                    <w:p>
                      <w:pPr>
                        <w:pStyle w:val="Contedodoquadro"/>
                        <w:spacing w:lineRule="auto" w:line="240" w:before="0" w:after="0"/>
                        <w:jc w:val="center"/>
                        <w:rPr>
                          <w:rFonts w:cs="Calibri" w:cstheme="minorHAnsi"/>
                          <w:sz w:val="18"/>
                          <w:szCs w:val="18"/>
                        </w:rPr>
                      </w:pPr>
                      <w:r>
                        <w:rPr>
                          <w:rFonts w:cs="Calibri" w:cstheme="minorHAnsi"/>
                          <w:sz w:val="16"/>
                          <w:szCs w:val="16"/>
                        </w:rPr>
                        <w:t>www.ipece.ce.gov.br</w:t>
                      </w:r>
                    </w:p>
                    <w:p>
                      <w:pPr>
                        <w:pStyle w:val="Contedodoquadro"/>
                        <w:spacing w:lineRule="auto" w:line="240" w:before="0" w:after="0"/>
                        <w:rPr>
                          <w:rFonts w:cs="Calibri" w:cstheme="minorHAnsi"/>
                          <w:sz w:val="16"/>
                          <w:szCs w:val="16"/>
                        </w:rPr>
                      </w:pPr>
                      <w:r>
                        <w:rPr/>
                      </w:r>
                    </w:p>
                  </w:txbxContent>
                </v:textbox>
                <w10:wrap type="none"/>
              </v:rect>
            </w:pict>
          </mc:Fallback>
        </mc:AlternateContent>
        <mc:AlternateContent>
          <mc:Choice Requires="wps">
            <w:drawing>
              <wp:anchor behindDoc="0" distT="0" distB="27305" distL="0" distR="13335" simplePos="0" locked="0" layoutInCell="1" allowOverlap="1" relativeHeight="40" wp14:anchorId="7A816AB0">
                <wp:simplePos x="0" y="0"/>
                <wp:positionH relativeFrom="column">
                  <wp:posOffset>2745105</wp:posOffset>
                </wp:positionH>
                <wp:positionV relativeFrom="paragraph">
                  <wp:posOffset>-672465</wp:posOffset>
                </wp:positionV>
                <wp:extent cx="3491865" cy="10259695"/>
                <wp:effectExtent l="2540" t="2540" r="1270" b="1270"/>
                <wp:wrapNone/>
                <wp:docPr id="7" name="Caixa de Texto 9"/>
                <a:graphic xmlns:a="http://schemas.openxmlformats.org/drawingml/2006/main">
                  <a:graphicData uri="http://schemas.microsoft.com/office/word/2010/wordprocessingShape">
                    <wps:wsp>
                      <wps:cNvSpPr/>
                      <wps:spPr>
                        <a:xfrm>
                          <a:off x="0" y="0"/>
                          <a:ext cx="3492000" cy="10259640"/>
                        </a:xfrm>
                        <a:prstGeom prst="rect">
                          <a:avLst/>
                        </a:prstGeom>
                        <a:solidFill>
                          <a:schemeClr val="lt1"/>
                        </a:solidFill>
                        <a:ln w="3175">
                          <a:solidFill>
                            <a:srgbClr val="ffffff"/>
                          </a:solidFill>
                          <a:prstDash val="sysDot"/>
                          <a:round/>
                        </a:ln>
                      </wps:spPr>
                      <wps:style>
                        <a:lnRef idx="0"/>
                        <a:fillRef idx="0"/>
                        <a:effectRef idx="0"/>
                        <a:fontRef idx="minor"/>
                      </wps:style>
                      <wps:txbx>
                        <w:txbxContent>
                          <w:p>
                            <w:pPr>
                              <w:pStyle w:val="Pargrafobsico"/>
                              <w:spacing w:lineRule="auto" w:line="240" w:before="0" w:after="120"/>
                              <w:jc w:val="both"/>
                              <w:rPr>
                                <w:rFonts w:ascii="Calibri" w:hAnsi="Calibri" w:cs="Calibri" w:asciiTheme="minorHAnsi" w:cstheme="minorHAnsi" w:hAnsiTheme="minorHAnsi"/>
                                <w:color w:val="auto"/>
                                <w:sz w:val="22"/>
                                <w:szCs w:val="22"/>
                              </w:rPr>
                            </w:pPr>
                            <w:r>
                              <w:rPr>
                                <w:rFonts w:cs="Calibri" w:ascii="Calibri" w:hAnsi="Calibri" w:asciiTheme="minorHAnsi" w:cstheme="minorHAnsi" w:hAnsiTheme="minorHAnsi"/>
                                <w:color w:val="auto"/>
                                <w:sz w:val="22"/>
                                <w:szCs w:val="22"/>
                              </w:rPr>
                              <w:t xml:space="preserve">Sobre o </w:t>
                            </w:r>
                            <w:r>
                              <w:rPr>
                                <w:rFonts w:cs="Calibri" w:ascii="Calibri" w:hAnsi="Calibri" w:asciiTheme="minorHAnsi" w:cstheme="minorHAnsi" w:hAnsiTheme="minorHAnsi"/>
                                <w:b/>
                                <w:bCs/>
                                <w:color w:val="auto"/>
                                <w:sz w:val="22"/>
                                <w:szCs w:val="22"/>
                              </w:rPr>
                              <w:t>IPECE Informe</w:t>
                            </w:r>
                          </w:p>
                          <w:p>
                            <w:pPr>
                              <w:pStyle w:val="Pargrafobsico"/>
                              <w:spacing w:lineRule="auto" w:line="312" w:before="360" w:after="600"/>
                              <w:jc w:val="both"/>
                              <w:rPr>
                                <w:rFonts w:ascii="Calibri" w:hAnsi="Calibri" w:cs="Calibri" w:asciiTheme="minorHAnsi" w:cstheme="minorHAnsi" w:hAnsiTheme="minorHAnsi"/>
                                <w:color w:val="auto"/>
                                <w:sz w:val="22"/>
                                <w:szCs w:val="22"/>
                              </w:rPr>
                            </w:pPr>
                            <w:r>
                              <w:rPr>
                                <w:rFonts w:cs="Calibri" w:ascii="Calibri" w:hAnsi="Calibri" w:asciiTheme="minorHAnsi" w:cstheme="minorHAnsi" w:hAnsiTheme="minorHAnsi"/>
                                <w:color w:val="auto"/>
                                <w:sz w:val="22"/>
                                <w:szCs w:val="22"/>
                              </w:rPr>
                              <w:t xml:space="preserve">A Série </w:t>
                            </w:r>
                            <w:r>
                              <w:rPr>
                                <w:rFonts w:cs="Calibri" w:ascii="Calibri" w:hAnsi="Calibri" w:asciiTheme="minorHAnsi" w:cstheme="minorHAnsi" w:hAnsiTheme="minorHAnsi"/>
                                <w:b/>
                                <w:bCs/>
                                <w:color w:val="auto"/>
                                <w:sz w:val="22"/>
                                <w:szCs w:val="22"/>
                              </w:rPr>
                              <w:t>IPECE Informe</w:t>
                            </w:r>
                            <w:r>
                              <w:rPr>
                                <w:rFonts w:cs="Calibri" w:ascii="Calibri" w:hAnsi="Calibri" w:asciiTheme="minorHAnsi" w:cstheme="minorHAnsi" w:hAnsiTheme="minorHAnsi"/>
                                <w:bCs/>
                                <w:color w:val="auto"/>
                                <w:sz w:val="22"/>
                                <w:szCs w:val="22"/>
                              </w:rPr>
                              <w:t>,</w:t>
                            </w:r>
                            <w:r>
                              <w:rPr>
                                <w:rFonts w:cs="Calibri" w:ascii="Calibri" w:hAnsi="Calibri" w:asciiTheme="minorHAnsi" w:cstheme="minorHAnsi" w:hAnsiTheme="minorHAnsi"/>
                                <w:color w:val="auto"/>
                                <w:sz w:val="22"/>
                                <w:szCs w:val="22"/>
                              </w:rPr>
                              <w:t xml:space="preserve"> disponibilizada pelo Instituto de Pesquisa e Estratégia Econômica do Ceará (IPECE), visa divulgar análises técnicas sobre temas relevantes de forma objetiva. Com esse documento, o Instituto busca promover debates sobre assuntos de interesse da sociedade, de um modo geral, abrindo espaço para realização de futuros estudos.</w:t>
                            </w:r>
                          </w:p>
                          <w:p>
                            <w:pPr>
                              <w:pStyle w:val="Contedodoquadro"/>
                              <w:suppressAutoHyphens w:val="true"/>
                              <w:spacing w:before="0" w:after="120"/>
                              <w:ind w:left="-142" w:right="-181"/>
                              <w:rPr>
                                <w:rFonts w:eastAsia="Calibri" w:cs="Calibri" w:cstheme="minorHAnsi"/>
                                <w:bCs/>
                                <w:sz w:val="19"/>
                                <w:szCs w:val="19"/>
                              </w:rPr>
                            </w:pPr>
                            <w:r>
                              <w:rPr>
                                <w:rFonts w:cs="Calibri" w:cstheme="minorHAnsi"/>
                                <w:sz w:val="19"/>
                                <w:szCs w:val="19"/>
                              </w:rPr>
                              <w:t>__________________________________________________________</w:t>
                            </w:r>
                          </w:p>
                          <w:p>
                            <w:pPr>
                              <w:pStyle w:val="Contedodoquadro"/>
                              <w:spacing w:before="0" w:after="120"/>
                              <w:rPr>
                                <w:rFonts w:eastAsia="" w:cs="Calibri" w:cstheme="minorHAnsi" w:eastAsiaTheme="minorEastAsia"/>
                                <w:color w:themeColor="text1" w:val="000000"/>
                              </w:rPr>
                            </w:pPr>
                            <w:r>
                              <w:rPr>
                                <w:rFonts w:eastAsia="" w:cs="Calibri" w:cstheme="minorHAnsi" w:eastAsiaTheme="minorEastAsia"/>
                                <w:color w:themeColor="text1" w:val="000000"/>
                              </w:rPr>
                              <w:t xml:space="preserve">Instituto de Pesquisa e Estratégia Econômica do Ceará – </w:t>
                            </w:r>
                            <w:r>
                              <w:rPr>
                                <w:rFonts w:eastAsia="" w:cs="Calibri" w:cstheme="minorHAnsi" w:eastAsiaTheme="minorEastAsia"/>
                                <w:b/>
                                <w:color w:themeColor="text1" w:val="000000"/>
                              </w:rPr>
                              <w:t>IPECE</w:t>
                            </w:r>
                            <w:r>
                              <w:rPr>
                                <w:rFonts w:eastAsia="" w:cs="Calibri" w:cstheme="minorHAnsi" w:eastAsiaTheme="minorEastAsia"/>
                                <w:color w:themeColor="text1" w:val="000000"/>
                              </w:rPr>
                              <w:t xml:space="preserve"> 2026</w:t>
                            </w:r>
                          </w:p>
                          <w:p>
                            <w:pPr>
                              <w:pStyle w:val="Contedodoquadro"/>
                              <w:rPr>
                                <w:rFonts w:eastAsia="" w:cs="Calibri" w:cstheme="minorHAnsi" w:eastAsiaTheme="minorEastAsia"/>
                                <w:color w:themeColor="text1" w:val="000000"/>
                              </w:rPr>
                            </w:pPr>
                            <w:r>
                              <w:rPr>
                                <w:rFonts w:eastAsia="" w:cs="Calibri" w:cstheme="minorHAnsi" w:eastAsiaTheme="minorEastAsia"/>
                                <w:color w:themeColor="text1" w:val="000000"/>
                              </w:rPr>
                              <w:t>IPECE informe / Instituto de Pesquisa e Estratégia Econômica do Ceará (IPECE) / Fortaleza – Ceará: Ipece, 2026</w:t>
                            </w:r>
                          </w:p>
                          <w:p>
                            <w:pPr>
                              <w:pStyle w:val="Contedodoquadro"/>
                              <w:spacing w:before="120" w:after="120"/>
                              <w:ind w:firstLine="284"/>
                              <w:rPr>
                                <w:rFonts w:eastAsia="" w:cs="Calibri" w:cstheme="minorHAnsi" w:eastAsiaTheme="minorEastAsia"/>
                                <w:color w:themeColor="text1" w:val="000000"/>
                              </w:rPr>
                            </w:pPr>
                            <w:r>
                              <w:rPr>
                                <w:rFonts w:eastAsia="" w:cs="Calibri" w:cstheme="minorHAnsi" w:eastAsiaTheme="minorEastAsia"/>
                                <w:color w:themeColor="text1" w:val="000000"/>
                              </w:rPr>
                              <w:t>ISSN: 2594-8717</w:t>
                            </w:r>
                          </w:p>
                          <w:p>
                            <w:pPr>
                              <w:pStyle w:val="Contedodoquadro"/>
                              <w:spacing w:before="0" w:after="0"/>
                              <w:ind w:firstLine="284"/>
                              <w:rPr>
                                <w:rFonts w:eastAsia="" w:cs="Calibri" w:cstheme="minorHAnsi" w:eastAsiaTheme="minorEastAsia"/>
                                <w:color w:themeColor="text1" w:val="000000"/>
                              </w:rPr>
                            </w:pPr>
                            <w:r>
                              <w:rPr>
                                <w:rFonts w:eastAsia="" w:cs="Calibri" w:cstheme="minorHAnsi" w:eastAsiaTheme="minorEastAsia"/>
                                <w:color w:themeColor="text1" w:val="000000"/>
                              </w:rPr>
                              <w:t>1. Economia Brasileira. 2. Economia Cearense. 3. Aspectos Econômicos. 4. Aspectos Sociais. 5. Mercado de Trabalho.</w:t>
                            </w:r>
                          </w:p>
                          <w:p>
                            <w:pPr>
                              <w:pStyle w:val="Contedodoquadro"/>
                              <w:spacing w:before="0" w:after="120"/>
                              <w:ind w:left="-142" w:right="-323"/>
                              <w:rPr>
                                <w:rFonts w:eastAsia="Calibri" w:cs="Calibri" w:cstheme="minorHAnsi"/>
                                <w:bCs/>
                                <w:sz w:val="19"/>
                                <w:szCs w:val="19"/>
                              </w:rPr>
                            </w:pPr>
                            <w:r>
                              <w:rPr>
                                <w:rFonts w:cs="Calibri" w:cstheme="minorHAnsi"/>
                                <w:sz w:val="19"/>
                                <w:szCs w:val="19"/>
                              </w:rPr>
                              <w:t>__________________________________________________________</w:t>
                            </w:r>
                          </w:p>
                          <w:p>
                            <w:pPr>
                              <w:pStyle w:val="Contedodoquadro"/>
                              <w:spacing w:lineRule="auto" w:line="240" w:before="120" w:after="240"/>
                              <w:jc w:val="both"/>
                              <w:rPr>
                                <w:rFonts w:cs="Calibri" w:cstheme="minorHAnsi"/>
                                <w:b/>
                              </w:rPr>
                            </w:pPr>
                            <w:r>
                              <w:rPr>
                                <w:rFonts w:cs="Calibri" w:cstheme="minorHAnsi"/>
                                <w:b/>
                              </w:rPr>
                            </w:r>
                          </w:p>
                          <w:p>
                            <w:pPr>
                              <w:pStyle w:val="Contedodoquadro"/>
                              <w:spacing w:lineRule="auto" w:line="240" w:before="120" w:after="240"/>
                              <w:jc w:val="both"/>
                              <w:rPr>
                                <w:rFonts w:cs="Calibri" w:cstheme="minorHAnsi"/>
                                <w:b/>
                              </w:rPr>
                            </w:pPr>
                            <w:r>
                              <w:rPr>
                                <w:rFonts w:cs="Calibri" w:cstheme="minorHAnsi"/>
                                <w:b/>
                              </w:rPr>
                              <w:t>Nesta Edição</w:t>
                            </w:r>
                          </w:p>
                          <w:p>
                            <w:pPr>
                              <w:pStyle w:val="Contedodoquadro"/>
                              <w:spacing w:lineRule="auto" w:line="240" w:before="120" w:after="120"/>
                              <w:jc w:val="both"/>
                              <w:rPr>
                                <w:rFonts w:cs="Calibri" w:cstheme="minorHAnsi"/>
                              </w:rPr>
                            </w:pPr>
                            <w:r>
                              <w:rPr>
                                <w:rFonts w:cs="Calibri" w:cstheme="minorHAnsi"/>
                              </w:rPr>
                              <w:t xml:space="preserve">A aplicação da Escala Brasileira de Insegurança Alimentar (EBIA) na Pesquisa Nacional por Amostra de Domicílios Contínua (PNAD Contínua) mostra os dados sobre a situação da segurança alimentar no Ceará em 2024. Em linhas gerais houve aumento da segurança alimentar nos domicílios cearenses, </w:t>
                            </w:r>
                            <w:r>
                              <w:rPr>
                                <w:rFonts w:cs="Calibri" w:cstheme="minorHAnsi"/>
                              </w:rPr>
                              <w:t>chegando a 69,5% de famílias em segurança alimentar.</w:t>
                            </w:r>
                          </w:p>
                          <w:p>
                            <w:pPr>
                              <w:pStyle w:val="Contedodoquadro"/>
                              <w:spacing w:lineRule="auto" w:line="240" w:before="120" w:after="120"/>
                              <w:jc w:val="both"/>
                              <w:rPr>
                                <w:rFonts w:cs="Calibri" w:cstheme="minorHAnsi"/>
                              </w:rPr>
                            </w:pPr>
                            <w:r>
                              <w:rPr>
                                <w:rFonts w:cs="Calibri" w:cstheme="minorHAnsi"/>
                              </w:rPr>
                              <w:t>Os perfis demográficos associados a menor segurança alimentar são o de pessoas do sexo feminino, pretas ou pardas, com baixa renda e baixa escolaridade. Do ponto de vista geográfico, as regiões dos Sertõe, Litoral Oriental e Vale do Jaguaribe estão associados também a menor segurança alimentar.</w:t>
                            </w:r>
                          </w:p>
                          <w:p>
                            <w:pPr>
                              <w:pStyle w:val="Contedodoquadro"/>
                              <w:spacing w:lineRule="auto" w:line="240" w:before="120" w:after="120"/>
                              <w:ind w:firstLine="567"/>
                              <w:jc w:val="both"/>
                              <w:rPr>
                                <w:rFonts w:cs="Calibri" w:cstheme="minorHAnsi"/>
                              </w:rPr>
                            </w:pPr>
                            <w:r>
                              <w:rPr>
                                <w:rFonts w:cs="Calibri" w:cstheme="minorHAnsi"/>
                              </w:rPr>
                            </w:r>
                          </w:p>
                          <w:p>
                            <w:pPr>
                              <w:pStyle w:val="Contedodoquadro"/>
                              <w:spacing w:lineRule="auto" w:line="240" w:before="120" w:after="120"/>
                              <w:jc w:val="both"/>
                              <w:rPr>
                                <w:rFonts w:cs="Calibri" w:cstheme="minorHAnsi"/>
                              </w:rPr>
                            </w:pPr>
                            <w:r>
                              <w:rPr/>
                            </w:r>
                          </w:p>
                        </w:txbxContent>
                      </wps:txbx>
                      <wps:bodyPr anchor="t">
                        <a:prstTxWarp prst="textNoShape"/>
                        <a:noAutofit/>
                      </wps:bodyPr>
                    </wps:wsp>
                  </a:graphicData>
                </a:graphic>
              </wp:anchor>
            </w:drawing>
          </mc:Choice>
          <mc:Fallback>
            <w:pict>
              <v:rect id="shape_0" ID="Caixa de Texto 9" path="m0,0l-2147483645,0l-2147483645,-2147483646l0,-2147483646xe" fillcolor="white" stroked="t" o:allowincell="f" style="position:absolute;margin-left:216.15pt;margin-top:-52.95pt;width:274.9pt;height:807.8pt;mso-wrap-style:square;v-text-anchor:top" wp14:anchorId="7A816AB0">
                <v:fill o:detectmouseclick="t" type="solid" color2="black"/>
                <v:stroke color="white" weight="3240" dashstyle="shortdot" joinstyle="round" endcap="flat"/>
                <v:textbox>
                  <w:txbxContent>
                    <w:p>
                      <w:pPr>
                        <w:pStyle w:val="Pargrafobsico"/>
                        <w:spacing w:lineRule="auto" w:line="240" w:before="0" w:after="120"/>
                        <w:jc w:val="both"/>
                        <w:rPr>
                          <w:rFonts w:ascii="Calibri" w:hAnsi="Calibri" w:cs="Calibri" w:asciiTheme="minorHAnsi" w:cstheme="minorHAnsi" w:hAnsiTheme="minorHAnsi"/>
                          <w:color w:val="auto"/>
                          <w:sz w:val="22"/>
                          <w:szCs w:val="22"/>
                        </w:rPr>
                      </w:pPr>
                      <w:r>
                        <w:rPr>
                          <w:rFonts w:cs="Calibri" w:ascii="Calibri" w:hAnsi="Calibri" w:asciiTheme="minorHAnsi" w:cstheme="minorHAnsi" w:hAnsiTheme="minorHAnsi"/>
                          <w:color w:val="auto"/>
                          <w:sz w:val="22"/>
                          <w:szCs w:val="22"/>
                        </w:rPr>
                        <w:t xml:space="preserve">Sobre o </w:t>
                      </w:r>
                      <w:r>
                        <w:rPr>
                          <w:rFonts w:cs="Calibri" w:ascii="Calibri" w:hAnsi="Calibri" w:asciiTheme="minorHAnsi" w:cstheme="minorHAnsi" w:hAnsiTheme="minorHAnsi"/>
                          <w:b/>
                          <w:bCs/>
                          <w:color w:val="auto"/>
                          <w:sz w:val="22"/>
                          <w:szCs w:val="22"/>
                        </w:rPr>
                        <w:t>IPECE Informe</w:t>
                      </w:r>
                    </w:p>
                    <w:p>
                      <w:pPr>
                        <w:pStyle w:val="Pargrafobsico"/>
                        <w:spacing w:lineRule="auto" w:line="312" w:before="360" w:after="600"/>
                        <w:jc w:val="both"/>
                        <w:rPr>
                          <w:rFonts w:ascii="Calibri" w:hAnsi="Calibri" w:cs="Calibri" w:asciiTheme="minorHAnsi" w:cstheme="minorHAnsi" w:hAnsiTheme="minorHAnsi"/>
                          <w:color w:val="auto"/>
                          <w:sz w:val="22"/>
                          <w:szCs w:val="22"/>
                        </w:rPr>
                      </w:pPr>
                      <w:r>
                        <w:rPr>
                          <w:rFonts w:cs="Calibri" w:ascii="Calibri" w:hAnsi="Calibri" w:asciiTheme="minorHAnsi" w:cstheme="minorHAnsi" w:hAnsiTheme="minorHAnsi"/>
                          <w:color w:val="auto"/>
                          <w:sz w:val="22"/>
                          <w:szCs w:val="22"/>
                        </w:rPr>
                        <w:t xml:space="preserve">A Série </w:t>
                      </w:r>
                      <w:r>
                        <w:rPr>
                          <w:rFonts w:cs="Calibri" w:ascii="Calibri" w:hAnsi="Calibri" w:asciiTheme="minorHAnsi" w:cstheme="minorHAnsi" w:hAnsiTheme="minorHAnsi"/>
                          <w:b/>
                          <w:bCs/>
                          <w:color w:val="auto"/>
                          <w:sz w:val="22"/>
                          <w:szCs w:val="22"/>
                        </w:rPr>
                        <w:t>IPECE Informe</w:t>
                      </w:r>
                      <w:r>
                        <w:rPr>
                          <w:rFonts w:cs="Calibri" w:ascii="Calibri" w:hAnsi="Calibri" w:asciiTheme="minorHAnsi" w:cstheme="minorHAnsi" w:hAnsiTheme="minorHAnsi"/>
                          <w:bCs/>
                          <w:color w:val="auto"/>
                          <w:sz w:val="22"/>
                          <w:szCs w:val="22"/>
                        </w:rPr>
                        <w:t>,</w:t>
                      </w:r>
                      <w:r>
                        <w:rPr>
                          <w:rFonts w:cs="Calibri" w:ascii="Calibri" w:hAnsi="Calibri" w:asciiTheme="minorHAnsi" w:cstheme="minorHAnsi" w:hAnsiTheme="minorHAnsi"/>
                          <w:color w:val="auto"/>
                          <w:sz w:val="22"/>
                          <w:szCs w:val="22"/>
                        </w:rPr>
                        <w:t xml:space="preserve"> disponibilizada pelo Instituto de Pesquisa e Estratégia Econômica do Ceará (IPECE), visa divulgar análises técnicas sobre temas relevantes de forma objetiva. Com esse documento, o Instituto busca promover debates sobre assuntos de interesse da sociedade, de um modo geral, abrindo espaço para realização de futuros estudos.</w:t>
                      </w:r>
                    </w:p>
                    <w:p>
                      <w:pPr>
                        <w:pStyle w:val="Contedodoquadro"/>
                        <w:suppressAutoHyphens w:val="true"/>
                        <w:spacing w:before="0" w:after="120"/>
                        <w:ind w:left="-142" w:right="-181"/>
                        <w:rPr>
                          <w:rFonts w:eastAsia="Calibri" w:cs="Calibri" w:cstheme="minorHAnsi"/>
                          <w:bCs/>
                          <w:sz w:val="19"/>
                          <w:szCs w:val="19"/>
                        </w:rPr>
                      </w:pPr>
                      <w:r>
                        <w:rPr>
                          <w:rFonts w:cs="Calibri" w:cstheme="minorHAnsi"/>
                          <w:sz w:val="19"/>
                          <w:szCs w:val="19"/>
                        </w:rPr>
                        <w:t>__________________________________________________________</w:t>
                      </w:r>
                    </w:p>
                    <w:p>
                      <w:pPr>
                        <w:pStyle w:val="Contedodoquadro"/>
                        <w:spacing w:before="0" w:after="120"/>
                        <w:rPr>
                          <w:rFonts w:eastAsia="" w:cs="Calibri" w:cstheme="minorHAnsi" w:eastAsiaTheme="minorEastAsia"/>
                          <w:color w:themeColor="text1" w:val="000000"/>
                        </w:rPr>
                      </w:pPr>
                      <w:r>
                        <w:rPr>
                          <w:rFonts w:eastAsia="" w:cs="Calibri" w:cstheme="minorHAnsi" w:eastAsiaTheme="minorEastAsia"/>
                          <w:color w:themeColor="text1" w:val="000000"/>
                        </w:rPr>
                        <w:t xml:space="preserve">Instituto de Pesquisa e Estratégia Econômica do Ceará – </w:t>
                      </w:r>
                      <w:r>
                        <w:rPr>
                          <w:rFonts w:eastAsia="" w:cs="Calibri" w:cstheme="minorHAnsi" w:eastAsiaTheme="minorEastAsia"/>
                          <w:b/>
                          <w:color w:themeColor="text1" w:val="000000"/>
                        </w:rPr>
                        <w:t>IPECE</w:t>
                      </w:r>
                      <w:r>
                        <w:rPr>
                          <w:rFonts w:eastAsia="" w:cs="Calibri" w:cstheme="minorHAnsi" w:eastAsiaTheme="minorEastAsia"/>
                          <w:color w:themeColor="text1" w:val="000000"/>
                        </w:rPr>
                        <w:t xml:space="preserve"> 2026</w:t>
                      </w:r>
                    </w:p>
                    <w:p>
                      <w:pPr>
                        <w:pStyle w:val="Contedodoquadro"/>
                        <w:rPr>
                          <w:rFonts w:eastAsia="" w:cs="Calibri" w:cstheme="minorHAnsi" w:eastAsiaTheme="minorEastAsia"/>
                          <w:color w:themeColor="text1" w:val="000000"/>
                        </w:rPr>
                      </w:pPr>
                      <w:r>
                        <w:rPr>
                          <w:rFonts w:eastAsia="" w:cs="Calibri" w:cstheme="minorHAnsi" w:eastAsiaTheme="minorEastAsia"/>
                          <w:color w:themeColor="text1" w:val="000000"/>
                        </w:rPr>
                        <w:t>IPECE informe / Instituto de Pesquisa e Estratégia Econômica do Ceará (IPECE) / Fortaleza – Ceará: Ipece, 2026</w:t>
                      </w:r>
                    </w:p>
                    <w:p>
                      <w:pPr>
                        <w:pStyle w:val="Contedodoquadro"/>
                        <w:spacing w:before="120" w:after="120"/>
                        <w:ind w:firstLine="284"/>
                        <w:rPr>
                          <w:rFonts w:eastAsia="" w:cs="Calibri" w:cstheme="minorHAnsi" w:eastAsiaTheme="minorEastAsia"/>
                          <w:color w:themeColor="text1" w:val="000000"/>
                        </w:rPr>
                      </w:pPr>
                      <w:r>
                        <w:rPr>
                          <w:rFonts w:eastAsia="" w:cs="Calibri" w:cstheme="minorHAnsi" w:eastAsiaTheme="minorEastAsia"/>
                          <w:color w:themeColor="text1" w:val="000000"/>
                        </w:rPr>
                        <w:t>ISSN: 2594-8717</w:t>
                      </w:r>
                    </w:p>
                    <w:p>
                      <w:pPr>
                        <w:pStyle w:val="Contedodoquadro"/>
                        <w:spacing w:before="0" w:after="0"/>
                        <w:ind w:firstLine="284"/>
                        <w:rPr>
                          <w:rFonts w:eastAsia="" w:cs="Calibri" w:cstheme="minorHAnsi" w:eastAsiaTheme="minorEastAsia"/>
                          <w:color w:themeColor="text1" w:val="000000"/>
                        </w:rPr>
                      </w:pPr>
                      <w:r>
                        <w:rPr>
                          <w:rFonts w:eastAsia="" w:cs="Calibri" w:cstheme="minorHAnsi" w:eastAsiaTheme="minorEastAsia"/>
                          <w:color w:themeColor="text1" w:val="000000"/>
                        </w:rPr>
                        <w:t>1. Economia Brasileira. 2. Economia Cearense. 3. Aspectos Econômicos. 4. Aspectos Sociais. 5. Mercado de Trabalho.</w:t>
                      </w:r>
                    </w:p>
                    <w:p>
                      <w:pPr>
                        <w:pStyle w:val="Contedodoquadro"/>
                        <w:spacing w:before="0" w:after="120"/>
                        <w:ind w:left="-142" w:right="-323"/>
                        <w:rPr>
                          <w:rFonts w:eastAsia="Calibri" w:cs="Calibri" w:cstheme="minorHAnsi"/>
                          <w:bCs/>
                          <w:sz w:val="19"/>
                          <w:szCs w:val="19"/>
                        </w:rPr>
                      </w:pPr>
                      <w:r>
                        <w:rPr>
                          <w:rFonts w:cs="Calibri" w:cstheme="minorHAnsi"/>
                          <w:sz w:val="19"/>
                          <w:szCs w:val="19"/>
                        </w:rPr>
                        <w:t>__________________________________________________________</w:t>
                      </w:r>
                    </w:p>
                    <w:p>
                      <w:pPr>
                        <w:pStyle w:val="Contedodoquadro"/>
                        <w:spacing w:lineRule="auto" w:line="240" w:before="120" w:after="240"/>
                        <w:jc w:val="both"/>
                        <w:rPr>
                          <w:rFonts w:cs="Calibri" w:cstheme="minorHAnsi"/>
                          <w:b/>
                        </w:rPr>
                      </w:pPr>
                      <w:r>
                        <w:rPr>
                          <w:rFonts w:cs="Calibri" w:cstheme="minorHAnsi"/>
                          <w:b/>
                        </w:rPr>
                      </w:r>
                    </w:p>
                    <w:p>
                      <w:pPr>
                        <w:pStyle w:val="Contedodoquadro"/>
                        <w:spacing w:lineRule="auto" w:line="240" w:before="120" w:after="240"/>
                        <w:jc w:val="both"/>
                        <w:rPr>
                          <w:rFonts w:cs="Calibri" w:cstheme="minorHAnsi"/>
                          <w:b/>
                        </w:rPr>
                      </w:pPr>
                      <w:r>
                        <w:rPr>
                          <w:rFonts w:cs="Calibri" w:cstheme="minorHAnsi"/>
                          <w:b/>
                        </w:rPr>
                        <w:t>Nesta Edição</w:t>
                      </w:r>
                    </w:p>
                    <w:p>
                      <w:pPr>
                        <w:pStyle w:val="Contedodoquadro"/>
                        <w:spacing w:lineRule="auto" w:line="240" w:before="120" w:after="120"/>
                        <w:jc w:val="both"/>
                        <w:rPr>
                          <w:rFonts w:cs="Calibri" w:cstheme="minorHAnsi"/>
                        </w:rPr>
                      </w:pPr>
                      <w:r>
                        <w:rPr>
                          <w:rFonts w:cs="Calibri" w:cstheme="minorHAnsi"/>
                        </w:rPr>
                        <w:t xml:space="preserve">A aplicação da Escala Brasileira de Insegurança Alimentar (EBIA) na Pesquisa Nacional por Amostra de Domicílios Contínua (PNAD Contínua) mostra os dados sobre a situação da segurança alimentar no Ceará em 2024. Em linhas gerais houve aumento da segurança alimentar nos domicílios cearenses, </w:t>
                      </w:r>
                      <w:r>
                        <w:rPr>
                          <w:rFonts w:cs="Calibri" w:cstheme="minorHAnsi"/>
                        </w:rPr>
                        <w:t>chegando a 69,5% de famílias em segurança alimentar.</w:t>
                      </w:r>
                    </w:p>
                    <w:p>
                      <w:pPr>
                        <w:pStyle w:val="Contedodoquadro"/>
                        <w:spacing w:lineRule="auto" w:line="240" w:before="120" w:after="120"/>
                        <w:jc w:val="both"/>
                        <w:rPr>
                          <w:rFonts w:cs="Calibri" w:cstheme="minorHAnsi"/>
                        </w:rPr>
                      </w:pPr>
                      <w:r>
                        <w:rPr>
                          <w:rFonts w:cs="Calibri" w:cstheme="minorHAnsi"/>
                        </w:rPr>
                        <w:t>Os perfis demográficos associados a menor segurança alimentar são o de pessoas do sexo feminino, pretas ou pardas, com baixa renda e baixa escolaridade. Do ponto de vista geográfico, as regiões dos Sertõe, Litoral Oriental e Vale do Jaguaribe estão associados também a menor segurança alimentar.</w:t>
                      </w:r>
                    </w:p>
                    <w:p>
                      <w:pPr>
                        <w:pStyle w:val="Contedodoquadro"/>
                        <w:spacing w:lineRule="auto" w:line="240" w:before="120" w:after="120"/>
                        <w:ind w:firstLine="567"/>
                        <w:jc w:val="both"/>
                        <w:rPr>
                          <w:rFonts w:cs="Calibri" w:cstheme="minorHAnsi"/>
                        </w:rPr>
                      </w:pPr>
                      <w:r>
                        <w:rPr>
                          <w:rFonts w:cs="Calibri" w:cstheme="minorHAnsi"/>
                        </w:rPr>
                      </w:r>
                    </w:p>
                    <w:p>
                      <w:pPr>
                        <w:pStyle w:val="Contedodoquadro"/>
                        <w:spacing w:lineRule="auto" w:line="240" w:before="120" w:after="120"/>
                        <w:jc w:val="both"/>
                        <w:rPr>
                          <w:rFonts w:cs="Calibri" w:cstheme="minorHAnsi"/>
                        </w:rPr>
                      </w:pPr>
                      <w:r>
                        <w:rPr/>
                      </w:r>
                    </w:p>
                  </w:txbxContent>
                </v:textbox>
                <w10:wrap type="none"/>
              </v:rect>
            </w:pict>
          </mc:Fallback>
        </mc:AlternateContent>
      </w:r>
    </w:p>
    <w:p>
      <w:pPr>
        <w:pStyle w:val="Heading2"/>
        <w:numPr>
          <w:ilvl w:val="0"/>
          <w:numId w:val="2"/>
        </w:numPr>
        <w:ind w:hanging="0" w:left="0"/>
        <w:rPr/>
      </w:pPr>
      <w:r>
        <w:rPr/>
        <w:t>Introdução</w:t>
      </w:r>
    </w:p>
    <w:p>
      <w:pPr>
        <w:pStyle w:val="FirstParagraph"/>
        <w:rPr/>
      </w:pPr>
      <w:r>
        <w:rPr/>
        <w:t>O Instituto Brasileiro de Geografia e Estatística (IBGE) divulgou os resultados mais recentes de 2024 da aplicação da Escala Brasileira de Insegurança Alimentar (EBIA), coletados por meio da Pesquisa Nacional por Amostra de Domicílios Contínua (PNAD Contínua). Trata-se da quinta divulgação de uma série histórica sobre o tema, o que possibilita a análise da evolução dos indicadores de Segurança Alimentar e Nutricional (SAN) no Brasil, no Nordeste e no Ceará ao longo dos últimos anos.</w:t>
      </w:r>
    </w:p>
    <w:p>
      <w:pPr>
        <w:pStyle w:val="BodyText"/>
        <w:rPr/>
      </w:pPr>
      <w:r>
        <w:rPr/>
        <w:t>Os resultados refletem as condições vivenciadas pelos moradores de domicílios particulares permanentes nos três meses anteriores à entrevista, realizada no quarto trimestre de 2024. A partir da EBIA, os domicílios são classificados em situação de Segurança Alimentar (SA) ou de Insegurança Alimentar (IA), esta última subdividida em graus leve, moderado e grave, de acordo com a severidade das restrições no acesso aos alimentos.</w:t>
      </w:r>
    </w:p>
    <w:p>
      <w:pPr>
        <w:pStyle w:val="BodyText"/>
        <w:rPr/>
      </w:pPr>
      <w:r>
        <w:rPr/>
        <w:t>Além de apresentar a evolução recente da segurança alimentar no Ceará, o relatório explora as desigualdades territoriais e socioeconômicas associadas ao fenômeno. São analisadas diferenças entre áreas urbanas e rurais, entre os diversos recortes geográficos do estado, bem como comparações com a média do Nordeste e do Brasil. Também são investigadas características dos domicílios e de seus responsáveis — como sexo, cor ou raça, escolaridade e renda — evidenciando como essas dimensões estruturam as desigualdades no acesso regular e permanente a alimentos adequados. Evolução da prevalência de segurança e insegurança alimentar no Ceará</w:t>
      </w:r>
    </w:p>
    <w:p>
      <w:pPr>
        <w:pStyle w:val="BodyText"/>
        <w:rPr/>
      </w:pPr>
      <w:r>
        <w:rPr/>
        <w:t xml:space="preserve">A PNAD Contínua estimou um total de 3,34 milhões de domicílios particulares permanentes no Ceará no quarto trimestre de 2024. Desse total, 69,5% encontravam-se em situação de segurança alimentar, condição caracterizada pelo acesso regular e permanente a alimentos de qualidade e em quantidade suficiente. Trata-se do maior percentual observado em toda a série histórica iniciada em 2004, ano em que o IBGE aplicou, pela primeira vez, a Escala Brasileira de Insegurança Alimentar (EBIA) para investigar a situação de segurança alimentar nos domicílios brasileiros, no âmbito da extinta Pesquisa Nacional por Amostra de Domicílios (PNAD), conforme ilustrado na </w:t>
      </w:r>
      <w:hyperlink w:anchor="fig-evolucao">
        <w:r>
          <w:rPr>
            <w:rStyle w:val="Hyperlink"/>
          </w:rPr>
          <w:t>Figura 1</w:t>
        </w:r>
      </w:hyperlink>
      <w:r>
        <w:rPr/>
        <w:t>.</w:t>
      </w:r>
      <w:r>
        <w:br w:type="page"/>
      </w:r>
    </w:p>
    <w:tbl>
      <w:tblPr>
        <w:tblStyle w:val="Table"/>
        <w:tblW w:w="5000" w:type="pct"/>
        <w:jc w:val="left"/>
        <w:tblInd w:w="0" w:type="dxa"/>
        <w:tblLayout w:type="fixed"/>
        <w:tblCellMar>
          <w:top w:w="0" w:type="dxa"/>
          <w:left w:w="108" w:type="dxa"/>
          <w:bottom w:w="0" w:type="dxa"/>
          <w:right w:w="108" w:type="dxa"/>
        </w:tblCellMar>
        <w:tblLook w:firstRow="0" w:noVBand="0" w:lastRow="0" w:firstColumn="0" w:lastColumn="0" w:noHBand="0" w:val="0000"/>
      </w:tblPr>
      <w:tblGrid>
        <w:gridCol w:w="9638"/>
      </w:tblGrid>
      <w:tr>
        <w:trPr/>
        <w:tc>
          <w:tcPr>
            <w:tcW w:w="9638" w:type="dxa"/>
            <w:tcBorders/>
          </w:tcPr>
          <w:p>
            <w:pPr>
              <w:pStyle w:val="ImageCaption"/>
              <w:pageBreakBefore/>
              <w:spacing w:before="0" w:after="120"/>
              <w:jc w:val="left"/>
              <w:rPr/>
            </w:pPr>
            <w:r>
              <w:rPr/>
              <w:t>Figura 1: Evolução da prevalência de segurança alimentar e insegurança leve, moderada e grave nos domicílios particulares permanentes - Ceará.</w:t>
            </w:r>
          </w:p>
          <w:p>
            <w:pPr>
              <w:pStyle w:val="Compact"/>
              <w:spacing w:before="36" w:after="36"/>
              <w:jc w:val="center"/>
              <w:rPr/>
            </w:pPr>
            <w:bookmarkStart w:id="0" w:name="fig-evolucao"/>
            <w:r>
              <w:rPr/>
              <w:drawing>
                <wp:inline distT="0" distB="0" distL="0" distR="0">
                  <wp:extent cx="5544185" cy="3696335"/>
                  <wp:effectExtent l="0" t="0" r="0" b="0"/>
                  <wp:docPr id="8"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
                          <pic:cNvPicPr>
                            <a:picLocks noChangeAspect="1" noChangeArrowheads="1"/>
                          </pic:cNvPicPr>
                        </pic:nvPicPr>
                        <pic:blipFill>
                          <a:blip r:embed="rId15"/>
                          <a:stretch>
                            <a:fillRect/>
                          </a:stretch>
                        </pic:blipFill>
                        <pic:spPr bwMode="auto">
                          <a:xfrm>
                            <a:off x="0" y="0"/>
                            <a:ext cx="5544185" cy="3696335"/>
                          </a:xfrm>
                          <a:prstGeom prst="rect">
                            <a:avLst/>
                          </a:prstGeom>
                          <a:noFill/>
                        </pic:spPr>
                      </pic:pic>
                    </a:graphicData>
                  </a:graphic>
                </wp:inline>
              </w:drawing>
            </w:r>
            <w:bookmarkEnd w:id="0"/>
          </w:p>
        </w:tc>
      </w:tr>
    </w:tbl>
    <w:p>
      <w:pPr>
        <w:pStyle w:val="Anotaouser"/>
        <w:rPr/>
      </w:pPr>
      <w:r>
        <w:rPr>
          <w:i/>
          <w:iCs/>
        </w:rPr>
        <w:t>Fonte: PNAD Contínua IBGE</w:t>
      </w:r>
    </w:p>
    <w:p>
      <w:pPr>
        <w:pStyle w:val="BodyText"/>
        <w:rPr/>
      </w:pPr>
      <w:r>
        <w:rPr/>
      </w:r>
    </w:p>
    <w:p>
      <w:pPr>
        <w:pStyle w:val="BodyText"/>
        <w:rPr/>
      </w:pPr>
      <w:r>
        <w:rPr/>
        <w:t>De forma inversa, o percentual de domicílios em que os moradores — inclusive crianças — passaram um dia inteiro sem comer por falta de dinheiro para a compra de alimentos (insegurança alimentar grave) atingiu, em 2024, o menor valor dos últimos 20 anos. Entre 2023 e 2024, a proporção de domicílios cearenses nessa situação caiu de 6,3% para 4,5%. Esse patamar é inferior, inclusive, ao observado em 2013 (5,1%), quando o Brasil saiu, pela primeira vez, do Mapa da Fome, segundo a Organização das Nações Unidas para a Alimentação e a Agricultura (FAO).</w:t>
      </w:r>
    </w:p>
    <w:p>
      <w:pPr>
        <w:pStyle w:val="BodyText"/>
        <w:rPr/>
      </w:pPr>
      <w:bookmarkStart w:id="1" w:name="introdução"/>
      <w:r>
        <w:rPr/>
        <w:t>No mesmo período, a insegurança alimentar leve apresentou redução de 21,4% para 19,8%, enquanto a insegurança alimentar moderada caiu de 7,5% para 6,2%. Com isso, a proporção de domicílios cearenses com algum grau de insegurança alimentar recuou de 35,1% para 30,5% entre 2023 e 2024. Observa-se que a queda foi mais acentuada na insegurança alimentar grave, com redução de 1,8 ponto percentual, ao passo que a insegurança alimentar leve e a moderada recuaram 1,6 e 1,3 ponto percentual, respectivamente.</w:t>
      </w:r>
      <w:bookmarkEnd w:id="1"/>
      <w:r>
        <w:br w:type="page"/>
      </w:r>
    </w:p>
    <w:p>
      <w:pPr>
        <w:pStyle w:val="Heading2"/>
        <w:numPr>
          <w:ilvl w:val="0"/>
          <w:numId w:val="2"/>
        </w:numPr>
        <w:spacing w:before="0" w:after="80"/>
        <w:ind w:hanging="0" w:left="0"/>
        <w:rPr/>
      </w:pPr>
      <w:r>
        <w:rPr/>
        <w:t>Situação de segurança alimentar no Ceará e recortes geográficos</w:t>
      </w:r>
    </w:p>
    <w:p>
      <w:pPr>
        <w:pStyle w:val="FirstParagraph"/>
        <w:rPr/>
      </w:pPr>
      <w:r>
        <w:rPr/>
        <w:t>Em números absolutos, dos 9,233 milhões de pessoas que compõem a população do Ceará, conforme estimativa da PNAD Contínua para o quarto trimestre de 2024, mais de 3 milhões — o equivalente a 33% da população total — viviam em domicílios com algum grau de insegurança alimentar. Desse contingente, cerca de 391 mil pessoas tiveram que reduzir a quantidade de alimentos consumidos, chegando, inclusive, a vivenciar a fome (insegurança alimentar grave). Apesar dessa realidade ainda preocupante, em comparação com 2023, aproximadamente 149 mil cearenses deixaram de passar fome, o que representa uma redução de 27,6% no número de pessoas em situação de insegurança alimentar grave no último ano.</w:t>
      </w:r>
    </w:p>
    <w:tbl>
      <w:tblPr>
        <w:tblW w:w="5000" w:type="pct"/>
        <w:jc w:val="center"/>
        <w:tblInd w:w="0" w:type="dxa"/>
        <w:tblLayout w:type="fixed"/>
        <w:tblCellMar>
          <w:top w:w="0" w:type="dxa"/>
          <w:left w:w="60" w:type="dxa"/>
          <w:bottom w:w="0" w:type="dxa"/>
          <w:right w:w="60" w:type="dxa"/>
        </w:tblCellMar>
        <w:tblLook w:firstRow="0" w:noVBand="0" w:lastRow="0" w:firstColumn="0" w:lastColumn="0" w:noHBand="0"/>
      </w:tblPr>
      <w:tblGrid>
        <w:gridCol w:w="1377"/>
        <w:gridCol w:w="1376"/>
        <w:gridCol w:w="1377"/>
        <w:gridCol w:w="1377"/>
        <w:gridCol w:w="1377"/>
        <w:gridCol w:w="1377"/>
        <w:gridCol w:w="1376"/>
      </w:tblGrid>
      <w:tr>
        <w:trPr/>
        <w:tc>
          <w:tcPr>
            <w:tcW w:w="9637" w:type="dxa"/>
            <w:gridSpan w:val="7"/>
            <w:tcBorders/>
          </w:tcPr>
          <w:p>
            <w:pPr>
              <w:pStyle w:val="ImageCaption"/>
              <w:spacing w:before="200" w:after="120"/>
              <w:jc w:val="left"/>
              <w:rPr/>
            </w:pPr>
            <w:r>
              <w:rPr/>
              <w:t>Tabela 1: Domicílios particulares e moradores em domicílios particulares, por situação do domicílio, segundo a situação de segurança alimentar existente no domicílio</w:t>
            </w:r>
          </w:p>
        </w:tc>
      </w:tr>
      <w:tr>
        <w:trPr>
          <w:cantSplit w:val="true"/>
        </w:trPr>
        <w:tc>
          <w:tcPr>
            <w:tcW w:w="1377" w:type="dxa"/>
            <w:tcBorders>
              <w:top w:val="single" w:sz="16" w:space="0" w:color="D3D3D3"/>
              <w:left w:val="single" w:sz="6" w:space="0" w:color="D3D3D3"/>
            </w:tcBorders>
          </w:tcPr>
          <w:p>
            <w:pPr>
              <w:pStyle w:val="Normal"/>
              <w:keepNext w:val="true"/>
              <w:spacing w:before="0" w:after="60"/>
              <w:rPr/>
            </w:pPr>
            <w:r>
              <w:rPr/>
            </w:r>
          </w:p>
        </w:tc>
        <w:tc>
          <w:tcPr>
            <w:tcW w:w="1376" w:type="dxa"/>
            <w:tcBorders>
              <w:top w:val="single" w:sz="16" w:space="0" w:color="D3D3D3"/>
              <w:bottom w:val="single" w:sz="16" w:space="0" w:color="D3D3D3"/>
            </w:tcBorders>
          </w:tcPr>
          <w:p>
            <w:pPr>
              <w:pStyle w:val="Normal"/>
              <w:keepNext w:val="true"/>
              <w:spacing w:before="0" w:after="60"/>
              <w:jc w:val="center"/>
              <w:rPr/>
            </w:pPr>
            <w:r>
              <w:rPr>
                <w:sz w:val="20"/>
              </w:rPr>
              <w:t>Domicílios</w:t>
            </w:r>
          </w:p>
        </w:tc>
        <w:tc>
          <w:tcPr>
            <w:tcW w:w="6884" w:type="dxa"/>
            <w:gridSpan w:val="5"/>
            <w:tcBorders>
              <w:top w:val="single" w:sz="16" w:space="0" w:color="D3D3D3"/>
              <w:bottom w:val="single" w:sz="16" w:space="0" w:color="D3D3D3"/>
              <w:right w:val="single" w:sz="6" w:space="0" w:color="D3D3D3"/>
            </w:tcBorders>
          </w:tcPr>
          <w:p>
            <w:pPr>
              <w:pStyle w:val="Normal"/>
              <w:keepNext w:val="true"/>
              <w:spacing w:before="0" w:after="60"/>
              <w:jc w:val="center"/>
              <w:rPr/>
            </w:pPr>
            <w:r>
              <w:rPr>
                <w:sz w:val="20"/>
              </w:rPr>
              <w:t>Moradores</w:t>
            </w:r>
          </w:p>
        </w:tc>
      </w:tr>
      <w:tr>
        <w:trPr>
          <w:cantSplit w:val="true"/>
        </w:trPr>
        <w:tc>
          <w:tcPr>
            <w:tcW w:w="1377" w:type="dxa"/>
            <w:tcBorders>
              <w:left w:val="single" w:sz="6" w:space="0" w:color="D3D3D3"/>
              <w:bottom w:val="single" w:sz="16" w:space="0" w:color="D3D3D3"/>
            </w:tcBorders>
          </w:tcPr>
          <w:p>
            <w:pPr>
              <w:pStyle w:val="Normal"/>
              <w:keepNext w:val="true"/>
              <w:spacing w:before="0" w:after="60"/>
              <w:jc w:val="left"/>
              <w:rPr/>
            </w:pPr>
            <w:r>
              <w:rPr>
                <w:sz w:val="20"/>
              </w:rPr>
              <w:t>Categoria</w:t>
            </w:r>
          </w:p>
        </w:tc>
        <w:tc>
          <w:tcPr>
            <w:tcW w:w="1376" w:type="dxa"/>
            <w:tcBorders>
              <w:bottom w:val="single" w:sz="16" w:space="0" w:color="D3D3D3"/>
            </w:tcBorders>
          </w:tcPr>
          <w:p>
            <w:pPr>
              <w:pStyle w:val="Normal"/>
              <w:keepNext w:val="true"/>
              <w:spacing w:before="0" w:after="60"/>
              <w:jc w:val="right"/>
              <w:rPr/>
            </w:pPr>
            <w:r>
              <w:rPr>
                <w:sz w:val="20"/>
              </w:rPr>
              <w:t>Rural</w:t>
            </w:r>
          </w:p>
        </w:tc>
        <w:tc>
          <w:tcPr>
            <w:tcW w:w="1377" w:type="dxa"/>
            <w:tcBorders>
              <w:bottom w:val="single" w:sz="16" w:space="0" w:color="D3D3D3"/>
            </w:tcBorders>
          </w:tcPr>
          <w:p>
            <w:pPr>
              <w:pStyle w:val="Normal"/>
              <w:keepNext w:val="true"/>
              <w:spacing w:before="0" w:after="60"/>
              <w:jc w:val="right"/>
              <w:rPr/>
            </w:pPr>
            <w:r>
              <w:rPr>
                <w:sz w:val="20"/>
              </w:rPr>
              <w:t>Urbana</w:t>
            </w:r>
          </w:p>
        </w:tc>
        <w:tc>
          <w:tcPr>
            <w:tcW w:w="1377" w:type="dxa"/>
            <w:tcBorders>
              <w:bottom w:val="single" w:sz="16" w:space="0" w:color="D3D3D3"/>
            </w:tcBorders>
          </w:tcPr>
          <w:p>
            <w:pPr>
              <w:pStyle w:val="Normal"/>
              <w:keepNext w:val="true"/>
              <w:spacing w:before="0" w:after="60"/>
              <w:jc w:val="right"/>
              <w:rPr/>
            </w:pPr>
            <w:r>
              <w:rPr>
                <w:sz w:val="20"/>
              </w:rPr>
              <w:t>Total</w:t>
            </w:r>
          </w:p>
        </w:tc>
        <w:tc>
          <w:tcPr>
            <w:tcW w:w="1377" w:type="dxa"/>
            <w:tcBorders>
              <w:bottom w:val="single" w:sz="16" w:space="0" w:color="D3D3D3"/>
            </w:tcBorders>
          </w:tcPr>
          <w:p>
            <w:pPr>
              <w:pStyle w:val="Normal"/>
              <w:keepNext w:val="true"/>
              <w:spacing w:before="0" w:after="60"/>
              <w:jc w:val="right"/>
              <w:rPr/>
            </w:pPr>
            <w:r>
              <w:rPr>
                <w:sz w:val="20"/>
              </w:rPr>
              <w:t>Rural</w:t>
            </w:r>
          </w:p>
        </w:tc>
        <w:tc>
          <w:tcPr>
            <w:tcW w:w="1377" w:type="dxa"/>
            <w:tcBorders>
              <w:bottom w:val="single" w:sz="16" w:space="0" w:color="D3D3D3"/>
            </w:tcBorders>
          </w:tcPr>
          <w:p>
            <w:pPr>
              <w:pStyle w:val="Normal"/>
              <w:keepNext w:val="true"/>
              <w:spacing w:before="0" w:after="60"/>
              <w:jc w:val="right"/>
              <w:rPr/>
            </w:pPr>
            <w:r>
              <w:rPr>
                <w:sz w:val="20"/>
              </w:rPr>
              <w:t>Urbana</w:t>
            </w:r>
          </w:p>
        </w:tc>
        <w:tc>
          <w:tcPr>
            <w:tcW w:w="1376" w:type="dxa"/>
            <w:tcBorders>
              <w:bottom w:val="single" w:sz="16" w:space="0" w:color="D3D3D3"/>
              <w:right w:val="single" w:sz="6" w:space="0" w:color="D3D3D3"/>
            </w:tcBorders>
          </w:tcPr>
          <w:p>
            <w:pPr>
              <w:pStyle w:val="Normal"/>
              <w:keepNext w:val="true"/>
              <w:spacing w:before="0" w:after="60"/>
              <w:jc w:val="right"/>
              <w:rPr/>
            </w:pPr>
            <w:r>
              <w:rPr>
                <w:sz w:val="20"/>
              </w:rPr>
              <w:t>Total</w:t>
            </w:r>
          </w:p>
        </w:tc>
      </w:tr>
      <w:tr>
        <w:trPr>
          <w:cantSplit w:val="true"/>
        </w:trPr>
        <w:tc>
          <w:tcPr>
            <w:tcW w:w="9637" w:type="dxa"/>
            <w:gridSpan w:val="7"/>
            <w:tcBorders>
              <w:top w:val="single" w:sz="16" w:space="0" w:color="D3D3D3"/>
              <w:left w:val="single" w:sz="6" w:space="0" w:color="D3D3D3"/>
              <w:bottom w:val="single" w:sz="16" w:space="0" w:color="D3D3D3"/>
              <w:right w:val="single" w:sz="6" w:space="0" w:color="D3D3D3"/>
            </w:tcBorders>
            <w:tcMar>
              <w:top w:w="25" w:type="dxa"/>
            </w:tcMar>
          </w:tcPr>
          <w:p>
            <w:pPr>
              <w:pStyle w:val="Normal"/>
              <w:keepNext w:val="true"/>
              <w:spacing w:before="0" w:after="60"/>
              <w:jc w:val="center"/>
              <w:rPr/>
            </w:pPr>
            <w:r>
              <w:rPr>
                <w:b/>
                <w:sz w:val="20"/>
              </w:rPr>
              <w:t>PNADC 2023</w:t>
            </w:r>
          </w:p>
        </w:tc>
      </w:tr>
      <w:tr>
        <w:trPr>
          <w:cantSplit w:val="true"/>
        </w:trPr>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sz w:val="20"/>
              </w:rPr>
              <w:t>Segurança alimentar</w:t>
            </w:r>
          </w:p>
        </w:tc>
        <w:tc>
          <w:tcPr>
            <w:tcW w:w="1376"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418</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1.681</w:t>
            </w:r>
          </w:p>
        </w:tc>
        <w:tc>
          <w:tcPr>
            <w:tcW w:w="137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2.099</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1.170</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4.625</w:t>
            </w:r>
          </w:p>
        </w:tc>
        <w:tc>
          <w:tcPr>
            <w:tcW w:w="1376"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5.796</w:t>
            </w:r>
          </w:p>
        </w:tc>
      </w:tr>
      <w:tr>
        <w:trPr>
          <w:cantSplit w:val="true"/>
        </w:trPr>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sz w:val="20"/>
              </w:rPr>
              <w:t>Insegurança alimentar leve</w:t>
            </w:r>
          </w:p>
        </w:tc>
        <w:tc>
          <w:tcPr>
            <w:tcW w:w="1376"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168</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524</w:t>
            </w:r>
          </w:p>
        </w:tc>
        <w:tc>
          <w:tcPr>
            <w:tcW w:w="137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692</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544</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1.601</w:t>
            </w:r>
          </w:p>
        </w:tc>
        <w:tc>
          <w:tcPr>
            <w:tcW w:w="1376"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2.144</w:t>
            </w:r>
          </w:p>
        </w:tc>
      </w:tr>
      <w:tr>
        <w:trPr>
          <w:cantSplit w:val="true"/>
        </w:trPr>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sz w:val="20"/>
              </w:rPr>
              <w:t>Insegurança alimentar moderada</w:t>
            </w:r>
          </w:p>
        </w:tc>
        <w:tc>
          <w:tcPr>
            <w:tcW w:w="1376"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61</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182</w:t>
            </w:r>
          </w:p>
        </w:tc>
        <w:tc>
          <w:tcPr>
            <w:tcW w:w="137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242</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186</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530</w:t>
            </w:r>
          </w:p>
        </w:tc>
        <w:tc>
          <w:tcPr>
            <w:tcW w:w="1376"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716</w:t>
            </w:r>
          </w:p>
        </w:tc>
      </w:tr>
      <w:tr>
        <w:trPr>
          <w:cantSplit w:val="true"/>
        </w:trPr>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sz w:val="20"/>
              </w:rPr>
              <w:t>Insegurança alimentar grave</w:t>
            </w:r>
          </w:p>
        </w:tc>
        <w:tc>
          <w:tcPr>
            <w:tcW w:w="1376"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43</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160</w:t>
            </w:r>
          </w:p>
        </w:tc>
        <w:tc>
          <w:tcPr>
            <w:tcW w:w="137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203</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117</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423</w:t>
            </w:r>
          </w:p>
        </w:tc>
        <w:tc>
          <w:tcPr>
            <w:tcW w:w="1376"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540</w:t>
            </w:r>
          </w:p>
        </w:tc>
      </w:tr>
      <w:tr>
        <w:trPr>
          <w:cantSplit w:val="true"/>
        </w:trPr>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sz w:val="20"/>
              </w:rPr>
              <w:t>Insegurança alimentar</w:t>
            </w:r>
          </w:p>
        </w:tc>
        <w:tc>
          <w:tcPr>
            <w:tcW w:w="1376"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272</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866</w:t>
            </w:r>
          </w:p>
        </w:tc>
        <w:tc>
          <w:tcPr>
            <w:tcW w:w="137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1.138</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846</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2.553</w:t>
            </w:r>
          </w:p>
        </w:tc>
        <w:tc>
          <w:tcPr>
            <w:tcW w:w="1376"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3.400</w:t>
            </w:r>
          </w:p>
        </w:tc>
      </w:tr>
      <w:tr>
        <w:trPr>
          <w:cantSplit w:val="true"/>
        </w:trPr>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sz w:val="20"/>
              </w:rPr>
              <w:t>Total</w:t>
            </w:r>
          </w:p>
        </w:tc>
        <w:tc>
          <w:tcPr>
            <w:tcW w:w="1376"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690</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2.547</w:t>
            </w:r>
          </w:p>
        </w:tc>
        <w:tc>
          <w:tcPr>
            <w:tcW w:w="137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3.237</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2.017</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7.179</w:t>
            </w:r>
          </w:p>
        </w:tc>
        <w:tc>
          <w:tcPr>
            <w:tcW w:w="1376"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9.195</w:t>
            </w:r>
          </w:p>
        </w:tc>
      </w:tr>
      <w:tr>
        <w:trPr>
          <w:cantSplit w:val="true"/>
        </w:trPr>
        <w:tc>
          <w:tcPr>
            <w:tcW w:w="9637" w:type="dxa"/>
            <w:gridSpan w:val="7"/>
            <w:tcBorders>
              <w:top w:val="single" w:sz="16" w:space="0" w:color="D3D3D3"/>
              <w:left w:val="single" w:sz="6" w:space="0" w:color="D3D3D3"/>
              <w:bottom w:val="single" w:sz="16" w:space="0" w:color="D3D3D3"/>
              <w:right w:val="single" w:sz="6" w:space="0" w:color="D3D3D3"/>
            </w:tcBorders>
            <w:tcMar>
              <w:top w:w="25" w:type="dxa"/>
            </w:tcMar>
          </w:tcPr>
          <w:p>
            <w:pPr>
              <w:pStyle w:val="Normal"/>
              <w:keepNext w:val="true"/>
              <w:spacing w:before="0" w:after="60"/>
              <w:jc w:val="center"/>
              <w:rPr/>
            </w:pPr>
            <w:r>
              <w:rPr>
                <w:b/>
                <w:sz w:val="20"/>
              </w:rPr>
              <w:t>PNADC 2024</w:t>
            </w:r>
          </w:p>
        </w:tc>
      </w:tr>
      <w:tr>
        <w:trPr>
          <w:cantSplit w:val="true"/>
        </w:trPr>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sz w:val="20"/>
              </w:rPr>
              <w:t>Segurança alimentar</w:t>
            </w:r>
          </w:p>
        </w:tc>
        <w:tc>
          <w:tcPr>
            <w:tcW w:w="1376"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436</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1.888</w:t>
            </w:r>
          </w:p>
        </w:tc>
        <w:tc>
          <w:tcPr>
            <w:tcW w:w="137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2.324</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1.200</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5.028</w:t>
            </w:r>
          </w:p>
        </w:tc>
        <w:tc>
          <w:tcPr>
            <w:tcW w:w="1376"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6.228</w:t>
            </w:r>
          </w:p>
        </w:tc>
      </w:tr>
      <w:tr>
        <w:trPr>
          <w:cantSplit w:val="true"/>
        </w:trPr>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sz w:val="20"/>
              </w:rPr>
              <w:t>Insegurança alimentar leve</w:t>
            </w:r>
          </w:p>
        </w:tc>
        <w:tc>
          <w:tcPr>
            <w:tcW w:w="1376"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186</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476</w:t>
            </w:r>
          </w:p>
        </w:tc>
        <w:tc>
          <w:tcPr>
            <w:tcW w:w="137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662</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593</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1.445</w:t>
            </w:r>
          </w:p>
        </w:tc>
        <w:tc>
          <w:tcPr>
            <w:tcW w:w="1376"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2.038</w:t>
            </w:r>
          </w:p>
        </w:tc>
      </w:tr>
      <w:tr>
        <w:trPr>
          <w:cantSplit w:val="true"/>
        </w:trPr>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sz w:val="20"/>
              </w:rPr>
              <w:t>Insegurança alimentar moderada</w:t>
            </w:r>
          </w:p>
        </w:tc>
        <w:tc>
          <w:tcPr>
            <w:tcW w:w="1376"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55</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153</w:t>
            </w:r>
          </w:p>
        </w:tc>
        <w:tc>
          <w:tcPr>
            <w:tcW w:w="137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209</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160</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416</w:t>
            </w:r>
          </w:p>
        </w:tc>
        <w:tc>
          <w:tcPr>
            <w:tcW w:w="1376"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576</w:t>
            </w:r>
          </w:p>
        </w:tc>
      </w:tr>
      <w:tr>
        <w:trPr>
          <w:cantSplit w:val="true"/>
        </w:trPr>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sz w:val="20"/>
              </w:rPr>
              <w:t>Insegurança alimentar grave</w:t>
            </w:r>
          </w:p>
        </w:tc>
        <w:tc>
          <w:tcPr>
            <w:tcW w:w="1376"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27</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122</w:t>
            </w:r>
          </w:p>
        </w:tc>
        <w:tc>
          <w:tcPr>
            <w:tcW w:w="137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149</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75</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315</w:t>
            </w:r>
          </w:p>
        </w:tc>
        <w:tc>
          <w:tcPr>
            <w:tcW w:w="1376"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391</w:t>
            </w:r>
          </w:p>
        </w:tc>
      </w:tr>
      <w:tr>
        <w:trPr>
          <w:cantSplit w:val="true"/>
        </w:trPr>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sz w:val="20"/>
              </w:rPr>
              <w:t>Insegurança alimentar</w:t>
            </w:r>
          </w:p>
        </w:tc>
        <w:tc>
          <w:tcPr>
            <w:tcW w:w="1376"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268</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751</w:t>
            </w:r>
          </w:p>
        </w:tc>
        <w:tc>
          <w:tcPr>
            <w:tcW w:w="137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1.019</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828</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2.177</w:t>
            </w:r>
          </w:p>
        </w:tc>
        <w:tc>
          <w:tcPr>
            <w:tcW w:w="1376"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3.005</w:t>
            </w:r>
          </w:p>
        </w:tc>
      </w:tr>
      <w:tr>
        <w:trPr>
          <w:cantSplit w:val="true"/>
        </w:trPr>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sz w:val="20"/>
              </w:rPr>
              <w:t>Total</w:t>
            </w:r>
          </w:p>
        </w:tc>
        <w:tc>
          <w:tcPr>
            <w:tcW w:w="1376"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705</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2.639</w:t>
            </w:r>
          </w:p>
        </w:tc>
        <w:tc>
          <w:tcPr>
            <w:tcW w:w="137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3.344</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2.028</w:t>
            </w:r>
          </w:p>
        </w:tc>
        <w:tc>
          <w:tcPr>
            <w:tcW w:w="137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sz w:val="20"/>
              </w:rPr>
              <w:t>7.204</w:t>
            </w:r>
          </w:p>
        </w:tc>
        <w:tc>
          <w:tcPr>
            <w:tcW w:w="1376"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b/>
                <w:sz w:val="20"/>
              </w:rPr>
              <w:t>9.233</w:t>
            </w:r>
            <w:bookmarkStart w:id="2" w:name="tbl-domicilios"/>
            <w:bookmarkEnd w:id="2"/>
          </w:p>
        </w:tc>
      </w:tr>
    </w:tbl>
    <w:p>
      <w:pPr>
        <w:pStyle w:val="Anotaouser"/>
        <w:rPr/>
      </w:pPr>
      <w:r>
        <w:rPr>
          <w:i/>
          <w:iCs/>
        </w:rPr>
        <w:t>Fonte: PNAD Contínua IBGE</w:t>
      </w:r>
    </w:p>
    <w:p>
      <w:pPr>
        <w:pStyle w:val="BodyText"/>
        <w:rPr/>
      </w:pPr>
      <w:r>
        <w:rPr/>
        <w:t>No que se refere à situação do domicílio, estima-se que, em cerca de 751 mil domicílios urbanos, os moradores enfrentaram algum grau de insegurança alimentar. Desses, aproximadamente 476 mil apresentaram preocupação com a possibilidade de não dispor de recursos financeiros para a compra de alimentos no futuro próximo; em outros 153 mil domicílios, os moradores tiveram que consumir uma quantidade menor de alimentos do que a desejada; e, em cerca de 122 mil domicílios, os moradores — inclusive as crianças — conviveram com a fome.</w:t>
      </w:r>
    </w:p>
    <w:p>
      <w:pPr>
        <w:pStyle w:val="BodyText"/>
        <w:rPr/>
      </w:pPr>
      <w:r>
        <w:rPr/>
        <w:t>Na zona rural, a insegurança alimentar grave esteve presente em aproximadamente 27 mil domicílios; em 55 mil, os moradores precisaram reduzir a quantidade de alimentos consumidos; e, em 186 mil domicílios, houve preocupação com a falta de alimentos no futuro próximo.</w:t>
      </w:r>
    </w:p>
    <w:p>
      <w:pPr>
        <w:pStyle w:val="BodyText"/>
        <w:rPr/>
      </w:pPr>
      <w:r>
        <w:rPr/>
        <w:t xml:space="preserve">A </w:t>
      </w:r>
      <w:hyperlink w:anchor="fig-situacao">
        <w:r>
          <w:rPr>
            <w:rStyle w:val="Hyperlink"/>
          </w:rPr>
          <w:t>Figura 2</w:t>
        </w:r>
      </w:hyperlink>
      <w:r>
        <w:rPr/>
        <w:t xml:space="preserve"> apresenta a prevalência de segurança alimentar segundo a situação do domicílio. Observa-se melhora nos indicadores tanto nos domicílios urbanos quanto nos rurais. Na zona rural, a proporção de domicílios em segurança alimentar aumentou de 60,6% para 61,9%, enquanto, na zona urbana, o percentual passou de 66,0% para 71,5%.</w:t>
      </w:r>
    </w:p>
    <w:p>
      <w:pPr>
        <w:pStyle w:val="BodyText"/>
        <w:rPr/>
      </w:pPr>
      <w:r>
        <w:rPr/>
        <w:t>Embora o número absoluto de domicílios urbanos com algum grau de insegurança alimentar seja significativamente maior do que o observado na zona rural, isso se explica pelo fato de que 78,9% dos domicílios do estado localizam-se em áreas urbanas, ao passo que apenas 21,1% estão em áreas rurais. Em termos relativos, contudo, a prevalência da insegurança alimentar é maior entre os domicílios rurais.</w:t>
      </w:r>
    </w:p>
    <w:tbl>
      <w:tblPr>
        <w:tblStyle w:val="Table"/>
        <w:tblW w:w="5000" w:type="pct"/>
        <w:jc w:val="left"/>
        <w:tblInd w:w="0" w:type="dxa"/>
        <w:tblLayout w:type="fixed"/>
        <w:tblCellMar>
          <w:top w:w="0" w:type="dxa"/>
          <w:left w:w="108" w:type="dxa"/>
          <w:bottom w:w="0" w:type="dxa"/>
          <w:right w:w="108" w:type="dxa"/>
        </w:tblCellMar>
        <w:tblLook w:firstRow="0" w:noVBand="0" w:lastRow="0" w:firstColumn="0" w:lastColumn="0" w:noHBand="0" w:val="0000"/>
      </w:tblPr>
      <w:tblGrid>
        <w:gridCol w:w="9638"/>
      </w:tblGrid>
      <w:tr>
        <w:trPr/>
        <w:tc>
          <w:tcPr>
            <w:tcW w:w="9638" w:type="dxa"/>
            <w:tcBorders/>
          </w:tcPr>
          <w:p>
            <w:pPr>
              <w:pStyle w:val="ImageCaption"/>
              <w:spacing w:before="200" w:after="120"/>
              <w:jc w:val="left"/>
              <w:rPr/>
            </w:pPr>
            <w:r>
              <w:rPr/>
              <w:t>Figura 2: Percentual de domicílios particulares permanentes por situação de segurança alimentar, segundo a situação do domicílio. Ceará - 2024</w:t>
            </w:r>
          </w:p>
          <w:p>
            <w:pPr>
              <w:pStyle w:val="Compact"/>
              <w:spacing w:before="36" w:after="36"/>
              <w:jc w:val="center"/>
              <w:rPr/>
            </w:pPr>
            <w:bookmarkStart w:id="3" w:name="fig-situacao"/>
            <w:r>
              <w:rPr/>
              <w:drawing>
                <wp:inline distT="0" distB="0" distL="0" distR="0">
                  <wp:extent cx="5544185" cy="3696335"/>
                  <wp:effectExtent l="0" t="0" r="0" b="0"/>
                  <wp:docPr id="9"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2" descr=""/>
                          <pic:cNvPicPr>
                            <a:picLocks noChangeAspect="1" noChangeArrowheads="1"/>
                          </pic:cNvPicPr>
                        </pic:nvPicPr>
                        <pic:blipFill>
                          <a:blip r:embed="rId16"/>
                          <a:stretch>
                            <a:fillRect/>
                          </a:stretch>
                        </pic:blipFill>
                        <pic:spPr bwMode="auto">
                          <a:xfrm>
                            <a:off x="0" y="0"/>
                            <a:ext cx="5544185" cy="3696335"/>
                          </a:xfrm>
                          <a:prstGeom prst="rect">
                            <a:avLst/>
                          </a:prstGeom>
                          <a:noFill/>
                        </pic:spPr>
                      </pic:pic>
                    </a:graphicData>
                  </a:graphic>
                </wp:inline>
              </w:drawing>
            </w:r>
            <w:bookmarkEnd w:id="3"/>
          </w:p>
        </w:tc>
      </w:tr>
    </w:tbl>
    <w:p>
      <w:pPr>
        <w:pStyle w:val="Anotaouser"/>
        <w:rPr/>
      </w:pPr>
      <w:r>
        <w:rPr>
          <w:i/>
          <w:iCs/>
        </w:rPr>
        <w:t>Fonte: PNAD Contínua IBGE</w:t>
      </w:r>
    </w:p>
    <w:p>
      <w:pPr>
        <w:pStyle w:val="BodyText"/>
        <w:rPr/>
      </w:pPr>
      <w:r>
        <w:rPr/>
        <w:t xml:space="preserve">A </w:t>
      </w:r>
      <w:hyperlink w:anchor="fig-estratos">
        <w:r>
          <w:rPr>
            <w:rStyle w:val="Hyperlink"/>
          </w:rPr>
          <w:t>Figura 3</w:t>
        </w:r>
      </w:hyperlink>
      <w:r>
        <w:rPr/>
        <w:t xml:space="preserve"> apresenta o percentual de domicílios particulares permanentes por situação de segurança alimentar, de acordo com os estratos geográficos do Estado do Ceará. Os maiores níveis de segurança alimentar foram observados no município de Fortaleza (76,3%), seguido por seu entorno metropolitano (72,5%) e pelo Litoral Ocidental e Norte (70,8%), que também correspondem aos estratos mais populosos do estado. Em contrapartida, o Litoral Oriental – Vale do Rio Jaguaribe apresentou a menor proporção de domicílios em segurança alimentar (60,6%), seguido pela região dos Sertões (60,8%).</w:t>
      </w:r>
    </w:p>
    <w:tbl>
      <w:tblPr>
        <w:tblStyle w:val="Table"/>
        <w:tblW w:w="5000" w:type="pct"/>
        <w:jc w:val="left"/>
        <w:tblInd w:w="0" w:type="dxa"/>
        <w:tblLayout w:type="fixed"/>
        <w:tblCellMar>
          <w:top w:w="0" w:type="dxa"/>
          <w:left w:w="108" w:type="dxa"/>
          <w:bottom w:w="0" w:type="dxa"/>
          <w:right w:w="108" w:type="dxa"/>
        </w:tblCellMar>
        <w:tblLook w:firstRow="0" w:noVBand="0" w:lastRow="0" w:firstColumn="0" w:lastColumn="0" w:noHBand="0" w:val="0000"/>
      </w:tblPr>
      <w:tblGrid>
        <w:gridCol w:w="9638"/>
      </w:tblGrid>
      <w:tr>
        <w:trPr/>
        <w:tc>
          <w:tcPr>
            <w:tcW w:w="9638" w:type="dxa"/>
            <w:tcBorders/>
          </w:tcPr>
          <w:p>
            <w:pPr>
              <w:pStyle w:val="ImageCaption"/>
              <w:spacing w:before="200" w:after="120"/>
              <w:jc w:val="left"/>
              <w:rPr/>
            </w:pPr>
            <w:r>
              <w:rPr/>
              <w:t>Figura 3: Percentual de domicílios particulares permanentes por situação de segurança alimentar, segundo os recortes geográficos. Ceará - 2024</w:t>
            </w:r>
          </w:p>
          <w:p>
            <w:pPr>
              <w:pStyle w:val="Compact"/>
              <w:spacing w:before="36" w:after="36"/>
              <w:jc w:val="center"/>
              <w:rPr/>
            </w:pPr>
            <w:bookmarkStart w:id="4" w:name="fig-estratos"/>
            <w:r>
              <w:rPr/>
              <w:drawing>
                <wp:inline distT="0" distB="0" distL="0" distR="0">
                  <wp:extent cx="5544185" cy="3696335"/>
                  <wp:effectExtent l="0" t="0" r="0" b="0"/>
                  <wp:docPr id="10"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3" descr=""/>
                          <pic:cNvPicPr>
                            <a:picLocks noChangeAspect="1" noChangeArrowheads="1"/>
                          </pic:cNvPicPr>
                        </pic:nvPicPr>
                        <pic:blipFill>
                          <a:blip r:embed="rId17"/>
                          <a:stretch>
                            <a:fillRect/>
                          </a:stretch>
                        </pic:blipFill>
                        <pic:spPr bwMode="auto">
                          <a:xfrm>
                            <a:off x="0" y="0"/>
                            <a:ext cx="5544185" cy="3696335"/>
                          </a:xfrm>
                          <a:prstGeom prst="rect">
                            <a:avLst/>
                          </a:prstGeom>
                          <a:noFill/>
                        </pic:spPr>
                      </pic:pic>
                    </a:graphicData>
                  </a:graphic>
                </wp:inline>
              </w:drawing>
            </w:r>
            <w:bookmarkEnd w:id="4"/>
          </w:p>
        </w:tc>
      </w:tr>
    </w:tbl>
    <w:p>
      <w:pPr>
        <w:pStyle w:val="Anotaouser"/>
        <w:rPr/>
      </w:pPr>
      <w:r>
        <w:rPr>
          <w:i/>
          <w:iCs/>
        </w:rPr>
        <w:t>Fonte: PNAD Contínua IBGE</w:t>
      </w:r>
    </w:p>
    <w:p>
      <w:pPr>
        <w:pStyle w:val="BodyText"/>
        <w:rPr/>
      </w:pPr>
      <w:r>
        <w:rPr/>
      </w:r>
    </w:p>
    <w:p>
      <w:pPr>
        <w:pStyle w:val="BodyText"/>
        <w:rPr/>
      </w:pPr>
      <w:r>
        <w:rPr/>
        <w:t>Chama atenção a relação entre os maiores estratos geográficos do Ceará e a ocorrência de insegurança alimentar grave. O Entorno Metropolitano de Fortaleza, apesar de apresentar elevada proporção de domicílios em segurança alimentar, também registrou a maior prevalência de insegurança alimentar grave (5,2%). Ao analisar a distribuição dos domicílios por estrato geográfico segundo a situação de insegurança alimentar (</w:t>
      </w:r>
      <w:hyperlink w:anchor="fig-distribuicaoestratos">
        <w:r>
          <w:rPr>
            <w:rStyle w:val="Hyperlink"/>
          </w:rPr>
          <w:t>Figura 4</w:t>
        </w:r>
      </w:hyperlink>
      <w:r>
        <w:rPr/>
        <w:t>), observa-se que esse estrato concentra 15,0% do total de domicílios do estado, mas responde por 17,4% daqueles em situação de insegurança alimentar grave. Fenômeno semelhante ocorre em Fortaleza, que representa 29,1% do total de domicílios, mas concentra 30,9% dos domicílios em situação de insegurança alimentar grave.</w:t>
      </w:r>
      <w:r>
        <w:br w:type="page"/>
      </w:r>
    </w:p>
    <w:tbl>
      <w:tblPr>
        <w:tblStyle w:val="Table"/>
        <w:tblW w:w="5000" w:type="pct"/>
        <w:jc w:val="left"/>
        <w:tblInd w:w="0" w:type="dxa"/>
        <w:tblLayout w:type="fixed"/>
        <w:tblCellMar>
          <w:top w:w="0" w:type="dxa"/>
          <w:left w:w="108" w:type="dxa"/>
          <w:bottom w:w="0" w:type="dxa"/>
          <w:right w:w="108" w:type="dxa"/>
        </w:tblCellMar>
        <w:tblLook w:firstRow="0" w:noVBand="0" w:lastRow="0" w:firstColumn="0" w:lastColumn="0" w:noHBand="0" w:val="0000"/>
      </w:tblPr>
      <w:tblGrid>
        <w:gridCol w:w="9638"/>
      </w:tblGrid>
      <w:tr>
        <w:trPr/>
        <w:tc>
          <w:tcPr>
            <w:tcW w:w="9638" w:type="dxa"/>
            <w:tcBorders/>
          </w:tcPr>
          <w:p>
            <w:pPr>
              <w:pStyle w:val="ImageCaption"/>
              <w:pageBreakBefore/>
              <w:spacing w:before="0" w:after="120"/>
              <w:jc w:val="left"/>
              <w:rPr/>
            </w:pPr>
            <w:r>
              <w:rPr/>
              <w:t>Figura 4: Distribuição dos domicílios por recortes geográficos, segundo a situação de segurança alimentar – Ceará – 2024</w:t>
            </w:r>
          </w:p>
          <w:p>
            <w:pPr>
              <w:pStyle w:val="Compact"/>
              <w:spacing w:before="36" w:after="36"/>
              <w:jc w:val="center"/>
              <w:rPr/>
            </w:pPr>
            <w:bookmarkStart w:id="5" w:name="fig-distribuicaoestratos"/>
            <w:r>
              <w:rPr/>
              <w:drawing>
                <wp:inline distT="0" distB="0" distL="0" distR="0">
                  <wp:extent cx="5544185" cy="3696335"/>
                  <wp:effectExtent l="0" t="0" r="0" b="0"/>
                  <wp:docPr id="11"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4" descr=""/>
                          <pic:cNvPicPr>
                            <a:picLocks noChangeAspect="1" noChangeArrowheads="1"/>
                          </pic:cNvPicPr>
                        </pic:nvPicPr>
                        <pic:blipFill>
                          <a:blip r:embed="rId18"/>
                          <a:stretch>
                            <a:fillRect/>
                          </a:stretch>
                        </pic:blipFill>
                        <pic:spPr bwMode="auto">
                          <a:xfrm>
                            <a:off x="0" y="0"/>
                            <a:ext cx="5544185" cy="3696335"/>
                          </a:xfrm>
                          <a:prstGeom prst="rect">
                            <a:avLst/>
                          </a:prstGeom>
                          <a:noFill/>
                        </pic:spPr>
                      </pic:pic>
                    </a:graphicData>
                  </a:graphic>
                </wp:inline>
              </w:drawing>
            </w:r>
            <w:bookmarkEnd w:id="5"/>
          </w:p>
        </w:tc>
      </w:tr>
    </w:tbl>
    <w:p>
      <w:pPr>
        <w:pStyle w:val="Anotaouser"/>
        <w:rPr/>
      </w:pPr>
      <w:bookmarkStart w:id="6" w:name="X404ef196817fb185a26280111b8c727389f8b94"/>
      <w:r>
        <w:rPr>
          <w:i/>
          <w:iCs/>
        </w:rPr>
        <w:t>Fonte: PNAD Contínua IBGE</w:t>
      </w:r>
      <w:bookmarkEnd w:id="6"/>
    </w:p>
    <w:p>
      <w:pPr>
        <w:pStyle w:val="Heading2"/>
        <w:numPr>
          <w:ilvl w:val="0"/>
          <w:numId w:val="0"/>
        </w:numPr>
        <w:ind w:hanging="0" w:left="754"/>
        <w:rPr/>
      </w:pPr>
      <w:r>
        <w:rPr/>
      </w:r>
      <w:r>
        <w:br w:type="page"/>
      </w:r>
    </w:p>
    <w:p>
      <w:pPr>
        <w:pStyle w:val="Heading2"/>
        <w:numPr>
          <w:ilvl w:val="0"/>
          <w:numId w:val="2"/>
        </w:numPr>
        <w:spacing w:before="0" w:after="80"/>
        <w:ind w:hanging="0" w:left="0"/>
        <w:rPr/>
      </w:pPr>
      <w:r>
        <w:rPr/>
        <w:t>Situação de segurança alimentar: comparação Brasil, Nordeste e Ceará</w:t>
      </w:r>
    </w:p>
    <w:p>
      <w:pPr>
        <w:pStyle w:val="FirstParagraph"/>
        <w:rPr/>
      </w:pPr>
      <w:r>
        <w:rPr/>
        <w:t xml:space="preserve">Os dados apresentados na </w:t>
      </w:r>
      <w:hyperlink w:anchor="fig-comparacao">
        <w:r>
          <w:rPr>
            <w:rStyle w:val="Hyperlink"/>
          </w:rPr>
          <w:t>Figura 5</w:t>
        </w:r>
      </w:hyperlink>
      <w:r>
        <w:rPr/>
        <w:t xml:space="preserve"> permitem comparar a situação da segurança alimentar no Brasil, no Nordeste e no Ceará em 2024. O percentual de domicílios cearenses em situação de segurança alimentar (69,5%) foi superior à média da região Nordeste (64,3%), mas inferior à média nacional (75,8%).</w:t>
      </w:r>
    </w:p>
    <w:p>
      <w:pPr>
        <w:pStyle w:val="BodyText"/>
        <w:rPr/>
      </w:pPr>
      <w:r>
        <w:rPr/>
        <w:t>Consequentemente, a prevalência de domicílios com algum grau de insegurança alimentar no estado é maior do que a média do país. Por outro lado, na comparação regional, observa-se que os percentuais de domicílios em insegurança alimentar leve e moderada são inferiores no Ceará em relação à média do Nordeste.</w:t>
      </w:r>
    </w:p>
    <w:tbl>
      <w:tblPr>
        <w:tblStyle w:val="Table"/>
        <w:tblW w:w="5000" w:type="pct"/>
        <w:jc w:val="left"/>
        <w:tblInd w:w="0" w:type="dxa"/>
        <w:tblLayout w:type="fixed"/>
        <w:tblCellMar>
          <w:top w:w="0" w:type="dxa"/>
          <w:left w:w="108" w:type="dxa"/>
          <w:bottom w:w="0" w:type="dxa"/>
          <w:right w:w="108" w:type="dxa"/>
        </w:tblCellMar>
        <w:tblLook w:firstRow="0" w:noVBand="0" w:lastRow="0" w:firstColumn="0" w:lastColumn="0" w:noHBand="0" w:val="0000"/>
      </w:tblPr>
      <w:tblGrid>
        <w:gridCol w:w="9638"/>
      </w:tblGrid>
      <w:tr>
        <w:trPr>
          <w:trHeight w:val="6015" w:hRule="atLeast"/>
        </w:trPr>
        <w:tc>
          <w:tcPr>
            <w:tcW w:w="9638" w:type="dxa"/>
            <w:tcBorders/>
          </w:tcPr>
          <w:p>
            <w:pPr>
              <w:pStyle w:val="ImageCaption"/>
              <w:spacing w:before="200" w:after="120"/>
              <w:jc w:val="left"/>
              <w:rPr/>
            </w:pPr>
            <w:r>
              <w:rPr/>
              <w:t>Figura 5: Distribuição dos domicílios particulares permanentes por situação de segurança alimentar existente no domicílio. Brasil, Nordeste e Ceará - 2024</w:t>
            </w:r>
          </w:p>
          <w:p>
            <w:pPr>
              <w:pStyle w:val="Compact"/>
              <w:spacing w:before="36" w:after="36"/>
              <w:jc w:val="center"/>
              <w:rPr/>
            </w:pPr>
            <w:bookmarkStart w:id="7" w:name="fig-comparacao"/>
            <w:r>
              <w:rPr/>
              <w:drawing>
                <wp:inline distT="0" distB="0" distL="0" distR="0">
                  <wp:extent cx="4309110" cy="3176905"/>
                  <wp:effectExtent l="0" t="0" r="0" b="0"/>
                  <wp:docPr id="12"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5" descr=""/>
                          <pic:cNvPicPr>
                            <a:picLocks noChangeAspect="1" noChangeArrowheads="1"/>
                          </pic:cNvPicPr>
                        </pic:nvPicPr>
                        <pic:blipFill>
                          <a:blip r:embed="rId19"/>
                          <a:stretch>
                            <a:fillRect/>
                          </a:stretch>
                        </pic:blipFill>
                        <pic:spPr bwMode="auto">
                          <a:xfrm>
                            <a:off x="0" y="0"/>
                            <a:ext cx="4309110" cy="3176905"/>
                          </a:xfrm>
                          <a:prstGeom prst="rect">
                            <a:avLst/>
                          </a:prstGeom>
                          <a:noFill/>
                        </pic:spPr>
                      </pic:pic>
                    </a:graphicData>
                  </a:graphic>
                </wp:inline>
              </w:drawing>
            </w:r>
            <w:bookmarkEnd w:id="7"/>
          </w:p>
        </w:tc>
      </w:tr>
    </w:tbl>
    <w:p>
      <w:pPr>
        <w:pStyle w:val="Anotaouser"/>
        <w:rPr/>
      </w:pPr>
      <w:r>
        <w:rPr>
          <w:i/>
          <w:iCs/>
        </w:rPr>
        <w:t>Fonte: PNAD Contínua IBGE</w:t>
      </w:r>
    </w:p>
    <w:p>
      <w:pPr>
        <w:pStyle w:val="BodyText"/>
        <w:rPr/>
      </w:pPr>
      <w:r>
        <w:rPr/>
        <w:t>Para qualificar adequadamente os resultados dessa comparação, é necessário considerar as desigualdades regionais no acesso aos alimentos no Brasil. Em 2024, a região Nordeste apresentou a penúltima proporção de domicílios particulares em situação de segurança alimentar, posicionando-se à frente apenas da região Norte (62,4%). Essas duas regiões também concentraram os maiores percentuais de domicílios em situação de insegurança alimentar grave.</w:t>
      </w:r>
    </w:p>
    <w:p>
      <w:pPr>
        <w:pStyle w:val="BodyText"/>
        <w:rPr/>
      </w:pPr>
      <w:bookmarkStart w:id="8" w:name="Xbf088f053afcf6a0aa0e313120a59ebe6b56b5d"/>
      <w:r>
        <w:rPr/>
        <w:t>No comparativo entre os estados nordestinos, o Ceará ocupou a segunda posição em termos de segurança alimentar, ficando atrás apenas do Rio Grande do Norte (70,6%). Por outro lado, o estado situou-se em posição intermediária no ranking da proporção de domicílios em insegurança alimentar grave, à frente de Pernambuco (4,9%) e de Alagoas (5,0%), porém atrás de Sergipe e Piauí, ambos com 4,0%.</w:t>
      </w:r>
      <w:bookmarkEnd w:id="8"/>
    </w:p>
    <w:p>
      <w:pPr>
        <w:pStyle w:val="Heading2"/>
        <w:numPr>
          <w:ilvl w:val="0"/>
          <w:numId w:val="2"/>
        </w:numPr>
        <w:ind w:hanging="0" w:left="0"/>
        <w:rPr/>
      </w:pPr>
      <w:r>
        <w:rPr/>
        <w:t>Características dos domicílios e de seus moradores</w:t>
      </w:r>
    </w:p>
    <w:p>
      <w:pPr>
        <w:pStyle w:val="FirstParagraph"/>
        <w:rPr/>
      </w:pPr>
      <w:r>
        <w:rPr/>
        <w:t>Nesta seção, comparam-se algumas características dos responsáveis pelos domicílios do Ceará nas duas últimas edições da PNAD Contínua (2023 e 2024), com o objetivo de compreender como a situação de segurança alimentar se relaciona a diferentes contextos sociais.</w:t>
      </w:r>
    </w:p>
    <w:p>
      <w:pPr>
        <w:pStyle w:val="BodyText"/>
        <w:rPr/>
      </w:pPr>
      <w:r>
        <w:rPr/>
        <w:t xml:space="preserve">Inicialmente, a </w:t>
      </w:r>
      <w:hyperlink w:anchor="fig-sexo">
        <w:r>
          <w:rPr>
            <w:rStyle w:val="Hyperlink"/>
          </w:rPr>
          <w:t>Figura 6</w:t>
        </w:r>
      </w:hyperlink>
      <w:r>
        <w:rPr/>
        <w:t xml:space="preserve"> apresenta a situação de segurança alimentar segundo o sexo do responsável pelo domicílio. A prevalência da segurança alimentar é menor nos domicílios chefiados por mulheres (66,1%) em comparação àqueles chefiados por homens (74,0%). Entretanto, entre 2023 e 2024, o avanço da segurança alimentar foi mais intenso nos domicílios chefiados por mulheres, com aumento de 5,7 pontos percentuais (p.p.), contra 3,5 p.p. nos domicílios chefiados por homens. A redução da insegurança alimentar grave, por sua vez, foi maior entre os domicílios chefiados por homens (2,4 p.p.), em comparação aos chefiados por mulheres (1,4 p.p.).</w:t>
      </w:r>
    </w:p>
    <w:tbl>
      <w:tblPr>
        <w:tblStyle w:val="Table"/>
        <w:tblW w:w="5000" w:type="pct"/>
        <w:jc w:val="left"/>
        <w:tblInd w:w="0" w:type="dxa"/>
        <w:tblLayout w:type="fixed"/>
        <w:tblCellMar>
          <w:top w:w="0" w:type="dxa"/>
          <w:left w:w="108" w:type="dxa"/>
          <w:bottom w:w="0" w:type="dxa"/>
          <w:right w:w="108" w:type="dxa"/>
        </w:tblCellMar>
        <w:tblLook w:firstRow="0" w:noVBand="0" w:lastRow="0" w:firstColumn="0" w:lastColumn="0" w:noHBand="0" w:val="0000"/>
      </w:tblPr>
      <w:tblGrid>
        <w:gridCol w:w="9638"/>
      </w:tblGrid>
      <w:tr>
        <w:trPr/>
        <w:tc>
          <w:tcPr>
            <w:tcW w:w="9638" w:type="dxa"/>
            <w:tcBorders/>
          </w:tcPr>
          <w:p>
            <w:pPr>
              <w:pStyle w:val="ImageCaption"/>
              <w:spacing w:before="200" w:after="120"/>
              <w:jc w:val="left"/>
              <w:rPr/>
            </w:pPr>
            <w:r>
              <w:rPr/>
              <w:t>Figura 6: Domicílios particulares, por situação de segurança alimentar, segundo o sexo da pessoa responsável pelo domicílio. Ceará – 2023 e 2024</w:t>
            </w:r>
          </w:p>
          <w:p>
            <w:pPr>
              <w:pStyle w:val="Compact"/>
              <w:spacing w:before="36" w:after="36"/>
              <w:jc w:val="center"/>
              <w:rPr/>
            </w:pPr>
            <w:bookmarkStart w:id="9" w:name="fig-sexo"/>
            <w:r>
              <w:rPr/>
              <w:drawing>
                <wp:inline distT="0" distB="0" distL="0" distR="0">
                  <wp:extent cx="5544185" cy="3696335"/>
                  <wp:effectExtent l="0" t="0" r="0" b="0"/>
                  <wp:docPr id="13" name="Figura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6" descr=""/>
                          <pic:cNvPicPr>
                            <a:picLocks noChangeAspect="1" noChangeArrowheads="1"/>
                          </pic:cNvPicPr>
                        </pic:nvPicPr>
                        <pic:blipFill>
                          <a:blip r:embed="rId20"/>
                          <a:stretch>
                            <a:fillRect/>
                          </a:stretch>
                        </pic:blipFill>
                        <pic:spPr bwMode="auto">
                          <a:xfrm>
                            <a:off x="0" y="0"/>
                            <a:ext cx="5544185" cy="3696335"/>
                          </a:xfrm>
                          <a:prstGeom prst="rect">
                            <a:avLst/>
                          </a:prstGeom>
                          <a:noFill/>
                        </pic:spPr>
                      </pic:pic>
                    </a:graphicData>
                  </a:graphic>
                </wp:inline>
              </w:drawing>
            </w:r>
            <w:bookmarkEnd w:id="9"/>
          </w:p>
        </w:tc>
      </w:tr>
    </w:tbl>
    <w:p>
      <w:pPr>
        <w:pStyle w:val="Anotaouser"/>
        <w:rPr/>
      </w:pPr>
      <w:r>
        <w:rPr>
          <w:i/>
          <w:iCs/>
        </w:rPr>
        <w:t>Fonte: PNAD Contínua IBGE</w:t>
      </w:r>
    </w:p>
    <w:p>
      <w:pPr>
        <w:pStyle w:val="BodyText"/>
        <w:rPr/>
      </w:pPr>
      <w:r>
        <w:rPr/>
      </w:r>
    </w:p>
    <w:p>
      <w:pPr>
        <w:pStyle w:val="BodyText"/>
        <w:rPr/>
      </w:pPr>
      <w:r>
        <w:rPr/>
        <w:t>No que se refere à cor ou raça do responsável pelo domicílio, 67,7% dos domicílios chefiados por pretos ou pardos encontravam-se em situação de segurança alimentar, proporção inferior à observada entre aqueles chefiados por pessoas brancas (75,9%). Ainda assim, o aumento da segurança alimentar entre pretos e pardos entre 2023 e 2024 foi mais expressivo (5,2 p.p.) do que entre os brancos (3,6 p.p.).</w:t>
      </w:r>
    </w:p>
    <w:p>
      <w:pPr>
        <w:pStyle w:val="BodyText"/>
        <w:rPr/>
      </w:pPr>
      <w:r>
        <w:rPr/>
        <w:t>A insegurança alimentar grave permanece mais elevada entre domicílios chefiados por pretos ou pardos, atingindo 4,8%, embora tenha apresentado redução de 1,7 p.p. em relação ao ano anterior. Entre os domicílios chefiados por pessoas brancas, esse percentual foi de 3,1%, com queda mais acentuada, de 2,3 p.p.</w:t>
      </w:r>
    </w:p>
    <w:tbl>
      <w:tblPr>
        <w:tblStyle w:val="Table"/>
        <w:tblW w:w="5000" w:type="pct"/>
        <w:jc w:val="left"/>
        <w:tblInd w:w="0" w:type="dxa"/>
        <w:tblLayout w:type="fixed"/>
        <w:tblCellMar>
          <w:top w:w="0" w:type="dxa"/>
          <w:left w:w="108" w:type="dxa"/>
          <w:bottom w:w="0" w:type="dxa"/>
          <w:right w:w="108" w:type="dxa"/>
        </w:tblCellMar>
        <w:tblLook w:firstRow="0" w:noVBand="0" w:lastRow="0" w:firstColumn="0" w:lastColumn="0" w:noHBand="0" w:val="0000"/>
      </w:tblPr>
      <w:tblGrid>
        <w:gridCol w:w="9638"/>
      </w:tblGrid>
      <w:tr>
        <w:trPr/>
        <w:tc>
          <w:tcPr>
            <w:tcW w:w="9638" w:type="dxa"/>
            <w:tcBorders/>
          </w:tcPr>
          <w:p>
            <w:pPr>
              <w:pStyle w:val="ImageCaption"/>
              <w:spacing w:before="200" w:after="120"/>
              <w:jc w:val="left"/>
              <w:rPr/>
            </w:pPr>
            <w:r>
              <w:rPr/>
            </w:r>
          </w:p>
          <w:p>
            <w:pPr>
              <w:pStyle w:val="ImageCaption"/>
              <w:spacing w:before="200" w:after="120"/>
              <w:jc w:val="left"/>
              <w:rPr/>
            </w:pPr>
            <w:r>
              <w:rPr/>
            </w:r>
          </w:p>
          <w:p>
            <w:pPr>
              <w:pStyle w:val="ImageCaption"/>
              <w:spacing w:before="200" w:after="120"/>
              <w:jc w:val="left"/>
              <w:rPr/>
            </w:pPr>
            <w:r>
              <w:rPr/>
              <w:t>Figura 7: Domicílios particulares, por situação de segurança alimentar, segundo a raça da pessoa responsável pelo domicílio. Ceará – 2023 e 2024</w:t>
            </w:r>
          </w:p>
          <w:p>
            <w:pPr>
              <w:pStyle w:val="Compact"/>
              <w:spacing w:before="36" w:after="36"/>
              <w:jc w:val="center"/>
              <w:rPr/>
            </w:pPr>
            <w:bookmarkStart w:id="10" w:name="fig-raca"/>
            <w:r>
              <w:rPr/>
              <w:drawing>
                <wp:inline distT="0" distB="0" distL="0" distR="0">
                  <wp:extent cx="5544185" cy="3696335"/>
                  <wp:effectExtent l="0" t="0" r="0" b="0"/>
                  <wp:docPr id="14" name="Figura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7" descr=""/>
                          <pic:cNvPicPr>
                            <a:picLocks noChangeAspect="1" noChangeArrowheads="1"/>
                          </pic:cNvPicPr>
                        </pic:nvPicPr>
                        <pic:blipFill>
                          <a:blip r:embed="rId21"/>
                          <a:stretch>
                            <a:fillRect/>
                          </a:stretch>
                        </pic:blipFill>
                        <pic:spPr bwMode="auto">
                          <a:xfrm>
                            <a:off x="0" y="0"/>
                            <a:ext cx="5544185" cy="3696335"/>
                          </a:xfrm>
                          <a:prstGeom prst="rect">
                            <a:avLst/>
                          </a:prstGeom>
                          <a:noFill/>
                        </pic:spPr>
                      </pic:pic>
                    </a:graphicData>
                  </a:graphic>
                </wp:inline>
              </w:drawing>
            </w:r>
            <w:bookmarkEnd w:id="10"/>
          </w:p>
        </w:tc>
      </w:tr>
    </w:tbl>
    <w:p>
      <w:pPr>
        <w:pStyle w:val="Anotaouser"/>
        <w:rPr/>
      </w:pPr>
      <w:r>
        <w:rPr>
          <w:i/>
          <w:iCs/>
        </w:rPr>
        <w:t>Fonte: PNAD Contínua IBGE</w:t>
      </w:r>
    </w:p>
    <w:p>
      <w:pPr>
        <w:pStyle w:val="BodyText"/>
        <w:rPr/>
      </w:pPr>
      <w:r>
        <w:rPr/>
      </w:r>
    </w:p>
    <w:p>
      <w:pPr>
        <w:pStyle w:val="BodyText"/>
        <w:rPr/>
      </w:pPr>
      <w:r>
        <w:rPr/>
        <w:t>Em relação à escolaridade do responsável pelo domicílio, observa-se que 63,5% dos domicílios chefiados por pessoas com escolaridade inferior ao ensino fundamental completo estavam em situação de segurança alimentar, frente a 73,8% daqueles chefiados por pessoas com, pelo menos, o ensino fundamental completo. Entre 2023 e 2024, o aumento da segurança alimentar foi de 4,9 p.p. no primeiro grupo e de 4,4 p.p. no segundo.</w:t>
      </w:r>
    </w:p>
    <w:p>
      <w:pPr>
        <w:pStyle w:val="BodyText"/>
        <w:rPr/>
      </w:pPr>
      <w:r>
        <w:rPr/>
        <w:t>A insegurança alimentar grave também se mostrou mais frequente entre domicílios chefiados por pessoas com menor escolaridade, atingindo 6,5% desses domicílios, embora com redução expressiva de 3,0 p.p. em comparação a 2023. Entre domicílios chefiados por pessoas com maior nível de escolaridade, a insegurança alimentar grave foi observada em 3,0%, registrando diminuição de 0,9 p.p. no mesmo período.</w:t>
      </w:r>
      <w:r>
        <w:br w:type="page"/>
      </w:r>
    </w:p>
    <w:tbl>
      <w:tblPr>
        <w:tblStyle w:val="Table"/>
        <w:tblW w:w="5000" w:type="pct"/>
        <w:jc w:val="left"/>
        <w:tblInd w:w="0" w:type="dxa"/>
        <w:tblLayout w:type="fixed"/>
        <w:tblCellMar>
          <w:top w:w="0" w:type="dxa"/>
          <w:left w:w="108" w:type="dxa"/>
          <w:bottom w:w="0" w:type="dxa"/>
          <w:right w:w="108" w:type="dxa"/>
        </w:tblCellMar>
        <w:tblLook w:firstRow="0" w:noVBand="0" w:lastRow="0" w:firstColumn="0" w:lastColumn="0" w:noHBand="0" w:val="0000"/>
      </w:tblPr>
      <w:tblGrid>
        <w:gridCol w:w="9638"/>
      </w:tblGrid>
      <w:tr>
        <w:trPr/>
        <w:tc>
          <w:tcPr>
            <w:tcW w:w="9638" w:type="dxa"/>
            <w:tcBorders/>
          </w:tcPr>
          <w:p>
            <w:pPr>
              <w:pStyle w:val="ImageCaption"/>
              <w:pageBreakBefore/>
              <w:spacing w:before="0" w:after="120"/>
              <w:jc w:val="left"/>
              <w:rPr/>
            </w:pPr>
            <w:r>
              <w:rPr/>
              <w:t>Figura 8: Domicílios particulares, por situação de segurança alimentar,segundo a faixa de escolaridade da pessoa responsável pelo domicílio. Ceará – 2023 e 2024</w:t>
            </w:r>
          </w:p>
          <w:p>
            <w:pPr>
              <w:pStyle w:val="Compact"/>
              <w:spacing w:before="36" w:after="36"/>
              <w:jc w:val="center"/>
              <w:rPr/>
            </w:pPr>
            <w:bookmarkStart w:id="11" w:name="fig-escolaridade"/>
            <w:r>
              <w:rPr/>
              <w:drawing>
                <wp:inline distT="0" distB="0" distL="0" distR="0">
                  <wp:extent cx="5544185" cy="3696335"/>
                  <wp:effectExtent l="0" t="0" r="0" b="0"/>
                  <wp:docPr id="15" name="Figura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8" descr=""/>
                          <pic:cNvPicPr>
                            <a:picLocks noChangeAspect="1" noChangeArrowheads="1"/>
                          </pic:cNvPicPr>
                        </pic:nvPicPr>
                        <pic:blipFill>
                          <a:blip r:embed="rId22"/>
                          <a:stretch>
                            <a:fillRect/>
                          </a:stretch>
                        </pic:blipFill>
                        <pic:spPr bwMode="auto">
                          <a:xfrm>
                            <a:off x="0" y="0"/>
                            <a:ext cx="5544185" cy="3696335"/>
                          </a:xfrm>
                          <a:prstGeom prst="rect">
                            <a:avLst/>
                          </a:prstGeom>
                          <a:noFill/>
                        </pic:spPr>
                      </pic:pic>
                    </a:graphicData>
                  </a:graphic>
                </wp:inline>
              </w:drawing>
            </w:r>
            <w:bookmarkEnd w:id="11"/>
          </w:p>
        </w:tc>
      </w:tr>
    </w:tbl>
    <w:p>
      <w:pPr>
        <w:pStyle w:val="Anotaouser"/>
        <w:rPr/>
      </w:pPr>
      <w:r>
        <w:rPr>
          <w:i/>
          <w:iCs/>
        </w:rPr>
        <w:t>Fonte: PNAD Contínua IBGE</w:t>
      </w:r>
    </w:p>
    <w:p>
      <w:pPr>
        <w:pStyle w:val="BodyText"/>
        <w:rPr/>
      </w:pPr>
      <w:r>
        <w:rPr/>
      </w:r>
    </w:p>
    <w:p>
      <w:pPr>
        <w:pStyle w:val="BodyText"/>
        <w:rPr/>
      </w:pPr>
      <w:r>
        <w:rPr/>
        <w:t>Quanto à renda, ao comparar domicílios com renda familiar per capita inferior a ½ salário mínimo com aqueles com renda per capita igual ou superior a esse patamar, verifica-se que os domicílios de menor renda apresentaram 55,1% de segurança alimentar, enquanto entre os de maior renda esse percentual alcançou 78,2%. A melhora observada nos domicílios de menor renda entre 2023 e 2024 foi de 5,1 p.p., superior ao aumento de 3,5 p.p. registrado entre os domicílios de maior renda.</w:t>
      </w:r>
    </w:p>
    <w:p>
      <w:pPr>
        <w:pStyle w:val="BodyText"/>
        <w:rPr/>
      </w:pPr>
      <w:r>
        <w:rPr/>
        <w:t>Por fim, a insegurança alimentar grave esteve presente em 7,6% dos domicílios com renda per capita de até ½ salário mínimo, apresentando redução de 2,7 p.p. em relação ao ano anterior. Entre os domicílios com renda per capita superior a ½ salário mínimo, a prevalência foi de 2,5%, com queda de 1,1 p.p.</w:t>
      </w:r>
      <w:r>
        <w:br w:type="page"/>
      </w:r>
    </w:p>
    <w:tbl>
      <w:tblPr>
        <w:tblStyle w:val="Table"/>
        <w:tblW w:w="5000" w:type="pct"/>
        <w:jc w:val="left"/>
        <w:tblInd w:w="0" w:type="dxa"/>
        <w:tblLayout w:type="fixed"/>
        <w:tblCellMar>
          <w:top w:w="0" w:type="dxa"/>
          <w:left w:w="108" w:type="dxa"/>
          <w:bottom w:w="0" w:type="dxa"/>
          <w:right w:w="108" w:type="dxa"/>
        </w:tblCellMar>
        <w:tblLook w:firstRow="0" w:noVBand="0" w:lastRow="0" w:firstColumn="0" w:lastColumn="0" w:noHBand="0" w:val="0000"/>
      </w:tblPr>
      <w:tblGrid>
        <w:gridCol w:w="9638"/>
      </w:tblGrid>
      <w:tr>
        <w:trPr>
          <w:trHeight w:val="7263" w:hRule="atLeast"/>
        </w:trPr>
        <w:tc>
          <w:tcPr>
            <w:tcW w:w="9638" w:type="dxa"/>
            <w:tcBorders/>
          </w:tcPr>
          <w:p>
            <w:pPr>
              <w:pStyle w:val="ImageCaption"/>
              <w:pageBreakBefore/>
              <w:spacing w:before="0" w:after="120"/>
              <w:jc w:val="left"/>
              <w:rPr/>
            </w:pPr>
            <w:r>
              <w:rPr/>
              <w:t>Figura 9: Domicílios particulares, por situação de segurança alimentar, segundo a renda domiciliar per capita. Ceará – 2023 e 2024</w:t>
            </w:r>
          </w:p>
          <w:p>
            <w:pPr>
              <w:pStyle w:val="Compact"/>
              <w:spacing w:before="36" w:after="36"/>
              <w:jc w:val="center"/>
              <w:rPr/>
            </w:pPr>
            <w:bookmarkStart w:id="12" w:name="fig-renda"/>
            <w:r>
              <w:rPr/>
              <w:drawing>
                <wp:inline distT="0" distB="0" distL="0" distR="0">
                  <wp:extent cx="5544185" cy="3696335"/>
                  <wp:effectExtent l="0" t="0" r="0" b="0"/>
                  <wp:docPr id="16" name="Figura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9" descr=""/>
                          <pic:cNvPicPr>
                            <a:picLocks noChangeAspect="1" noChangeArrowheads="1"/>
                          </pic:cNvPicPr>
                        </pic:nvPicPr>
                        <pic:blipFill>
                          <a:blip r:embed="rId23"/>
                          <a:stretch>
                            <a:fillRect/>
                          </a:stretch>
                        </pic:blipFill>
                        <pic:spPr bwMode="auto">
                          <a:xfrm>
                            <a:off x="0" y="0"/>
                            <a:ext cx="5544185" cy="3696335"/>
                          </a:xfrm>
                          <a:prstGeom prst="rect">
                            <a:avLst/>
                          </a:prstGeom>
                          <a:noFill/>
                        </pic:spPr>
                      </pic:pic>
                    </a:graphicData>
                  </a:graphic>
                </wp:inline>
              </w:drawing>
            </w:r>
            <w:bookmarkEnd w:id="12"/>
          </w:p>
          <w:p>
            <w:pPr>
              <w:pStyle w:val="Anotaouser"/>
              <w:spacing w:before="36" w:after="36"/>
              <w:jc w:val="left"/>
              <w:rPr>
                <w:i/>
                <w:i/>
                <w:iCs/>
              </w:rPr>
            </w:pPr>
            <w:bookmarkStart w:id="13" w:name="Xef46e10403bab8b4487a9a28b4ba11e106fe042"/>
            <w:bookmarkEnd w:id="13"/>
            <w:r>
              <w:rPr>
                <w:i/>
                <w:iCs/>
              </w:rPr>
              <w:t>Fonte: PNAD Contínua IBGE</w:t>
            </w:r>
          </w:p>
          <w:p>
            <w:pPr>
              <w:pStyle w:val="Anotaouser"/>
              <w:spacing w:before="36" w:after="36"/>
              <w:jc w:val="left"/>
              <w:rPr>
                <w:i/>
                <w:i/>
                <w:iCs/>
              </w:rPr>
            </w:pPr>
            <w:r>
              <w:rPr>
                <w:i/>
                <w:iCs/>
              </w:rPr>
            </w:r>
          </w:p>
        </w:tc>
      </w:tr>
    </w:tbl>
    <w:p>
      <w:pPr>
        <w:pStyle w:val="Heading2"/>
        <w:numPr>
          <w:ilvl w:val="0"/>
          <w:numId w:val="2"/>
        </w:numPr>
        <w:ind w:hanging="0" w:left="0"/>
        <w:rPr/>
      </w:pPr>
      <w:r>
        <w:rPr/>
        <w:t>Conclusão</w:t>
      </w:r>
    </w:p>
    <w:p>
      <w:pPr>
        <w:pStyle w:val="BodyText"/>
        <w:rPr/>
      </w:pPr>
      <w:r>
        <w:rPr/>
        <w:t>Os dados apresentados pela PNAD Contínua de 2024 revelam uma evolução positiva e significativa na segurança alimentar no estado do Ceará, que atingiu seu maior patamar histórico desde o início da série em 2004. A redução em todos os graus de insegurança alimentar, especialmente na forma grave (fome), representa um avanço concreto, retirando milhares de cearenses da situação mais crítica de privação de alimentos. Este movimento de melhoria foi observado tanto na zona urbana quanto na rural e em diversos grupos populacionais.</w:t>
        <w:br/>
        <w:br/>
        <w:t>No entanto, os resultados também evidenciam a persistência de profundas desigualdades que estruturam o acesso à alimentação no estado. As disparidades entre o Ceará e a média nacional, assim como entre as regiões do próprio estado — com destaque para a pior situação no Litoral Oriental/Vale do Jaguaribe e nos Sertões —, mostram que os avanços não são homogêneos. Além disso, características do responsável pelo domicílio, como ser mulher, preto ou pardo, ter baixa escolaridade e renda familiar per capita reduzida, continuam sendo fatores fortemente associados a uma maior prevalência de insegurança alimentar, inclusive em seu grau mais severo.</w:t>
        <w:br/>
        <w:br/>
        <w:t>Portanto, conclui-se que, embora o Ceará esteja no caminho certo e tenha superado a média do Nordeste, os desafios permanecem substantivos. Aproximadamente um terço da população ainda vive em domicílios com algum grau de insegurança alimentar, sendo necessárias políticas públicas continuadas e focalizadas nos territórios e nos grupos sociais mais vulneráveis. A consolidação e a ampliação dos progressos alcançados dependem do enfrentamento das desigualdades socioeconômicas e regionais, garantindo que o direito humano à alimentação adequada seja uma realidade para todos os cearenses.</w:t>
      </w:r>
      <w:r>
        <w:br w:type="page"/>
      </w:r>
    </w:p>
    <w:p>
      <w:pPr>
        <w:pStyle w:val="Heading2"/>
        <w:numPr>
          <w:ilvl w:val="0"/>
          <w:numId w:val="0"/>
        </w:numPr>
        <w:spacing w:before="0" w:after="80"/>
        <w:ind w:hanging="0" w:left="754"/>
        <w:rPr/>
      </w:pPr>
      <w:r>
        <w:rPr/>
        <w:t xml:space="preserve">Anexo </w:t>
      </w:r>
      <w:r>
        <w:rPr/>
        <w:t>A</w:t>
      </w:r>
      <w:r>
        <w:rPr/>
        <w:t xml:space="preserve"> - Perguntas da Escala Brasileira de Insegurança Alimentar</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480"/>
        <w:gridCol w:w="9157"/>
      </w:tblGrid>
      <w:tr>
        <w:trPr>
          <w:tblHeader w:val="true"/>
        </w:trPr>
        <w:tc>
          <w:tcPr>
            <w:tcW w:w="480" w:type="dxa"/>
            <w:tcBorders>
              <w:bottom w:val="single" w:sz="6" w:space="0" w:color="000000"/>
            </w:tcBorders>
            <w:vAlign w:val="bottom"/>
          </w:tcPr>
          <w:p>
            <w:pPr>
              <w:pStyle w:val="Compact"/>
              <w:spacing w:before="36" w:after="36"/>
              <w:rPr/>
            </w:pPr>
            <w:r>
              <w:rPr/>
              <w:t>Nº</w:t>
            </w:r>
          </w:p>
        </w:tc>
        <w:tc>
          <w:tcPr>
            <w:tcW w:w="9157" w:type="dxa"/>
            <w:tcBorders>
              <w:bottom w:val="single" w:sz="6" w:space="0" w:color="000000"/>
            </w:tcBorders>
            <w:vAlign w:val="bottom"/>
          </w:tcPr>
          <w:p>
            <w:pPr>
              <w:pStyle w:val="Compact"/>
              <w:spacing w:before="36" w:after="36"/>
              <w:rPr/>
            </w:pPr>
            <w:r>
              <w:rPr/>
              <w:t>Pergunta</w:t>
            </w:r>
          </w:p>
        </w:tc>
      </w:tr>
      <w:tr>
        <w:trPr/>
        <w:tc>
          <w:tcPr>
            <w:tcW w:w="480" w:type="dxa"/>
            <w:tcBorders/>
          </w:tcPr>
          <w:p>
            <w:pPr>
              <w:pStyle w:val="Compact"/>
              <w:spacing w:before="36" w:after="36"/>
              <w:rPr/>
            </w:pPr>
            <w:r>
              <w:rPr/>
              <w:t>1</w:t>
            </w:r>
          </w:p>
        </w:tc>
        <w:tc>
          <w:tcPr>
            <w:tcW w:w="9157" w:type="dxa"/>
            <w:tcBorders/>
          </w:tcPr>
          <w:p>
            <w:pPr>
              <w:pStyle w:val="Compact"/>
              <w:spacing w:before="36" w:after="36"/>
              <w:rPr/>
            </w:pPr>
            <w:r>
              <w:rPr/>
              <w:t>Nos últimos três meses, os moradores deste domicílio tiveram a preocupação de que os alimentos acabassem antes de poderem comprar mais comida?</w:t>
            </w:r>
          </w:p>
        </w:tc>
      </w:tr>
      <w:tr>
        <w:trPr/>
        <w:tc>
          <w:tcPr>
            <w:tcW w:w="480" w:type="dxa"/>
            <w:tcBorders/>
          </w:tcPr>
          <w:p>
            <w:pPr>
              <w:pStyle w:val="Compact"/>
              <w:spacing w:before="36" w:after="36"/>
              <w:rPr/>
            </w:pPr>
            <w:r>
              <w:rPr/>
              <w:t>2</w:t>
            </w:r>
          </w:p>
        </w:tc>
        <w:tc>
          <w:tcPr>
            <w:tcW w:w="9157" w:type="dxa"/>
            <w:tcBorders/>
          </w:tcPr>
          <w:p>
            <w:pPr>
              <w:pStyle w:val="Compact"/>
              <w:spacing w:before="36" w:after="36"/>
              <w:rPr/>
            </w:pPr>
            <w:r>
              <w:rPr/>
              <w:t>Nos últimos três meses, os alimentos acabaram antes que os moradores desse domicílio tivessem dinheiro para comprar mais comida?</w:t>
            </w:r>
          </w:p>
        </w:tc>
      </w:tr>
      <w:tr>
        <w:trPr/>
        <w:tc>
          <w:tcPr>
            <w:tcW w:w="480" w:type="dxa"/>
            <w:tcBorders/>
          </w:tcPr>
          <w:p>
            <w:pPr>
              <w:pStyle w:val="Compact"/>
              <w:spacing w:before="36" w:after="36"/>
              <w:rPr/>
            </w:pPr>
            <w:r>
              <w:rPr/>
              <w:t>3</w:t>
            </w:r>
          </w:p>
        </w:tc>
        <w:tc>
          <w:tcPr>
            <w:tcW w:w="9157" w:type="dxa"/>
            <w:tcBorders/>
          </w:tcPr>
          <w:p>
            <w:pPr>
              <w:pStyle w:val="Compact"/>
              <w:spacing w:before="36" w:after="36"/>
              <w:rPr/>
            </w:pPr>
            <w:r>
              <w:rPr/>
              <w:t>Nos últimos três meses, os moradores desse domicílio ficaram sem dinheiro para ter uma alimentação saudável e variada?</w:t>
            </w:r>
          </w:p>
        </w:tc>
      </w:tr>
      <w:tr>
        <w:trPr/>
        <w:tc>
          <w:tcPr>
            <w:tcW w:w="480" w:type="dxa"/>
            <w:tcBorders/>
          </w:tcPr>
          <w:p>
            <w:pPr>
              <w:pStyle w:val="Compact"/>
              <w:spacing w:before="36" w:after="36"/>
              <w:rPr/>
            </w:pPr>
            <w:r>
              <w:rPr/>
              <w:t>4</w:t>
            </w:r>
          </w:p>
        </w:tc>
        <w:tc>
          <w:tcPr>
            <w:tcW w:w="9157" w:type="dxa"/>
            <w:tcBorders/>
          </w:tcPr>
          <w:p>
            <w:pPr>
              <w:pStyle w:val="Compact"/>
              <w:spacing w:before="36" w:after="36"/>
              <w:rPr/>
            </w:pPr>
            <w:r>
              <w:rPr/>
              <w:t>Nos últimos três meses, os moradores deste domicílio comeram apenas alguns alimentos que ainda tinham porque o dinheiro acabou?</w:t>
            </w:r>
          </w:p>
        </w:tc>
      </w:tr>
      <w:tr>
        <w:trPr/>
        <w:tc>
          <w:tcPr>
            <w:tcW w:w="480" w:type="dxa"/>
            <w:tcBorders/>
          </w:tcPr>
          <w:p>
            <w:pPr>
              <w:pStyle w:val="Compact"/>
              <w:spacing w:before="36" w:after="36"/>
              <w:rPr/>
            </w:pPr>
            <w:r>
              <w:rPr/>
              <w:t>5</w:t>
            </w:r>
          </w:p>
        </w:tc>
        <w:tc>
          <w:tcPr>
            <w:tcW w:w="9157" w:type="dxa"/>
            <w:tcBorders/>
          </w:tcPr>
          <w:p>
            <w:pPr>
              <w:pStyle w:val="Compact"/>
              <w:spacing w:before="36" w:after="36"/>
              <w:rPr/>
            </w:pPr>
            <w:r>
              <w:rPr/>
              <w:t>Nos últimos três meses, algum morador de 18 anos ou mais de idade deixou de fazer alguma refeição porque não havia dinheiro para comprar comida?</w:t>
            </w:r>
          </w:p>
        </w:tc>
      </w:tr>
      <w:tr>
        <w:trPr/>
        <w:tc>
          <w:tcPr>
            <w:tcW w:w="480" w:type="dxa"/>
            <w:tcBorders/>
          </w:tcPr>
          <w:p>
            <w:pPr>
              <w:pStyle w:val="Compact"/>
              <w:spacing w:before="36" w:after="36"/>
              <w:rPr/>
            </w:pPr>
            <w:r>
              <w:rPr/>
              <w:t>6</w:t>
            </w:r>
          </w:p>
        </w:tc>
        <w:tc>
          <w:tcPr>
            <w:tcW w:w="9157" w:type="dxa"/>
            <w:tcBorders/>
          </w:tcPr>
          <w:p>
            <w:pPr>
              <w:pStyle w:val="Compact"/>
              <w:spacing w:before="36" w:after="36"/>
              <w:rPr/>
            </w:pPr>
            <w:r>
              <w:rPr/>
              <w:t>Nos últimos três meses, algum morador de 18 anos ou mais de idade, alguma vez, comeu menos do que achou que devia porque não havia dinheiro para comprar comida?</w:t>
            </w:r>
          </w:p>
        </w:tc>
      </w:tr>
      <w:tr>
        <w:trPr/>
        <w:tc>
          <w:tcPr>
            <w:tcW w:w="480" w:type="dxa"/>
            <w:tcBorders/>
          </w:tcPr>
          <w:p>
            <w:pPr>
              <w:pStyle w:val="Compact"/>
              <w:spacing w:before="36" w:after="36"/>
              <w:rPr/>
            </w:pPr>
            <w:r>
              <w:rPr/>
              <w:t>7</w:t>
            </w:r>
          </w:p>
        </w:tc>
        <w:tc>
          <w:tcPr>
            <w:tcW w:w="9157" w:type="dxa"/>
            <w:tcBorders/>
          </w:tcPr>
          <w:p>
            <w:pPr>
              <w:pStyle w:val="Compact"/>
              <w:spacing w:before="36" w:after="36"/>
              <w:rPr/>
            </w:pPr>
            <w:r>
              <w:rPr/>
              <w:t>Nos últimos três meses, algum morador de 18 anos ou mais de idade, alguma vez, sentiu fome, mas não comeu porque não havia dinheiro para comprar comida?</w:t>
            </w:r>
          </w:p>
        </w:tc>
      </w:tr>
      <w:tr>
        <w:trPr/>
        <w:tc>
          <w:tcPr>
            <w:tcW w:w="480" w:type="dxa"/>
            <w:tcBorders/>
          </w:tcPr>
          <w:p>
            <w:pPr>
              <w:pStyle w:val="Compact"/>
              <w:spacing w:before="36" w:after="36"/>
              <w:rPr/>
            </w:pPr>
            <w:r>
              <w:rPr/>
              <w:t>8</w:t>
            </w:r>
          </w:p>
        </w:tc>
        <w:tc>
          <w:tcPr>
            <w:tcW w:w="9157" w:type="dxa"/>
            <w:tcBorders/>
          </w:tcPr>
          <w:p>
            <w:pPr>
              <w:pStyle w:val="Compact"/>
              <w:spacing w:before="36" w:after="36"/>
              <w:rPr/>
            </w:pPr>
            <w:r>
              <w:rPr/>
              <w:t>Nos últimos três meses, algum morador de 18 anos ou mais de idade, alguma vez, fez apenas uma refeição ao dia ou ficou um dia inteiro sem comer porque não tinha dinheiro para comprar comida?</w:t>
            </w:r>
          </w:p>
        </w:tc>
      </w:tr>
      <w:tr>
        <w:trPr/>
        <w:tc>
          <w:tcPr>
            <w:tcW w:w="480" w:type="dxa"/>
            <w:tcBorders/>
          </w:tcPr>
          <w:p>
            <w:pPr>
              <w:pStyle w:val="Compact"/>
              <w:spacing w:before="36" w:after="36"/>
              <w:rPr/>
            </w:pPr>
            <w:r>
              <w:rPr/>
              <w:t>9</w:t>
            </w:r>
          </w:p>
        </w:tc>
        <w:tc>
          <w:tcPr>
            <w:tcW w:w="9157" w:type="dxa"/>
            <w:tcBorders/>
          </w:tcPr>
          <w:p>
            <w:pPr>
              <w:pStyle w:val="Compact"/>
              <w:spacing w:before="36" w:after="36"/>
              <w:rPr/>
            </w:pPr>
            <w:r>
              <w:rPr/>
              <w:t>Nos últimos três meses, algum morador com menos de 18 anos de idade, alguma vez, deixou de ter uma alimentação saudável e variada porque não havia dinheiro para comprar comida?</w:t>
            </w:r>
          </w:p>
        </w:tc>
      </w:tr>
      <w:tr>
        <w:trPr/>
        <w:tc>
          <w:tcPr>
            <w:tcW w:w="480" w:type="dxa"/>
            <w:tcBorders/>
          </w:tcPr>
          <w:p>
            <w:pPr>
              <w:pStyle w:val="Compact"/>
              <w:spacing w:before="36" w:after="36"/>
              <w:rPr/>
            </w:pPr>
            <w:r>
              <w:rPr/>
              <w:t>10</w:t>
            </w:r>
          </w:p>
        </w:tc>
        <w:tc>
          <w:tcPr>
            <w:tcW w:w="9157" w:type="dxa"/>
            <w:tcBorders/>
          </w:tcPr>
          <w:p>
            <w:pPr>
              <w:pStyle w:val="Compact"/>
              <w:spacing w:before="36" w:after="36"/>
              <w:rPr/>
            </w:pPr>
            <w:r>
              <w:rPr/>
              <w:t>Nos últimos três meses, algum morador com menos de 18 anos de idade, alguma vez, não comeu quantidade suficiente de comida porque não havia dinheiro para comprar comida?</w:t>
            </w:r>
          </w:p>
        </w:tc>
      </w:tr>
      <w:tr>
        <w:trPr/>
        <w:tc>
          <w:tcPr>
            <w:tcW w:w="480" w:type="dxa"/>
            <w:tcBorders/>
          </w:tcPr>
          <w:p>
            <w:pPr>
              <w:pStyle w:val="Compact"/>
              <w:spacing w:before="36" w:after="36"/>
              <w:rPr/>
            </w:pPr>
            <w:r>
              <w:rPr/>
              <w:t>11</w:t>
            </w:r>
          </w:p>
        </w:tc>
        <w:tc>
          <w:tcPr>
            <w:tcW w:w="9157" w:type="dxa"/>
            <w:tcBorders/>
          </w:tcPr>
          <w:p>
            <w:pPr>
              <w:pStyle w:val="Compact"/>
              <w:spacing w:before="36" w:after="36"/>
              <w:rPr/>
            </w:pPr>
            <w:r>
              <w:rPr/>
              <w:t>Nos últimos três meses, alguma vez, foi diminuída a quantidade de alimentos das refeições de algum morador com menos de 18 anos de idade porque não havia dinheiro para comprar comida?</w:t>
            </w:r>
          </w:p>
        </w:tc>
      </w:tr>
      <w:tr>
        <w:trPr/>
        <w:tc>
          <w:tcPr>
            <w:tcW w:w="480" w:type="dxa"/>
            <w:tcBorders/>
          </w:tcPr>
          <w:p>
            <w:pPr>
              <w:pStyle w:val="Compact"/>
              <w:spacing w:before="36" w:after="36"/>
              <w:rPr/>
            </w:pPr>
            <w:r>
              <w:rPr/>
              <w:t>12</w:t>
            </w:r>
          </w:p>
        </w:tc>
        <w:tc>
          <w:tcPr>
            <w:tcW w:w="9157" w:type="dxa"/>
            <w:tcBorders/>
          </w:tcPr>
          <w:p>
            <w:pPr>
              <w:pStyle w:val="Compact"/>
              <w:spacing w:before="36" w:after="36"/>
              <w:rPr/>
            </w:pPr>
            <w:r>
              <w:rPr/>
              <w:t>Nos últimos três meses, alguma vez, algum morador com menos de 18 anos de idade deixou de fazer alguma refeição porque não havia dinheiro para comprar comida?</w:t>
            </w:r>
          </w:p>
        </w:tc>
      </w:tr>
      <w:tr>
        <w:trPr/>
        <w:tc>
          <w:tcPr>
            <w:tcW w:w="480" w:type="dxa"/>
            <w:tcBorders/>
          </w:tcPr>
          <w:p>
            <w:pPr>
              <w:pStyle w:val="Compact"/>
              <w:spacing w:before="36" w:after="36"/>
              <w:rPr/>
            </w:pPr>
            <w:r>
              <w:rPr/>
              <w:t>13</w:t>
            </w:r>
          </w:p>
        </w:tc>
        <w:tc>
          <w:tcPr>
            <w:tcW w:w="9157" w:type="dxa"/>
            <w:tcBorders/>
          </w:tcPr>
          <w:p>
            <w:pPr>
              <w:pStyle w:val="Compact"/>
              <w:spacing w:before="36" w:after="36"/>
              <w:rPr/>
            </w:pPr>
            <w:r>
              <w:rPr/>
              <w:t>Nos últimos três meses, alguma vez, algum morador com menos de 18 anos de idade sentiu fome, mas não comeu porque não havia dinheiro para comprar comida?</w:t>
            </w:r>
          </w:p>
        </w:tc>
      </w:tr>
      <w:tr>
        <w:trPr/>
        <w:tc>
          <w:tcPr>
            <w:tcW w:w="480" w:type="dxa"/>
            <w:tcBorders/>
          </w:tcPr>
          <w:p>
            <w:pPr>
              <w:pStyle w:val="Compact"/>
              <w:spacing w:before="36" w:after="36"/>
              <w:rPr/>
            </w:pPr>
            <w:r>
              <w:rPr/>
              <w:t>14</w:t>
            </w:r>
          </w:p>
        </w:tc>
        <w:tc>
          <w:tcPr>
            <w:tcW w:w="9157" w:type="dxa"/>
            <w:tcBorders/>
          </w:tcPr>
          <w:p>
            <w:pPr>
              <w:pStyle w:val="Compact"/>
              <w:spacing w:before="36" w:after="36"/>
              <w:rPr/>
            </w:pPr>
            <w:r>
              <w:rPr/>
              <w:t>Nos últimos três meses, alguma vez, algum morador com menos de 18 anos de idade fez apenas uma refeição ao dia ou ficou sem comer por um dia inteiro porque não havia dinheiro para comprar comida?</w:t>
            </w:r>
          </w:p>
        </w:tc>
      </w:tr>
    </w:tbl>
    <w:p>
      <w:pPr>
        <w:pStyle w:val="Anotaouser"/>
        <w:rPr/>
      </w:pPr>
      <w:bookmarkStart w:id="14" w:name="Xe2f3b0afda7c9997081faa0ec24836707ddec95"/>
      <w:r>
        <w:rPr>
          <w:i/>
          <w:iCs/>
        </w:rPr>
        <w:t>Fonte: Brasil, Ministério do Desenvolvimento Social e Combate à Fome. Nota Técnica DA/SAGI/MDS nº 128/2010: Relatório da Oficina Técnica para análise da Escala Brasileira de Medida Domiciliar de Insegurança Alimentar. Brasília: SAGI/DA, 30/08/2010</w:t>
      </w:r>
      <w:bookmarkEnd w:id="14"/>
    </w:p>
    <w:p>
      <w:pPr>
        <w:pStyle w:val="Heading2"/>
        <w:keepLines/>
        <w:widowControl/>
        <w:numPr>
          <w:ilvl w:val="0"/>
          <w:numId w:val="0"/>
        </w:numPr>
        <w:spacing w:lineRule="auto" w:line="276"/>
        <w:jc w:val="left"/>
        <w:rPr/>
      </w:pPr>
      <w:r>
        <w:rPr/>
      </w:r>
      <w:r>
        <w:br w:type="page"/>
      </w:r>
    </w:p>
    <w:p>
      <w:pPr>
        <w:pStyle w:val="Heading2"/>
        <w:numPr>
          <w:ilvl w:val="0"/>
          <w:numId w:val="0"/>
        </w:numPr>
        <w:ind w:hanging="0" w:left="754"/>
        <w:rPr/>
      </w:pPr>
      <w:r>
        <w:rPr/>
        <w:t>Anexo B - Pontuação para classificação dos domicílios segundo a Escala Brasileira de Insegurança Alimentar (EBIA)</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2408"/>
        <w:gridCol w:w="3613"/>
        <w:gridCol w:w="3617"/>
      </w:tblGrid>
      <w:tr>
        <w:trPr>
          <w:tblHeader w:val="true"/>
        </w:trPr>
        <w:tc>
          <w:tcPr>
            <w:tcW w:w="2408" w:type="dxa"/>
            <w:tcBorders>
              <w:bottom w:val="single" w:sz="6" w:space="0" w:color="000000"/>
            </w:tcBorders>
            <w:vAlign w:val="bottom"/>
          </w:tcPr>
          <w:p>
            <w:pPr>
              <w:pStyle w:val="Compact"/>
              <w:spacing w:before="36" w:after="36"/>
              <w:rPr/>
            </w:pPr>
            <w:r>
              <w:rPr/>
              <w:t>Classificação</w:t>
            </w:r>
          </w:p>
        </w:tc>
        <w:tc>
          <w:tcPr>
            <w:tcW w:w="3613" w:type="dxa"/>
            <w:tcBorders>
              <w:bottom w:val="single" w:sz="6" w:space="0" w:color="000000"/>
            </w:tcBorders>
            <w:vAlign w:val="bottom"/>
          </w:tcPr>
          <w:p>
            <w:pPr>
              <w:pStyle w:val="Compact"/>
              <w:spacing w:before="36" w:after="36"/>
              <w:rPr/>
            </w:pPr>
            <w:r>
              <w:rPr/>
              <w:t>Pontos de corte – domicílios com menores de 18 anos</w:t>
            </w:r>
          </w:p>
        </w:tc>
        <w:tc>
          <w:tcPr>
            <w:tcW w:w="3617" w:type="dxa"/>
            <w:tcBorders>
              <w:bottom w:val="single" w:sz="6" w:space="0" w:color="000000"/>
            </w:tcBorders>
            <w:vAlign w:val="bottom"/>
          </w:tcPr>
          <w:p>
            <w:pPr>
              <w:pStyle w:val="Compact"/>
              <w:spacing w:before="36" w:after="36"/>
              <w:rPr/>
            </w:pPr>
            <w:r>
              <w:rPr/>
              <w:t>Pontos de corte – domicílios sem menores de 18 anos</w:t>
            </w:r>
          </w:p>
        </w:tc>
      </w:tr>
      <w:tr>
        <w:trPr/>
        <w:tc>
          <w:tcPr>
            <w:tcW w:w="2408" w:type="dxa"/>
            <w:tcBorders/>
          </w:tcPr>
          <w:p>
            <w:pPr>
              <w:pStyle w:val="Compact"/>
              <w:spacing w:before="36" w:after="36"/>
              <w:rPr/>
            </w:pPr>
            <w:r>
              <w:rPr/>
              <w:t>Segurança alimentar</w:t>
            </w:r>
          </w:p>
        </w:tc>
        <w:tc>
          <w:tcPr>
            <w:tcW w:w="3613" w:type="dxa"/>
            <w:tcBorders/>
          </w:tcPr>
          <w:p>
            <w:pPr>
              <w:pStyle w:val="Compact"/>
              <w:spacing w:before="36" w:after="36"/>
              <w:rPr/>
            </w:pPr>
            <w:r>
              <w:rPr/>
              <w:t>0</w:t>
            </w:r>
          </w:p>
        </w:tc>
        <w:tc>
          <w:tcPr>
            <w:tcW w:w="3617" w:type="dxa"/>
            <w:tcBorders/>
          </w:tcPr>
          <w:p>
            <w:pPr>
              <w:pStyle w:val="Compact"/>
              <w:spacing w:before="36" w:after="36"/>
              <w:rPr/>
            </w:pPr>
            <w:r>
              <w:rPr/>
              <w:t>0</w:t>
            </w:r>
          </w:p>
        </w:tc>
      </w:tr>
      <w:tr>
        <w:trPr/>
        <w:tc>
          <w:tcPr>
            <w:tcW w:w="2408" w:type="dxa"/>
            <w:tcBorders/>
          </w:tcPr>
          <w:p>
            <w:pPr>
              <w:pStyle w:val="Compact"/>
              <w:spacing w:before="36" w:after="36"/>
              <w:rPr/>
            </w:pPr>
            <w:r>
              <w:rPr/>
              <w:t>Insegurança alimentar leve</w:t>
            </w:r>
          </w:p>
        </w:tc>
        <w:tc>
          <w:tcPr>
            <w:tcW w:w="3613" w:type="dxa"/>
            <w:tcBorders/>
          </w:tcPr>
          <w:p>
            <w:pPr>
              <w:pStyle w:val="Compact"/>
              <w:spacing w:before="36" w:after="36"/>
              <w:rPr/>
            </w:pPr>
            <w:r>
              <w:rPr/>
              <w:t>1 – 5</w:t>
            </w:r>
          </w:p>
        </w:tc>
        <w:tc>
          <w:tcPr>
            <w:tcW w:w="3617" w:type="dxa"/>
            <w:tcBorders/>
          </w:tcPr>
          <w:p>
            <w:pPr>
              <w:pStyle w:val="Compact"/>
              <w:spacing w:before="36" w:after="36"/>
              <w:rPr/>
            </w:pPr>
            <w:r>
              <w:rPr/>
              <w:t>1 – 3</w:t>
            </w:r>
          </w:p>
        </w:tc>
      </w:tr>
      <w:tr>
        <w:trPr/>
        <w:tc>
          <w:tcPr>
            <w:tcW w:w="2408" w:type="dxa"/>
            <w:tcBorders/>
          </w:tcPr>
          <w:p>
            <w:pPr>
              <w:pStyle w:val="Compact"/>
              <w:spacing w:before="36" w:after="36"/>
              <w:rPr/>
            </w:pPr>
            <w:r>
              <w:rPr/>
              <w:t>Insegurança alimentar moderada</w:t>
            </w:r>
          </w:p>
        </w:tc>
        <w:tc>
          <w:tcPr>
            <w:tcW w:w="3613" w:type="dxa"/>
            <w:tcBorders/>
          </w:tcPr>
          <w:p>
            <w:pPr>
              <w:pStyle w:val="Compact"/>
              <w:spacing w:before="36" w:after="36"/>
              <w:rPr/>
            </w:pPr>
            <w:r>
              <w:rPr/>
              <w:t>6 – 9</w:t>
            </w:r>
          </w:p>
        </w:tc>
        <w:tc>
          <w:tcPr>
            <w:tcW w:w="3617" w:type="dxa"/>
            <w:tcBorders/>
          </w:tcPr>
          <w:p>
            <w:pPr>
              <w:pStyle w:val="Compact"/>
              <w:spacing w:before="36" w:after="36"/>
              <w:rPr/>
            </w:pPr>
            <w:r>
              <w:rPr/>
              <w:t>4 – 5</w:t>
            </w:r>
          </w:p>
        </w:tc>
      </w:tr>
      <w:tr>
        <w:trPr/>
        <w:tc>
          <w:tcPr>
            <w:tcW w:w="2408" w:type="dxa"/>
            <w:tcBorders/>
          </w:tcPr>
          <w:p>
            <w:pPr>
              <w:pStyle w:val="Compact"/>
              <w:spacing w:before="36" w:after="36"/>
              <w:rPr/>
            </w:pPr>
            <w:r>
              <w:rPr/>
              <w:t>Insegurança alimentar grave</w:t>
            </w:r>
          </w:p>
        </w:tc>
        <w:tc>
          <w:tcPr>
            <w:tcW w:w="3613" w:type="dxa"/>
            <w:tcBorders/>
          </w:tcPr>
          <w:p>
            <w:pPr>
              <w:pStyle w:val="Compact"/>
              <w:spacing w:before="36" w:after="36"/>
              <w:rPr/>
            </w:pPr>
            <w:r>
              <w:rPr/>
              <w:t>10 – 14</w:t>
            </w:r>
          </w:p>
        </w:tc>
        <w:tc>
          <w:tcPr>
            <w:tcW w:w="3617" w:type="dxa"/>
            <w:tcBorders/>
          </w:tcPr>
          <w:p>
            <w:pPr>
              <w:pStyle w:val="Compact"/>
              <w:spacing w:before="36" w:after="36"/>
              <w:rPr/>
            </w:pPr>
            <w:r>
              <w:rPr/>
              <w:t>6 – 8</w:t>
            </w:r>
          </w:p>
        </w:tc>
      </w:tr>
    </w:tbl>
    <w:p>
      <w:pPr>
        <w:pStyle w:val="Anotaouser"/>
        <w:rPr/>
      </w:pPr>
      <w:bookmarkStart w:id="15" w:name="X730dcf0537b85456e47e6963c962ca41e1aa01e"/>
      <w:r>
        <w:rPr>
          <w:i/>
          <w:iCs/>
        </w:rPr>
        <w:t>Fonte: Brasil. Ministério do Desenvolvimento Social e Combate à Fome. Nota Técnica DA/SAGI/MDS nº 128/2010: Relatório da Oficina Técnica para Análise da Escala Brasileira de Medida Domiciliar de Insegurança Alimentar. Brasília: SAGI/DA, 30 ago. 2010.</w:t>
      </w:r>
      <w:bookmarkEnd w:id="15"/>
    </w:p>
    <w:p>
      <w:pPr>
        <w:pStyle w:val="Heading2"/>
        <w:numPr>
          <w:ilvl w:val="0"/>
          <w:numId w:val="0"/>
        </w:numPr>
        <w:ind w:hanging="0" w:left="754"/>
        <w:rPr/>
      </w:pPr>
      <w:r>
        <w:rPr/>
      </w:r>
      <w:r>
        <w:br w:type="page"/>
      </w:r>
    </w:p>
    <w:p>
      <w:pPr>
        <w:pStyle w:val="Heading2"/>
        <w:numPr>
          <w:ilvl w:val="0"/>
          <w:numId w:val="0"/>
        </w:numPr>
        <w:spacing w:before="0" w:after="80"/>
        <w:ind w:hanging="0" w:left="754"/>
        <w:rPr/>
      </w:pPr>
      <w:r>
        <w:rPr/>
        <w:t>Anexo C - Municípios por recortes geográficos do território cearense na PNAD Contínua</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2408"/>
        <w:gridCol w:w="7229"/>
      </w:tblGrid>
      <w:tr>
        <w:trPr>
          <w:tblHeader w:val="true"/>
        </w:trPr>
        <w:tc>
          <w:tcPr>
            <w:tcW w:w="2408" w:type="dxa"/>
            <w:tcBorders>
              <w:bottom w:val="single" w:sz="6" w:space="0" w:color="000000"/>
            </w:tcBorders>
            <w:vAlign w:val="bottom"/>
          </w:tcPr>
          <w:p>
            <w:pPr>
              <w:pStyle w:val="Compact"/>
              <w:spacing w:before="36" w:after="36"/>
              <w:rPr/>
            </w:pPr>
            <w:r>
              <w:rPr/>
              <w:t>Recorte geográfico</w:t>
            </w:r>
          </w:p>
        </w:tc>
        <w:tc>
          <w:tcPr>
            <w:tcW w:w="7229" w:type="dxa"/>
            <w:tcBorders>
              <w:bottom w:val="single" w:sz="6" w:space="0" w:color="000000"/>
            </w:tcBorders>
            <w:vAlign w:val="bottom"/>
          </w:tcPr>
          <w:p>
            <w:pPr>
              <w:pStyle w:val="Compact"/>
              <w:spacing w:before="36" w:after="36"/>
              <w:rPr/>
            </w:pPr>
            <w:r>
              <w:rPr/>
              <w:t>Municípios</w:t>
            </w:r>
          </w:p>
        </w:tc>
      </w:tr>
      <w:tr>
        <w:trPr/>
        <w:tc>
          <w:tcPr>
            <w:tcW w:w="2408" w:type="dxa"/>
            <w:tcBorders/>
          </w:tcPr>
          <w:p>
            <w:pPr>
              <w:pStyle w:val="Compact"/>
              <w:spacing w:before="36" w:after="36"/>
              <w:rPr/>
            </w:pPr>
            <w:r>
              <w:rPr/>
              <w:t>Município da capital</w:t>
            </w:r>
          </w:p>
        </w:tc>
        <w:tc>
          <w:tcPr>
            <w:tcW w:w="7229" w:type="dxa"/>
            <w:tcBorders/>
          </w:tcPr>
          <w:p>
            <w:pPr>
              <w:pStyle w:val="Compact"/>
              <w:spacing w:before="36" w:after="36"/>
              <w:rPr/>
            </w:pPr>
            <w:r>
              <w:rPr/>
              <w:t>Fortaleza</w:t>
            </w:r>
          </w:p>
        </w:tc>
      </w:tr>
      <w:tr>
        <w:trPr/>
        <w:tc>
          <w:tcPr>
            <w:tcW w:w="2408" w:type="dxa"/>
            <w:tcBorders/>
          </w:tcPr>
          <w:p>
            <w:pPr>
              <w:pStyle w:val="Compact"/>
              <w:spacing w:before="36" w:after="36"/>
              <w:rPr/>
            </w:pPr>
            <w:r>
              <w:rPr/>
              <w:t>Entorno metropolitano de Fortaleza</w:t>
            </w:r>
          </w:p>
        </w:tc>
        <w:tc>
          <w:tcPr>
            <w:tcW w:w="7229" w:type="dxa"/>
            <w:tcBorders/>
          </w:tcPr>
          <w:p>
            <w:pPr>
              <w:pStyle w:val="Compact"/>
              <w:spacing w:before="36" w:after="36"/>
              <w:rPr/>
            </w:pPr>
            <w:r>
              <w:rPr/>
              <w:t>Aquiraz, Cascavel, Caucaia, Chorozinho, Eusébio, Guaiúba, Horizonte, Itaitinga, Maracanaú, Maranguape, Pacajus, Pacatuba, Pindoretama e São Gonçalo do Amarante</w:t>
            </w:r>
          </w:p>
        </w:tc>
      </w:tr>
      <w:tr>
        <w:trPr/>
        <w:tc>
          <w:tcPr>
            <w:tcW w:w="2408" w:type="dxa"/>
            <w:tcBorders/>
          </w:tcPr>
          <w:p>
            <w:pPr>
              <w:pStyle w:val="Compact"/>
              <w:spacing w:before="36" w:after="36"/>
              <w:rPr/>
            </w:pPr>
            <w:r>
              <w:rPr/>
              <w:t>Sul do Ceará</w:t>
            </w:r>
          </w:p>
        </w:tc>
        <w:tc>
          <w:tcPr>
            <w:tcW w:w="7229" w:type="dxa"/>
            <w:tcBorders/>
          </w:tcPr>
          <w:p>
            <w:pPr>
              <w:pStyle w:val="Compact"/>
              <w:spacing w:before="36" w:after="36"/>
              <w:rPr/>
            </w:pPr>
            <w:r>
              <w:rPr/>
              <w:t>Abaiara, Altaneira, Antonina do Norte, Araripe, Assaré, Aurora, Baixio, Barbalha, Barro, Brejo Santo, Campos Sales, Caririaçu, Cariús, Cedro, Crato, Farias Brito, Granjeiro, Icó, Iguatu, Ipaumirim, Jardim, Jati, Juazeiro do Norte, Jucás, Lavras da Mangabeira, Mauriti, Milagres, Missão Velha, Nova Olinda, Orós, Penaforte, Porteiras, Potengi, Quixelô, Salitre, Santana do Cariri, Tarrafas, Umari e Várzea Alegre</w:t>
            </w:r>
          </w:p>
        </w:tc>
      </w:tr>
      <w:tr>
        <w:trPr/>
        <w:tc>
          <w:tcPr>
            <w:tcW w:w="2408" w:type="dxa"/>
            <w:tcBorders/>
          </w:tcPr>
          <w:p>
            <w:pPr>
              <w:pStyle w:val="Compact"/>
              <w:spacing w:before="36" w:after="36"/>
              <w:rPr/>
            </w:pPr>
            <w:r>
              <w:rPr/>
              <w:t>Sertões</w:t>
            </w:r>
          </w:p>
        </w:tc>
        <w:tc>
          <w:tcPr>
            <w:tcW w:w="7229" w:type="dxa"/>
            <w:tcBorders/>
          </w:tcPr>
          <w:p>
            <w:pPr>
              <w:pStyle w:val="Compact"/>
              <w:spacing w:before="36" w:after="36"/>
              <w:rPr/>
            </w:pPr>
            <w:r>
              <w:rPr/>
              <w:t>Acopiara, Aiuaba, Ararendá, Arneiroz, Banabuiú, Boa Viagem, Canindé, Caridade, Catarina, Choró, Crateús, Deputado Irapuan Pinheiro, Ibaretama, Independência, Ipaporanga, Itatira, Madalena, Milhã, Mombaça, Monsenhor Tabosa, Nova Russas, Novo Oriente, Parambu, Paramoti, Pedra Branca, Piquet Carneiro, Quiterianópolis, Quixadá, Quixeramobim, Saboeiro, Senador Pompeu, Solonópole, Tamboril e Tauá</w:t>
            </w:r>
          </w:p>
        </w:tc>
      </w:tr>
      <w:tr>
        <w:trPr/>
        <w:tc>
          <w:tcPr>
            <w:tcW w:w="2408" w:type="dxa"/>
            <w:tcBorders/>
          </w:tcPr>
          <w:p>
            <w:pPr>
              <w:pStyle w:val="Compact"/>
              <w:spacing w:before="36" w:after="36"/>
              <w:rPr/>
            </w:pPr>
            <w:r>
              <w:rPr/>
              <w:t>Litoral Ocidental e Norte</w:t>
            </w:r>
          </w:p>
        </w:tc>
        <w:tc>
          <w:tcPr>
            <w:tcW w:w="7229" w:type="dxa"/>
            <w:tcBorders/>
          </w:tcPr>
          <w:p>
            <w:pPr>
              <w:pStyle w:val="Compact"/>
              <w:spacing w:before="36" w:after="36"/>
              <w:rPr/>
            </w:pPr>
            <w:r>
              <w:rPr/>
              <w:t>Acaraú, Alcântaras, Amontada, Apuiarés, Barroquinha, Bela Cruz, Camocim, Cariré, Carnaubal, Catunda, Chaval, Coreaú, Croatá, Cruz, Forquilha, Frecheirinha, General Sampaio, Graça, Granja, Groaíras, Guaraciaba do Norte, Hidrolândia, Ibiapina, Ipu, Ipueiras, Irauçuba, Itapagé, Itapipoca, Itarema, Jijoca de Jericoacoara, Marco, Martinópole, Massapê, Meruoca, Miraíma, Moraújo, Morrinhos, Mucambo, Pacujá, Paracuru, Paraipaba, Pentecoste, Pires Ferreira, Poranga, Reriutaba, Santana do Acaraú, Santa Quitéria, São Benedito, São Luís do Curu, Senador Sá, Sobral, Tejuçuoca, Tianguá, Trairi, Tururu, Ubajara, Umirim, Uruburetama, Uruoca, Varjota e Viçosa do Ceará</w:t>
            </w:r>
          </w:p>
        </w:tc>
      </w:tr>
      <w:tr>
        <w:trPr/>
        <w:tc>
          <w:tcPr>
            <w:tcW w:w="2408" w:type="dxa"/>
            <w:tcBorders/>
          </w:tcPr>
          <w:p>
            <w:pPr>
              <w:pStyle w:val="Compact"/>
              <w:spacing w:before="36" w:after="36"/>
              <w:rPr/>
            </w:pPr>
            <w:r>
              <w:rPr/>
              <w:t>Litoral Oriental / Vale do Jaguaribe</w:t>
            </w:r>
          </w:p>
        </w:tc>
        <w:tc>
          <w:tcPr>
            <w:tcW w:w="7229" w:type="dxa"/>
            <w:tcBorders/>
          </w:tcPr>
          <w:p>
            <w:pPr>
              <w:pStyle w:val="Compact"/>
              <w:spacing w:before="36" w:after="36"/>
              <w:rPr/>
            </w:pPr>
            <w:r>
              <w:rPr/>
              <w:t>Acarape, Alto Santo, Aracati, Aracoiaba, Aratuba, Barreira, Baturité, Beberibe, Capistrano, Ererê, Fortim, Guaramiranga, Ibicuitinga, Icapuí, Iracema, Itaiçaba, Itapiúna, Jaguaretama, Jaguaribara, Jaguaribe, Jaguaruana, Limoeiro do Norte, Morada Nova, Mulungu, Ocara, Pacoti, Palhano, Palmácia, Pereiro, Potiretama, Quixeré, Redenção, Russas, São João do Jaguaribe e Tabuleiro do Norte</w:t>
            </w:r>
          </w:p>
        </w:tc>
      </w:tr>
    </w:tbl>
    <w:p>
      <w:pPr>
        <w:pStyle w:val="Anotao"/>
        <w:widowControl/>
        <w:bidi w:val="0"/>
        <w:spacing w:lineRule="auto" w:line="240" w:before="56" w:after="0"/>
        <w:ind w:hanging="0" w:left="907" w:right="57"/>
        <w:jc w:val="left"/>
        <w:rPr>
          <w:i/>
          <w:i/>
          <w:iCs/>
        </w:rPr>
      </w:pPr>
      <w:bookmarkStart w:id="16" w:name="X8fd1f6ae25e760f9807dea5e6d9eb55256fc9c7"/>
      <w:r>
        <w:rPr>
          <w:i/>
          <w:iCs/>
        </w:rPr>
        <w:t>Fonte: Instituto Brasileiro de Geografia e Estatística (IBGE).</w:t>
      </w:r>
      <w:bookmarkEnd w:id="16"/>
    </w:p>
    <w:sectPr>
      <w:headerReference w:type="even" r:id="rId24"/>
      <w:headerReference w:type="default" r:id="rId25"/>
      <w:headerReference w:type="first" r:id="rId26"/>
      <w:footerReference w:type="even" r:id="rId27"/>
      <w:footerReference w:type="default" r:id="rId28"/>
      <w:footerReference w:type="first" r:id="rId29"/>
      <w:type w:val="nextPage"/>
      <w:pgSz w:w="11906" w:h="16838"/>
      <w:pgMar w:left="1134" w:right="1134" w:gutter="0" w:header="567" w:top="1418" w:footer="283"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w:charset w:val="01"/>
    <w:family w:val="swiss"/>
    <w:pitch w:val="variable"/>
  </w:font>
  <w:font w:name="Tahoma">
    <w:charset w:val="00"/>
    <w:family w:val="swiss"/>
    <w:pitch w:val="variable"/>
  </w:font>
  <w:font w:name="Cambria">
    <w:charset w:val="00"/>
    <w:family w:val="roman"/>
    <w:pitch w:val="variable"/>
  </w:font>
  <w:font w:name="Liberation Sans">
    <w:altName w:val="Arial"/>
    <w:charset w:val="00"/>
    <w:family w:val="swiss"/>
    <w:pitch w:val="variable"/>
  </w:font>
  <w:font w:name="Minion Pro">
    <w:charset w:val="00"/>
    <w:family w:val="roman"/>
    <w:pitch w:val="variable"/>
  </w:font>
  <w:font w:name="Calibri">
    <w:charset w:val="00"/>
    <w:family w:val="swiss"/>
    <w:pitch w:val="variable"/>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65508212"/>
    </w:sdtPr>
    <w:sdtContent>
      <w:p>
        <w:pPr>
          <w:pStyle w:val="Footer"/>
          <w:jc w:val="right"/>
          <w:rPr>
            <w:rFonts w:ascii="Times New Roman" w:hAnsi="Times New Roman" w:cs="Times New Roman"/>
            <w:b/>
            <w:color w:themeColor="accent3" w:themeShade="80" w:val="4F6228"/>
            <w:sz w:val="20"/>
            <w:szCs w:val="20"/>
          </w:rPr>
        </w:pPr>
        <w:r>
          <w:rPr>
            <w:rFonts w:cs="Times New Roman" w:ascii="Times New Roman" w:hAnsi="Times New Roman"/>
            <w:b/>
            <w:color w:themeColor="accent3" w:themeShade="80" w:val="4F6228"/>
            <w:sz w:val="20"/>
            <w:szCs w:val="20"/>
          </w:rPr>
          <mc:AlternateContent>
            <mc:Choice Requires="wps">
              <w:drawing>
                <wp:anchor behindDoc="1" distT="19050" distB="95250" distL="38100" distR="52705" simplePos="0" locked="0" layoutInCell="1" allowOverlap="1" relativeHeight="31" wp14:anchorId="71B60286">
                  <wp:simplePos x="0" y="0"/>
                  <wp:positionH relativeFrom="column">
                    <wp:posOffset>13335</wp:posOffset>
                  </wp:positionH>
                  <wp:positionV relativeFrom="paragraph">
                    <wp:posOffset>-41910</wp:posOffset>
                  </wp:positionV>
                  <wp:extent cx="6120130" cy="0"/>
                  <wp:effectExtent l="46355" t="24130" r="46990" b="69850"/>
                  <wp:wrapNone/>
                  <wp:docPr id="19" name="Conector reto 2"/>
                  <a:graphic xmlns:a="http://schemas.openxmlformats.org/drawingml/2006/main">
                    <a:graphicData uri="http://schemas.microsoft.com/office/word/2010/wordprocessingShape">
                      <wps:wsp>
                        <wps:cNvSpPr/>
                        <wps:spPr>
                          <a:xfrm>
                            <a:off x="0" y="0"/>
                            <a:ext cx="6120000" cy="0"/>
                          </a:xfrm>
                          <a:prstGeom prst="line">
                            <a:avLst/>
                          </a:prstGeom>
                          <a:ln w="12700">
                            <a:solidFill>
                              <a:srgbClr val="9bbb59"/>
                            </a:solidFill>
                            <a:round/>
                          </a:ln>
                        </wps:spPr>
                        <wps:style>
                          <a:lnRef idx="3">
                            <a:schemeClr val="accent3"/>
                          </a:lnRef>
                          <a:fillRef idx="0">
                            <a:schemeClr val="accent3"/>
                          </a:fillRef>
                          <a:effectRef idx="2">
                            <a:schemeClr val="accent3"/>
                          </a:effectRef>
                          <a:fontRef idx="minor"/>
                        </wps:style>
                        <wps:bodyPr/>
                      </wps:wsp>
                    </a:graphicData>
                  </a:graphic>
                </wp:anchor>
              </w:drawing>
            </mc:Choice>
            <mc:Fallback>
              <w:pict>
                <v:line id="shape_0" from="1.05pt,-3.3pt" to="482.9pt,-3.3pt" ID="Conector reto 2" stroked="t" o:allowincell="f" style="position:absolute" wp14:anchorId="71B60286">
                  <v:stroke color="#9bbb59" weight="12600" joinstyle="round" endcap="flat"/>
                  <v:fill o:detectmouseclick="t" on="false"/>
                  <v:shadow on="t" obscured="f" color="black"/>
                  <w10:wrap type="none"/>
                </v:line>
              </w:pict>
            </mc:Fallback>
          </mc:AlternateContent>
          <w:fldChar w:fldCharType="begin"/>
        </w:r>
        <w:r>
          <w:rPr>
            <w:sz w:val="20"/>
            <w:b/>
            <w:szCs w:val="20"/>
            <w:rFonts w:cs="Times New Roman" w:ascii="Times New Roman" w:hAnsi="Times New Roman"/>
            <w:color w:themeColor="accent3" w:themeShade="80" w:val="4F6228"/>
          </w:rPr>
          <w:instrText xml:space="preserve"> PAGE </w:instrText>
        </w:r>
        <w:r>
          <w:rPr>
            <w:sz w:val="20"/>
            <w:b/>
            <w:szCs w:val="20"/>
            <w:rFonts w:cs="Times New Roman" w:ascii="Times New Roman" w:hAnsi="Times New Roman"/>
            <w:color w:themeColor="accent3" w:themeShade="80" w:val="4F6228"/>
          </w:rPr>
          <w:fldChar w:fldCharType="separate"/>
        </w:r>
        <w:r>
          <w:rPr>
            <w:sz w:val="20"/>
            <w:b/>
            <w:szCs w:val="20"/>
            <w:rFonts w:cs="Times New Roman" w:ascii="Times New Roman" w:hAnsi="Times New Roman"/>
            <w:color w:themeColor="accent3" w:themeShade="80" w:val="4F6228"/>
          </w:rPr>
          <w:t>17</w:t>
        </w:r>
        <w:r>
          <w:rPr>
            <w:sz w:val="20"/>
            <w:b/>
            <w:szCs w:val="20"/>
            <w:rFonts w:cs="Times New Roman" w:ascii="Times New Roman" w:hAnsi="Times New Roman"/>
            <w:color w:themeColor="accent3" w:themeShade="80" w:val="4F6228"/>
          </w:rPr>
          <w:fldChar w:fldCharType="end"/>
        </w:r>
      </w:p>
    </w:sdtContent>
  </w:sdt>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65508212"/>
    </w:sdtPr>
    <w:sdtContent>
      <w:p>
        <w:pPr>
          <w:pStyle w:val="Footer"/>
          <w:jc w:val="right"/>
          <w:rPr>
            <w:rFonts w:ascii="Times New Roman" w:hAnsi="Times New Roman" w:cs="Times New Roman"/>
            <w:b/>
            <w:color w:themeColor="accent3" w:themeShade="80" w:val="4F6228"/>
            <w:sz w:val="20"/>
            <w:szCs w:val="20"/>
          </w:rPr>
        </w:pPr>
        <w:r>
          <w:rPr>
            <w:rFonts w:cs="Times New Roman" w:ascii="Times New Roman" w:hAnsi="Times New Roman"/>
            <w:b/>
            <w:color w:themeColor="accent3" w:themeShade="80" w:val="4F6228"/>
            <w:sz w:val="20"/>
            <w:szCs w:val="20"/>
          </w:rPr>
          <mc:AlternateContent>
            <mc:Choice Requires="wps">
              <w:drawing>
                <wp:anchor behindDoc="1" distT="19050" distB="95250" distL="38100" distR="52705" simplePos="0" locked="0" layoutInCell="1" allowOverlap="1" relativeHeight="31" wp14:anchorId="71B60286">
                  <wp:simplePos x="0" y="0"/>
                  <wp:positionH relativeFrom="column">
                    <wp:posOffset>13335</wp:posOffset>
                  </wp:positionH>
                  <wp:positionV relativeFrom="paragraph">
                    <wp:posOffset>-41910</wp:posOffset>
                  </wp:positionV>
                  <wp:extent cx="6120130" cy="0"/>
                  <wp:effectExtent l="46355" t="24130" r="46990" b="69850"/>
                  <wp:wrapNone/>
                  <wp:docPr id="20" name="Conector reto 2"/>
                  <a:graphic xmlns:a="http://schemas.openxmlformats.org/drawingml/2006/main">
                    <a:graphicData uri="http://schemas.microsoft.com/office/word/2010/wordprocessingShape">
                      <wps:wsp>
                        <wps:cNvSpPr/>
                        <wps:spPr>
                          <a:xfrm>
                            <a:off x="0" y="0"/>
                            <a:ext cx="6120000" cy="0"/>
                          </a:xfrm>
                          <a:prstGeom prst="line">
                            <a:avLst/>
                          </a:prstGeom>
                          <a:ln w="12700">
                            <a:solidFill>
                              <a:srgbClr val="9bbb59"/>
                            </a:solidFill>
                            <a:round/>
                          </a:ln>
                        </wps:spPr>
                        <wps:style>
                          <a:lnRef idx="3">
                            <a:schemeClr val="accent3"/>
                          </a:lnRef>
                          <a:fillRef idx="0">
                            <a:schemeClr val="accent3"/>
                          </a:fillRef>
                          <a:effectRef idx="2">
                            <a:schemeClr val="accent3"/>
                          </a:effectRef>
                          <a:fontRef idx="minor"/>
                        </wps:style>
                        <wps:bodyPr/>
                      </wps:wsp>
                    </a:graphicData>
                  </a:graphic>
                </wp:anchor>
              </w:drawing>
            </mc:Choice>
            <mc:Fallback>
              <w:pict>
                <v:line id="shape_0" from="1.05pt,-3.3pt" to="482.9pt,-3.3pt" ID="Conector reto 2" stroked="t" o:allowincell="f" style="position:absolute" wp14:anchorId="71B60286">
                  <v:stroke color="#9bbb59" weight="12600" joinstyle="round" endcap="flat"/>
                  <v:fill o:detectmouseclick="t" on="false"/>
                  <v:shadow on="t" obscured="f" color="black"/>
                  <w10:wrap type="none"/>
                </v:line>
              </w:pict>
            </mc:Fallback>
          </mc:AlternateContent>
          <w:fldChar w:fldCharType="begin"/>
        </w:r>
        <w:r>
          <w:rPr>
            <w:sz w:val="20"/>
            <w:b/>
            <w:szCs w:val="20"/>
            <w:rFonts w:cs="Times New Roman" w:ascii="Times New Roman" w:hAnsi="Times New Roman"/>
            <w:color w:themeColor="accent3" w:themeShade="80" w:val="4F6228"/>
          </w:rPr>
          <w:instrText xml:space="preserve"> PAGE </w:instrText>
        </w:r>
        <w:r>
          <w:rPr>
            <w:sz w:val="20"/>
            <w:b/>
            <w:szCs w:val="20"/>
            <w:rFonts w:cs="Times New Roman" w:ascii="Times New Roman" w:hAnsi="Times New Roman"/>
            <w:color w:themeColor="accent3" w:themeShade="80" w:val="4F6228"/>
          </w:rPr>
          <w:fldChar w:fldCharType="separate"/>
        </w:r>
        <w:r>
          <w:rPr>
            <w:sz w:val="20"/>
            <w:b/>
            <w:szCs w:val="20"/>
            <w:rFonts w:cs="Times New Roman" w:ascii="Times New Roman" w:hAnsi="Times New Roman"/>
            <w:color w:themeColor="accent3" w:themeShade="80" w:val="4F6228"/>
          </w:rPr>
          <w:t>17</w:t>
        </w:r>
        <w:r>
          <w:rPr>
            <w:sz w:val="20"/>
            <w:b/>
            <w:szCs w:val="20"/>
            <w:rFonts w:cs="Times New Roman" w:ascii="Times New Roman" w:hAnsi="Times New Roman"/>
            <w:color w:themeColor="accent3" w:themeShade="80" w:val="4F6228"/>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cs="Calibri" w:cstheme="minorHAnsi"/>
      </w:rPr>
    </w:pPr>
    <w:r>
      <w:rPr>
        <w:rFonts w:cs="Calibri" w:cstheme="minorHAnsi"/>
        <w:sz w:val="20"/>
        <w:szCs w:val="20"/>
      </w:rPr>
      <w:t>Estados Brasileiros, 2000 - 2013</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cs="Calibri" w:cstheme="minorHAnsi"/>
      </w:rPr>
    </w:pPr>
    <w:r>
      <w:rPr>
        <w:rFonts w:cs="Calibri" w:cstheme="minorHAnsi"/>
        <w:sz w:val="20"/>
        <w:szCs w:val="20"/>
      </w:rPr>
      <w:t>Estados Brasileiros, 2000 - 2013</w:t>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cs="Calibri" w:cstheme="minorHAnsi"/>
      </w:rPr>
    </w:pPr>
    <w:r>
      <w:rPr>
        <w:rFonts w:cs="Calibri" w:cstheme="minorHAnsi"/>
        <w:sz w:val="20"/>
        <w:szCs w:val="20"/>
      </w:rPr>
      <w:t>Estados Brasileiros, 2000 - 2013</w:t>
    </w:r>
  </w:p>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ascii="Verdana" w:hAnsi="Verdana" w:eastAsia="Calibri" w:cs="Arial"/>
        <w:b/>
        <w:color w:themeColor="accent3" w:themeShade="80" w:val="4F6228"/>
        <w:sz w:val="20"/>
        <w:szCs w:val="20"/>
      </w:rPr>
    </w:pPr>
    <w:r>
      <w:rPr>
        <w:rFonts w:eastAsia="Calibri" w:cs="Arial" w:ascii="Verdana" w:hAnsi="Verdana"/>
        <w:b/>
        <w:color w:themeColor="accent3" w:themeShade="80" w:val="4F6228"/>
        <w:sz w:val="20"/>
        <w:szCs w:val="20"/>
      </w:rPr>
      <w:t xml:space="preserve">IPECE Informe - Nº 000 - </w:t>
    </w:r>
    <w:r>
      <w:rPr>
        <w:rFonts w:eastAsia="Arial Unicode MS" w:cs="Arial Unicode MS" w:ascii="Verdana" w:hAnsi="Verdana"/>
        <w:b/>
        <w:color w:themeColor="accent3" w:themeShade="80" w:val="4F6228"/>
        <w:sz w:val="20"/>
        <w:szCs w:val="20"/>
      </w:rPr>
      <w:t>Janeiro</w:t>
    </w:r>
    <w:r>
      <w:rPr>
        <w:rFonts w:eastAsia="Calibri" w:cs="Arial" w:ascii="Verdana" w:hAnsi="Verdana"/>
        <w:b/>
        <w:color w:themeColor="accent3" w:themeShade="80" w:val="4F6228"/>
        <w:sz w:val="20"/>
        <w:szCs w:val="20"/>
      </w:rPr>
      <w:t>/2026</w:t>
    </w:r>
  </w:p>
  <w:p>
    <w:pPr>
      <w:pStyle w:val="Header"/>
      <w:jc w:val="right"/>
      <w:rPr>
        <w:rFonts w:cs="Calibri" w:cstheme="minorHAnsi"/>
        <w:color w:themeColor="background1" w:themeShade="bf" w:val="BFBFBF"/>
        <w:sz w:val="20"/>
        <w:szCs w:val="20"/>
      </w:rPr>
    </w:pPr>
    <w:r>
      <w:rPr>
        <w:rFonts w:cs="Calibri" w:cstheme="minorHAnsi"/>
        <w:color w:themeColor="background1" w:themeShade="bf" w:val="BFBFBF"/>
        <w:sz w:val="20"/>
        <w:szCs w:val="20"/>
      </w:rPr>
      <mc:AlternateContent>
        <mc:Choice Requires="wps">
          <w:drawing>
            <wp:anchor behindDoc="1" distT="38100" distB="95250" distL="57150" distR="52705" simplePos="0" locked="0" layoutInCell="1" allowOverlap="1" relativeHeight="16" wp14:anchorId="5E268664">
              <wp:simplePos x="0" y="0"/>
              <wp:positionH relativeFrom="column">
                <wp:posOffset>-6350</wp:posOffset>
              </wp:positionH>
              <wp:positionV relativeFrom="paragraph">
                <wp:posOffset>64135</wp:posOffset>
              </wp:positionV>
              <wp:extent cx="6120130" cy="0"/>
              <wp:effectExtent l="54610" t="31750" r="54610" b="77470"/>
              <wp:wrapNone/>
              <wp:docPr id="17" name="Conector reto 20"/>
              <a:graphic xmlns:a="http://schemas.openxmlformats.org/drawingml/2006/main">
                <a:graphicData uri="http://schemas.microsoft.com/office/word/2010/wordprocessingShape">
                  <wps:wsp>
                    <wps:cNvSpPr/>
                    <wps:spPr>
                      <a:xfrm>
                        <a:off x="0" y="0"/>
                        <a:ext cx="6120000" cy="0"/>
                      </a:xfrm>
                      <a:prstGeom prst="line">
                        <a:avLst/>
                      </a:prstGeom>
                      <a:ln w="28575">
                        <a:solidFill>
                          <a:srgbClr val="9bbb59"/>
                        </a:solidFill>
                        <a:round/>
                      </a:ln>
                    </wps:spPr>
                    <wps:style>
                      <a:lnRef idx="3">
                        <a:schemeClr val="accent3"/>
                      </a:lnRef>
                      <a:fillRef idx="0">
                        <a:schemeClr val="accent3"/>
                      </a:fillRef>
                      <a:effectRef idx="2">
                        <a:schemeClr val="accent3"/>
                      </a:effectRef>
                      <a:fontRef idx="minor"/>
                    </wps:style>
                    <wps:bodyPr/>
                  </wps:wsp>
                </a:graphicData>
              </a:graphic>
            </wp:anchor>
          </w:drawing>
        </mc:Choice>
        <mc:Fallback>
          <w:pict>
            <v:line id="shape_0" from="-0.5pt,5.05pt" to="481.35pt,5.05pt" ID="Conector reto 20" stroked="t" o:allowincell="f" style="position:absolute" wp14:anchorId="5E268664">
              <v:stroke color="#9bbb59" weight="28440" joinstyle="round" endcap="flat"/>
              <v:fill o:detectmouseclick="t" on="false"/>
              <v:shadow on="t" obscured="f" color="black"/>
              <w10:wrap type="none"/>
            </v:line>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ascii="Verdana" w:hAnsi="Verdana" w:eastAsia="Calibri" w:cs="Arial"/>
        <w:b/>
        <w:color w:themeColor="accent3" w:themeShade="80" w:val="4F6228"/>
        <w:sz w:val="20"/>
        <w:szCs w:val="20"/>
      </w:rPr>
    </w:pPr>
    <w:r>
      <w:rPr>
        <w:rFonts w:eastAsia="Calibri" w:cs="Arial" w:ascii="Verdana" w:hAnsi="Verdana"/>
        <w:b/>
        <w:color w:themeColor="accent3" w:themeShade="80" w:val="4F6228"/>
        <w:sz w:val="20"/>
        <w:szCs w:val="20"/>
      </w:rPr>
      <w:t xml:space="preserve">IPECE Informe - Nº 000 - </w:t>
    </w:r>
    <w:r>
      <w:rPr>
        <w:rFonts w:eastAsia="Arial Unicode MS" w:cs="Arial Unicode MS" w:ascii="Verdana" w:hAnsi="Verdana"/>
        <w:b/>
        <w:color w:themeColor="accent3" w:themeShade="80" w:val="4F6228"/>
        <w:sz w:val="20"/>
        <w:szCs w:val="20"/>
      </w:rPr>
      <w:t>Janeiro</w:t>
    </w:r>
    <w:r>
      <w:rPr>
        <w:rFonts w:eastAsia="Calibri" w:cs="Arial" w:ascii="Verdana" w:hAnsi="Verdana"/>
        <w:b/>
        <w:color w:themeColor="accent3" w:themeShade="80" w:val="4F6228"/>
        <w:sz w:val="20"/>
        <w:szCs w:val="20"/>
      </w:rPr>
      <w:t>/2026</w:t>
    </w:r>
  </w:p>
  <w:p>
    <w:pPr>
      <w:pStyle w:val="Header"/>
      <w:jc w:val="right"/>
      <w:rPr>
        <w:rFonts w:cs="Calibri" w:cstheme="minorHAnsi"/>
        <w:color w:themeColor="background1" w:themeShade="bf" w:val="BFBFBF"/>
        <w:sz w:val="20"/>
        <w:szCs w:val="20"/>
      </w:rPr>
    </w:pPr>
    <w:r>
      <w:rPr>
        <w:rFonts w:cs="Calibri" w:cstheme="minorHAnsi"/>
        <w:color w:themeColor="background1" w:themeShade="bf" w:val="BFBFBF"/>
        <w:sz w:val="20"/>
        <w:szCs w:val="20"/>
      </w:rPr>
      <mc:AlternateContent>
        <mc:Choice Requires="wps">
          <w:drawing>
            <wp:anchor behindDoc="1" distT="38100" distB="95250" distL="57150" distR="52705" simplePos="0" locked="0" layoutInCell="1" allowOverlap="1" relativeHeight="16" wp14:anchorId="5E268664">
              <wp:simplePos x="0" y="0"/>
              <wp:positionH relativeFrom="column">
                <wp:posOffset>-6350</wp:posOffset>
              </wp:positionH>
              <wp:positionV relativeFrom="paragraph">
                <wp:posOffset>64135</wp:posOffset>
              </wp:positionV>
              <wp:extent cx="6120130" cy="0"/>
              <wp:effectExtent l="54610" t="31750" r="54610" b="77470"/>
              <wp:wrapNone/>
              <wp:docPr id="18" name="Conector reto 20"/>
              <a:graphic xmlns:a="http://schemas.openxmlformats.org/drawingml/2006/main">
                <a:graphicData uri="http://schemas.microsoft.com/office/word/2010/wordprocessingShape">
                  <wps:wsp>
                    <wps:cNvSpPr/>
                    <wps:spPr>
                      <a:xfrm>
                        <a:off x="0" y="0"/>
                        <a:ext cx="6120000" cy="0"/>
                      </a:xfrm>
                      <a:prstGeom prst="line">
                        <a:avLst/>
                      </a:prstGeom>
                      <a:ln w="28575">
                        <a:solidFill>
                          <a:srgbClr val="9bbb59"/>
                        </a:solidFill>
                        <a:round/>
                      </a:ln>
                    </wps:spPr>
                    <wps:style>
                      <a:lnRef idx="3">
                        <a:schemeClr val="accent3"/>
                      </a:lnRef>
                      <a:fillRef idx="0">
                        <a:schemeClr val="accent3"/>
                      </a:fillRef>
                      <a:effectRef idx="2">
                        <a:schemeClr val="accent3"/>
                      </a:effectRef>
                      <a:fontRef idx="minor"/>
                    </wps:style>
                    <wps:bodyPr/>
                  </wps:wsp>
                </a:graphicData>
              </a:graphic>
            </wp:anchor>
          </w:drawing>
        </mc:Choice>
        <mc:Fallback>
          <w:pict>
            <v:line id="shape_0" from="-0.5pt,5.05pt" to="481.35pt,5.05pt" ID="Conector reto 20" stroked="t" o:allowincell="f" style="position:absolute" wp14:anchorId="5E268664">
              <v:stroke color="#9bbb59" weight="28440" joinstyle="round" endcap="flat"/>
              <v:fill o:detectmouseclick="t" on="false"/>
              <v:shadow on="t" obscured="f" color="black"/>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num w:numId="1">
    <w:abstractNumId w:val="1"/>
  </w:num>
  <w:num w:numId="2">
    <w:abstractNumId w:val="2"/>
  </w:num>
</w:numbering>
</file>

<file path=word/settings.xml><?xml version="1.0" encoding="utf-8"?>
<w:settings xmlns:w="http://schemas.openxmlformats.org/wordprocessingml/2006/main">
  <w:zoom w:percent="95"/>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paragraph" w:styleId="Heading1">
    <w:name w:val="heading 1"/>
    <w:basedOn w:val="Ttulo"/>
    <w:next w:val="BodyText"/>
    <w:qFormat/>
    <w:pPr>
      <w:numPr>
        <w:ilvl w:val="0"/>
        <w:numId w:val="1"/>
      </w:numPr>
      <w:spacing w:before="240" w:after="120"/>
      <w:outlineLvl w:val="0"/>
    </w:pPr>
    <w:rPr>
      <w:b/>
      <w:bCs/>
      <w:sz w:val="36"/>
      <w:szCs w:val="36"/>
    </w:rPr>
  </w:style>
  <w:style w:type="paragraph" w:styleId="Heading2">
    <w:name w:val="heading 2"/>
    <w:basedOn w:val="Normal"/>
    <w:next w:val="BodyText"/>
    <w:qFormat/>
    <w:pPr>
      <w:keepNext w:val="true"/>
      <w:keepLines/>
      <w:numPr>
        <w:ilvl w:val="0"/>
        <w:numId w:val="2"/>
      </w:numPr>
      <w:spacing w:before="160" w:after="80"/>
      <w:outlineLvl w:val="1"/>
    </w:pPr>
    <w:rPr>
      <w:rFonts w:ascii="Calibri" w:hAnsi="Calibri" w:eastAsia="" w:cs="" w:cstheme="majorBidi" w:eastAsiaTheme="majorEastAsia"/>
      <w:b/>
      <w:color w:val="000000"/>
      <w:sz w:val="28"/>
      <w:szCs w:val="32"/>
    </w:rPr>
  </w:style>
  <w:style w:type="character" w:styleId="DefaultParagraphFont" w:default="1">
    <w:name w:val="Default Paragraph Font"/>
    <w:uiPriority w:val="1"/>
    <w:semiHidden/>
    <w:unhideWhenUsed/>
    <w:qFormat/>
    <w:rPr/>
  </w:style>
  <w:style w:type="character" w:styleId="TextodenotaderodapChar" w:customStyle="1">
    <w:name w:val="Texto de nota de rodapé Char"/>
    <w:basedOn w:val="DefaultParagraphFont"/>
    <w:uiPriority w:val="99"/>
    <w:semiHidden/>
    <w:qFormat/>
    <w:rsid w:val="00ba16fd"/>
    <w:rPr>
      <w:sz w:val="20"/>
      <w:szCs w:val="20"/>
    </w:rPr>
  </w:style>
  <w:style w:type="character" w:styleId="Caracteresdenotaderodap">
    <w:name w:val="Caracteres de nota de rodapé"/>
    <w:basedOn w:val="DefaultParagraphFont"/>
    <w:uiPriority w:val="99"/>
    <w:semiHidden/>
    <w:unhideWhenUsed/>
    <w:qFormat/>
    <w:rsid w:val="00ba16fd"/>
    <w:rPr>
      <w:vertAlign w:val="superscript"/>
    </w:rPr>
  </w:style>
  <w:style w:type="character" w:styleId="FootnoteReference">
    <w:name w:val="footnote reference"/>
    <w:rPr>
      <w:vertAlign w:val="superscript"/>
    </w:rPr>
  </w:style>
  <w:style w:type="character" w:styleId="TextodebaloChar" w:customStyle="1">
    <w:name w:val="Texto de balão Char"/>
    <w:basedOn w:val="DefaultParagraphFont"/>
    <w:link w:val="BalloonText"/>
    <w:uiPriority w:val="99"/>
    <w:semiHidden/>
    <w:qFormat/>
    <w:rsid w:val="004d5712"/>
    <w:rPr>
      <w:rFonts w:ascii="Tahoma" w:hAnsi="Tahoma" w:cs="Tahoma"/>
      <w:sz w:val="16"/>
      <w:szCs w:val="16"/>
    </w:rPr>
  </w:style>
  <w:style w:type="character" w:styleId="CabealhoChar" w:customStyle="1">
    <w:name w:val="Cabeçalho Char"/>
    <w:basedOn w:val="DefaultParagraphFont"/>
    <w:uiPriority w:val="99"/>
    <w:qFormat/>
    <w:rsid w:val="000322e1"/>
    <w:rPr/>
  </w:style>
  <w:style w:type="character" w:styleId="RodapChar" w:customStyle="1">
    <w:name w:val="Rodapé Char"/>
    <w:basedOn w:val="DefaultParagraphFont"/>
    <w:uiPriority w:val="99"/>
    <w:qFormat/>
    <w:rsid w:val="000322e1"/>
    <w:rPr/>
  </w:style>
  <w:style w:type="character" w:styleId="TtuloChar" w:customStyle="1">
    <w:name w:val="Título Char"/>
    <w:basedOn w:val="DefaultParagraphFont"/>
    <w:uiPriority w:val="10"/>
    <w:qFormat/>
    <w:rsid w:val="00d07cf9"/>
    <w:rPr>
      <w:rFonts w:ascii="Cambria" w:hAnsi="Cambria" w:eastAsia="" w:cs="" w:asciiTheme="majorHAnsi" w:cstheme="majorBidi" w:eastAsiaTheme="majorEastAsia" w:hAnsiTheme="majorHAnsi"/>
      <w:spacing w:val="-10"/>
      <w:kern w:val="2"/>
      <w:sz w:val="56"/>
      <w:szCs w:val="56"/>
    </w:rPr>
  </w:style>
  <w:style w:type="character" w:styleId="TtuloChar1" w:customStyle="1">
    <w:name w:val="Título Char1"/>
    <w:qFormat/>
    <w:rsid w:val="00d07cf9"/>
    <w:rPr>
      <w:rFonts w:ascii="Arial" w:hAnsi="Arial" w:eastAsia="Microsoft YaHei" w:cs="Times New Roman"/>
      <w:b/>
      <w:bCs/>
      <w:color w:val="000000"/>
      <w:kern w:val="2"/>
      <w:sz w:val="28"/>
      <w:szCs w:val="28"/>
      <w:lang w:val="x-none"/>
    </w:rPr>
  </w:style>
  <w:style w:type="character" w:styleId="SubttuloChar" w:customStyle="1">
    <w:name w:val="Subtítulo Char"/>
    <w:basedOn w:val="DefaultParagraphFont"/>
    <w:uiPriority w:val="11"/>
    <w:qFormat/>
    <w:rsid w:val="00d07cf9"/>
    <w:rPr>
      <w:rFonts w:eastAsia="" w:eastAsiaTheme="minorEastAsia"/>
      <w:color w:themeColor="text1" w:themeTint="a5" w:val="5A5A5A"/>
      <w:spacing w:val="15"/>
    </w:rPr>
  </w:style>
  <w:style w:type="character" w:styleId="Hyperlink">
    <w:name w:val="Hyperlink"/>
    <w:basedOn w:val="DefaultParagraphFont"/>
    <w:uiPriority w:val="99"/>
    <w:unhideWhenUsed/>
    <w:rsid w:val="000948ea"/>
    <w:rPr>
      <w:color w:themeColor="hyperlink" w:val="0000FF"/>
      <w:u w:val="single"/>
    </w:rPr>
  </w:style>
  <w:style w:type="character" w:styleId="Smbolosdenumerao">
    <w:name w:val="Símbolos de numeração"/>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istParagraph">
    <w:name w:val="List Paragraph"/>
    <w:basedOn w:val="Normal"/>
    <w:uiPriority w:val="34"/>
    <w:qFormat/>
    <w:rsid w:val="00ba16fd"/>
    <w:pPr>
      <w:spacing w:before="0" w:after="200"/>
      <w:ind w:left="720"/>
      <w:contextualSpacing/>
    </w:pPr>
    <w:rPr/>
  </w:style>
  <w:style w:type="paragraph" w:styleId="FootnoteText">
    <w:name w:val="footnote text"/>
    <w:basedOn w:val="Normal"/>
    <w:link w:val="TextodenotaderodapChar"/>
    <w:uiPriority w:val="99"/>
    <w:semiHidden/>
    <w:unhideWhenUsed/>
    <w:rsid w:val="00ba16fd"/>
    <w:pPr>
      <w:spacing w:lineRule="auto" w:line="240" w:before="0" w:after="0"/>
    </w:pPr>
    <w:rPr>
      <w:sz w:val="20"/>
      <w:szCs w:val="20"/>
    </w:rPr>
  </w:style>
  <w:style w:type="paragraph" w:styleId="BalloonText">
    <w:name w:val="Balloon Text"/>
    <w:basedOn w:val="Normal"/>
    <w:link w:val="TextodebaloChar"/>
    <w:uiPriority w:val="99"/>
    <w:semiHidden/>
    <w:unhideWhenUsed/>
    <w:qFormat/>
    <w:rsid w:val="004d5712"/>
    <w:pPr>
      <w:spacing w:lineRule="auto" w:line="240" w:before="0" w:after="0"/>
    </w:pPr>
    <w:rPr>
      <w:rFonts w:ascii="Tahoma" w:hAnsi="Tahoma" w:cs="Tahoma"/>
      <w:sz w:val="16"/>
      <w:szCs w:val="16"/>
    </w:rPr>
  </w:style>
  <w:style w:type="paragraph" w:styleId="Cabealhoerodap">
    <w:name w:val="Cabeçalho e rodapé"/>
    <w:basedOn w:val="Normal"/>
    <w:qFormat/>
    <w:pPr/>
    <w:rPr/>
  </w:style>
  <w:style w:type="paragraph" w:styleId="Header">
    <w:name w:val="header"/>
    <w:basedOn w:val="Normal"/>
    <w:link w:val="CabealhoChar"/>
    <w:uiPriority w:val="99"/>
    <w:unhideWhenUsed/>
    <w:rsid w:val="000322e1"/>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0322e1"/>
    <w:pPr>
      <w:tabs>
        <w:tab w:val="clear" w:pos="708"/>
        <w:tab w:val="center" w:pos="4252" w:leader="none"/>
        <w:tab w:val="right" w:pos="8504" w:leader="none"/>
      </w:tabs>
      <w:spacing w:lineRule="auto" w:line="240" w:before="0" w:after="0"/>
    </w:pPr>
    <w:rPr/>
  </w:style>
  <w:style w:type="paragraph" w:styleId="Pargrafobsico" w:customStyle="1">
    <w:name w:val="[Parágrafo básico]"/>
    <w:basedOn w:val="Normal"/>
    <w:uiPriority w:val="99"/>
    <w:qFormat/>
    <w:rsid w:val="000322e1"/>
    <w:pPr>
      <w:tabs>
        <w:tab w:val="left" w:pos="708" w:leader="none"/>
      </w:tabs>
      <w:suppressAutoHyphens w:val="true"/>
      <w:spacing w:lineRule="auto" w:line="288" w:before="0" w:after="0"/>
    </w:pPr>
    <w:rPr>
      <w:rFonts w:ascii="Minion Pro" w:hAnsi="Minion Pro" w:eastAsia="Calibri" w:cs="Minion Pro"/>
      <w:color w:val="000000"/>
      <w:kern w:val="2"/>
      <w:sz w:val="24"/>
      <w:szCs w:val="24"/>
      <w:lang w:eastAsia="pt-BR"/>
    </w:rPr>
  </w:style>
  <w:style w:type="paragraph" w:styleId="Title">
    <w:name w:val="Title"/>
    <w:basedOn w:val="Normal"/>
    <w:next w:val="Subtitle"/>
    <w:link w:val="TtuloChar1"/>
    <w:qFormat/>
    <w:rsid w:val="00d07cf9"/>
    <w:pPr>
      <w:keepNext w:val="true"/>
      <w:tabs>
        <w:tab w:val="left" w:pos="708" w:leader="none"/>
      </w:tabs>
      <w:suppressAutoHyphens w:val="true"/>
      <w:spacing w:lineRule="atLeast" w:line="100" w:before="240" w:after="120"/>
      <w:jc w:val="center"/>
    </w:pPr>
    <w:rPr>
      <w:rFonts w:ascii="Arial" w:hAnsi="Arial" w:eastAsia="Microsoft YaHei" w:cs="Times New Roman"/>
      <w:b/>
      <w:bCs/>
      <w:color w:val="000000"/>
      <w:kern w:val="2"/>
      <w:sz w:val="28"/>
      <w:szCs w:val="28"/>
      <w:lang w:val="x-none"/>
    </w:rPr>
  </w:style>
  <w:style w:type="paragraph" w:styleId="Subtitle">
    <w:name w:val="Subtitle"/>
    <w:basedOn w:val="Normal"/>
    <w:next w:val="Normal"/>
    <w:link w:val="SubttuloChar"/>
    <w:uiPriority w:val="11"/>
    <w:qFormat/>
    <w:rsid w:val="00d07cf9"/>
    <w:pPr>
      <w:spacing w:before="0" w:after="160"/>
    </w:pPr>
    <w:rPr>
      <w:rFonts w:eastAsia="" w:eastAsiaTheme="minorEastAsia"/>
      <w:color w:themeColor="text1" w:themeTint="a5" w:val="5A5A5A"/>
      <w:spacing w:val="15"/>
    </w:rPr>
  </w:style>
  <w:style w:type="paragraph" w:styleId="NormalWeb">
    <w:name w:val="Normal (Web)"/>
    <w:basedOn w:val="Normal"/>
    <w:uiPriority w:val="99"/>
    <w:unhideWhenUsed/>
    <w:qFormat/>
    <w:rsid w:val="002c5c84"/>
    <w:pPr>
      <w:spacing w:lineRule="auto" w:line="240" w:beforeAutospacing="1" w:afterAutospacing="1"/>
    </w:pPr>
    <w:rPr>
      <w:rFonts w:ascii="Times New Roman" w:hAnsi="Times New Roman" w:eastAsia="Times New Roman" w:cs="Times New Roman"/>
      <w:sz w:val="24"/>
      <w:szCs w:val="24"/>
      <w:lang w:eastAsia="pt-BR"/>
    </w:rPr>
  </w:style>
  <w:style w:type="paragraph" w:styleId="Contedodoquadro">
    <w:name w:val="Conteúdo do quadro"/>
    <w:basedOn w:val="Normal"/>
    <w:qFormat/>
    <w:pPr/>
    <w:rPr/>
  </w:style>
  <w:style w:type="paragraph" w:styleId="Anotaouser">
    <w:name w:val="Anotação (user)"/>
    <w:basedOn w:val="Normal"/>
    <w:qFormat/>
    <w:pPr>
      <w:spacing w:lineRule="auto" w:line="240" w:before="56" w:after="0"/>
      <w:ind w:hanging="0" w:left="907" w:right="57"/>
    </w:pPr>
    <w:rPr>
      <w:color w:val="auto"/>
      <w:sz w:val="20"/>
      <w:szCs w:val="20"/>
    </w:rPr>
  </w:style>
  <w:style w:type="paragraph" w:styleId="FirstParagraph">
    <w:name w:val="First Paragraph"/>
    <w:basedOn w:val="BodyText"/>
    <w:next w:val="BodyText"/>
    <w:qFormat/>
    <w:pPr/>
    <w:rPr/>
  </w:style>
  <w:style w:type="paragraph" w:styleId="ImageCaption">
    <w:name w:val="Image Caption"/>
    <w:basedOn w:val="Caption"/>
    <w:qFormat/>
    <w:pPr>
      <w:ind w:left="0" w:right="0"/>
    </w:pPr>
    <w:rPr/>
  </w:style>
  <w:style w:type="paragraph" w:styleId="Compact">
    <w:name w:val="Compact"/>
    <w:basedOn w:val="BodyText"/>
    <w:qFormat/>
    <w:pPr>
      <w:spacing w:lineRule="auto" w:line="240" w:before="36" w:after="36"/>
      <w:ind w:hanging="0"/>
    </w:pPr>
    <w:rPr/>
  </w:style>
  <w:style w:type="paragraph" w:styleId="Anotao">
    <w:name w:val="Anotação"/>
    <w:basedOn w:val="Normal"/>
    <w:qFormat/>
    <w:pPr>
      <w:spacing w:lineRule="auto" w:line="240" w:before="56" w:after="0"/>
      <w:ind w:hanging="0" w:left="57" w:right="57"/>
    </w:pPr>
    <w:rPr>
      <w:color w:val="auto"/>
      <w:sz w:val="20"/>
      <w:szCs w:val="20"/>
    </w:rPr>
  </w:style>
  <w:style w:type="numbering" w:styleId="Semlista" w:default="1">
    <w:name w:val="Sem lista"/>
    <w:uiPriority w:val="99"/>
    <w:semiHidden/>
    <w:unhideWhenUsed/>
    <w:qFormat/>
  </w:style>
  <w:style w:type="numbering" w:styleId="Numerao123">
    <w:name w:val="Numeração 123"/>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6b686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eader" Target="header6.xml"/><Relationship Id="rId25" Type="http://schemas.openxmlformats.org/officeDocument/2006/relationships/header" Target="header7.xml"/><Relationship Id="rId26" Type="http://schemas.openxmlformats.org/officeDocument/2006/relationships/header" Target="header8.xml"/><Relationship Id="rId27" Type="http://schemas.openxmlformats.org/officeDocument/2006/relationships/footer" Target="footer6.xml"/><Relationship Id="rId28" Type="http://schemas.openxmlformats.org/officeDocument/2006/relationships/footer" Target="footer7.xml"/><Relationship Id="rId29" Type="http://schemas.openxmlformats.org/officeDocument/2006/relationships/footer" Target="footer8.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CB153-0443-49A4-A8F4-A5A8F9AF7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Application>LibreOffice/25.2.7.2$Windows_X86_64 LibreOffice_project/5cbfd1ab6520636bb5f7b99185aa69bd7456825d</Application>
  <AppVersion>15.0000</AppVersion>
  <Pages>17</Pages>
  <Words>3826</Words>
  <Characters>22040</Characters>
  <CharactersWithSpaces>25637</CharactersWithSpaces>
  <Paragraphs>275</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2017-05-30T18:46:00Z</dcterms:created>
  <dc:creator>dercio.chaves</dc:creator>
  <dc:description/>
  <dc:language>pt-BR</dc:language>
  <cp:lastModifiedBy/>
  <cp:lastPrinted>2026-01-23T09:44:24Z</cp:lastPrinted>
  <dcterms:modified xsi:type="dcterms:W3CDTF">2026-01-23T09:45:40Z</dcterms:modified>
  <cp:revision>94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91a117c3-a20d-4db3-9e03-690307f34b83</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2024-04-10T17:38:57Z</vt:lpwstr>
  </property>
  <property fmtid="{D5CDD505-2E9C-101B-9397-08002B2CF9AE}" pid="8" name="MSIP_Label_defa4170-0d19-0005-0004-bc88714345d2_SiteId">
    <vt:lpwstr>a281075a-ef05-4955-af75-185e0173842a</vt:lpwstr>
  </property>
</Properties>
</file>