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2.png" ContentType="image/png"/>
  <Override PartName="/word/media/rId40.png" ContentType="image/png"/>
  <Override PartName="/word/media/rId34.png" ContentType="image/png"/>
  <Override PartName="/word/media/rId22.png" ContentType="image/png"/>
  <Override PartName="/word/media/rId29.png" ContentType="image/png"/>
  <Override PartName="/word/media/rId49.png" ContentType="image/png"/>
  <Override PartName="/word/media/rId55.png" ContentType="image/png"/>
  <Override PartName="/word/media/rId4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segurança alimentar no Ceará em 2024</w:t>
      </w:r>
    </w:p>
    <w:bookmarkStart w:id="20" w:name="introdução"/>
    <w:p>
      <w:pPr>
        <w:pStyle w:val="Heading2"/>
      </w:pPr>
      <w:r>
        <w:t xml:space="preserve">Introdução</w:t>
      </w:r>
    </w:p>
    <w:p>
      <w:pPr>
        <w:pStyle w:val="FirstParagraph"/>
      </w:pPr>
      <w:r>
        <w:t xml:space="preserve">O Instituto Brasileiro de Geografia e Estatística (IBGE) disponibilizou os dados da última aplicação da Escala Brasileira de Insegurança Alimentar (EBIA) no ano de 2024, por meio da Pesquisa Nacional por Amostra de Domicílios Contínua (PNAD) Contínua. Essa é a quinta vez que o IBGE divulga uma série de resultados sobre o tema, o que permite a comparação da evolução dos indicadores de Segurança Alimentar e Nutricional (SAN), ao longo dos anos. Os resultados se referem às situações vivenciadas pelos moradores dos domicílios particulares permanentes nos últimos três meses anteriores à pesquisa, realizada no quarto trimestre de 2024. De acordo com os resultados, os domicílios podem ser classificados em Segurança Alimentar (SA) e Insegurança Alimentar (IA),</w:t>
      </w:r>
      <w:r>
        <w:t xml:space="preserve"> </w:t>
      </w:r>
      <w:r>
        <w:t xml:space="preserve">classificada em três níveis leve, moderada ou grave</w:t>
      </w:r>
    </w:p>
    <w:bookmarkEnd w:id="20"/>
    <w:bookmarkStart w:id="28" w:name="X2b04292d419845ed40b8763a69d51425c4dc22f"/>
    <w:p>
      <w:pPr>
        <w:pStyle w:val="Heading2"/>
      </w:pPr>
      <w:r>
        <w:t xml:space="preserve">Evolução da prevalência de segurança e insegurança alimentar no Ceará</w:t>
      </w:r>
    </w:p>
    <w:p>
      <w:pPr>
        <w:pStyle w:val="FirstParagraph"/>
      </w:pPr>
      <w:r>
        <w:rPr>
          <w:vertAlign w:val="subscript"/>
        </w:rPr>
        <w:t xml:space="preserve">Source:</w:t>
      </w:r>
      <w:r>
        <w:rPr>
          <w:vertAlign w:val="subscript"/>
        </w:rPr>
        <w:t xml:space="preserve"> </w:t>
      </w:r>
      <w:hyperlink r:id="rId21">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21">
        <w:r>
          <w:rPr>
            <w:rStyle w:val="Hyperlink"/>
            <w:vertAlign w:val="subscript"/>
          </w:rPr>
          <w:t xml:space="preserve">Article Notebook</w:t>
        </w:r>
      </w:hyperlink>
    </w:p>
    <w:p>
      <w:pPr>
        <w:pStyle w:val="BodyText"/>
      </w:pPr>
      <w:r>
        <w:t xml:space="preserve">Em 2024, 69,5% dos domicílios cearenses estavam em situação de segurança alimentar, que ocorre quando os moradores têm acesso regular e permanente a alimentos de qualidade e em quantidade suficiente. Esse é o maior valor da série histórica iniciada em 2004, quando o IBGE aplicou pela primeira vez a Escala Brasileira de Insegurança Alimentar (EBIA) para investigar a situação de segurança alimentar nos domicílios brasileiros na extinta Pesquisa Nacional por Amostra de Domicílios (PNAD), conforme pode ser verificado no Gráfico 1, acima</w:t>
      </w:r>
    </w:p>
    <w:bookmarkStart w:id="26" w:name="cell-fig-evolucao"/>
    <w:tbl>
      <w:tblPr>
        <w:tblStyle w:val="Table"/>
        <w:tblW w:type="pct" w:w="5000"/>
        <w:tblLayout w:type="fixed"/>
        <w:tblLook w:firstRow="0" w:lastRow="0" w:firstColumn="0" w:lastColumn="0" w:noHBand="0" w:noVBand="0" w:val="0000"/>
      </w:tblPr>
      <w:tblGrid>
        <w:gridCol w:w="7920"/>
      </w:tblGrid>
      <w:tr>
        <w:tc>
          <w:tcPr/>
          <w:bookmarkStart w:id="25" w:name="fig-evolucao"/>
          <w:p>
            <w:pPr>
              <w:jc w:val="center"/>
            </w:pPr>
            <w:pPr>
              <w:jc w:val="left"/>
              <w:spacing w:before="200"/>
              <w:pStyle w:val="ImageCaption"/>
            </w:pPr>
            <w:r>
              <w:t xml:space="preserve">Figure 1: Evolução da prevalência de segurança alimentar e insegurança leve,</w:t>
            </w:r>
            <w:r>
              <w:t xml:space="preserve"> </w:t>
            </w:r>
            <w:r>
              <w:t xml:space="preserve">moderada e grave nos domicílios particulares permanentes.</w:t>
            </w:r>
          </w:p>
          <w:p>
            <w:pPr>
              <w:pStyle w:val="Compact"/>
              <w:jc w:val="center"/>
            </w:pPr>
            <w:r>
              <w:drawing>
                <wp:inline>
                  <wp:extent cx="4620126" cy="3696101"/>
                  <wp:effectExtent b="0" l="0" r="0" t="0"/>
                  <wp:docPr descr="" title="" id="23" name="Picture"/>
                  <a:graphic>
                    <a:graphicData uri="http://schemas.openxmlformats.org/drawingml/2006/picture">
                      <pic:pic>
                        <pic:nvPicPr>
                          <pic:cNvPr descr="index_files/figure-docx/fig-evolucao-1.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tc>
      </w:tr>
    </w:tbl>
    <w:p>
      <w:pPr>
        <w:pStyle w:val="BodyText"/>
      </w:pPr>
      <w:r>
        <w:rPr>
          <w:vertAlign w:val="subscript"/>
        </w:rPr>
        <w:t xml:space="preserve">Source:</w:t>
      </w:r>
      <w:r>
        <w:rPr>
          <w:vertAlign w:val="subscript"/>
        </w:rPr>
        <w:t xml:space="preserve"> </w:t>
      </w:r>
      <w:hyperlink r:id="rId21">
        <w:r>
          <w:rPr>
            <w:rStyle w:val="Hyperlink"/>
            <w:vertAlign w:val="subscript"/>
          </w:rPr>
          <w:t xml:space="preserve">Article Notebook</w:t>
        </w:r>
      </w:hyperlink>
    </w:p>
    <w:bookmarkEnd w:id="26"/>
    <w:p>
      <w:pPr>
        <w:pStyle w:val="BodyText"/>
      </w:pPr>
      <w:r>
        <w:t xml:space="preserve">Consequentemente, de forma inversa, o percentual de domicílios nos quais os moradores, inclusive as crianças, ficaram um dia inteiro sem comer por falta de dinheiro para comprar alimentos (IA grave), atingiu o menor valor nos últimos 20 anos. Entre 2023 e 2024, o percentual dos domicílios cearenses que estavam em situação de insegurança alimentar grave caiu de 6,3% para 4,5% no último ano. Esse valor é menor inclusive do que o percentual observado em 2013 (5,1%) no Ceará, quando o Brasil saiu pela primeira vez do Mapa da Fome, segundo a Organização das Nações Unidas para a Alimentação e a Agricultura (FAO). No mesmo período, a insegurança alimentar leve teve queda de 21,4% para 19,8%, enquanto a moderada, caiu de 7,5% para 6,2%. Ao todo, a proporção de domicílios cearenses com algum grau de insegurança alimentar recuou de 35,1% para 30,5% entre 2023 e 2024. De modo que, é possível verificar que a redução foi mais intensa na insegurança alimentar grave que caiu -1,8 pontos percentuais, enquanto a IA leve e a moderada caíram -1,6 e -1,3 p.p., respectivamente.</w:t>
      </w:r>
    </w:p>
    <w:p>
      <w:pPr>
        <w:pStyle w:val="BodyText"/>
      </w:pPr>
      <w:r>
        <w:t xml:space="preserve">Em números absolutos, dos 9,195 milhões de pessoas na população do Ceará estimada pela PNAD Contínua no quarto trimestre de 2024, mais de 3 milhões, o equivalente a 32,5% da população total, sofreram algum grau de insegurança alimentar. Destes, 391 mil tiveram que reduzir a quantidade de alimentos consumidos, chegando até mesmo a passar fome (IA Grave). Apesar dessa realidade ainda angustiante, em comparação ao ano de 2023, mil cearenses deixaram de passar fome. Isso representou uma redução de -27,6% no total de cearenses em situação alimentar grave no último ano.</w:t>
      </w:r>
    </w:p>
    <w:tbl>
      <w:tblPr>
        <w:tblStyle w:val="Table"/>
        <w:tblW w:type="pct" w:w="5000"/>
        <w:tblLayout w:type="fixed"/>
        <w:tblLook w:firstRow="0" w:lastRow="0" w:firstColumn="0" w:lastColumn="0" w:noHBand="0" w:noVBand="0" w:val="0000"/>
      </w:tblPr>
      <w:tblGrid>
        <w:gridCol w:w="7920"/>
      </w:tblGrid>
      <w:tr>
        <w:tc>
          <w:tcPr/>
          <w:bookmarkStart w:id="27" w:name="tbl-domicilios"/>
          <w:p>
            <w:pPr>
              <w:jc w:val="center"/>
            </w:pPr>
            <w:pPr>
              <w:jc w:val="left"/>
              <w:spacing w:before="200"/>
              <w:pStyle w:val="ImageCaption"/>
            </w:pPr>
            <w:r>
              <w:t xml:space="preserve">Table 1: Domicílios particulares e moradores em domicílios particulares por situação do domicílio, segundo a situação de segurança alimentar existente no domicílio</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3"/>
                </w:tcPr>
                <w:p>
                  <w:pPr>
                    <w:spacing w:before="0" w:after="60"/>
                    <w:keepNext/>
                    <w:jc w:val="center"/>
                  </w:pPr>
                  <w:r>
                    <w:rPr>
                      <w:rFonts w:ascii="Calibri" w:hAnsi="Calibri"/>
                      <w:sz w:val="20"/>
                    </w:rPr>
                    <w:t xml:space="default">Domicílios</w:t>
                  </w:r>
                </w:p>
              </w:tc>
              <w:tc>
                <w:tcPr>
                  <w:tcBorders>
                    <w:top w:val="single" w:sz="16" w:space="0" w:color="D3D3D3"/>
                    <w:bottom w:val="single" w:sz="16" w:space="0" w:color="D3D3D3"/>
                    <w:end w:val="single" w:space="0" w:color="D3D3D3"/>
                  </w:tcBorders>
                  <w:gridSpan w:val="3"/>
                </w:tcPr>
                <w:p>
                  <w:pPr>
                    <w:spacing w:before="0" w:after="60"/>
                    <w:keepNext/>
                    <w:jc w:val="center"/>
                  </w:pPr>
                  <w:r>
                    <w:rPr>
                      <w:rFonts w:ascii="Calibri" w:hAnsi="Calibri"/>
                      <w:sz w:val="20"/>
                    </w:rPr>
                    <w:t xml:space="default">Moradores</w:t>
                  </w:r>
                </w:p>
              </w:tc>
            </w:tr>
            <w:tr>
              <w:trPr>
                <w:cantSplit/>
                <w:tblHeader/>
              </w:trPr>
              <w:tc>
                <w:tcPr>
                  <w:tcBorders>
                    <w:bottom w:val="single" w:sz="16" w:space="0" w:color="D3D3D3"/>
                    <w:start w:val="single" w:space="0" w:color="D3D3D3"/>
                  </w:tcBorders>
                </w:tcPr>
                <w:p>
                  <w:pPr>
                    <w:spacing w:before="0" w:after="60"/>
                    <w:keepNext/>
                    <w:jc w:val="start"/>
                  </w:pPr>
                  <w:r>
                    <w:rPr>
                      <w:rFonts w:ascii="Calibri" w:hAnsi="Calibri"/>
                      <w:sz w:val="20"/>
                    </w:rPr>
                    <w:t xml:space="default">Categoria</w:t>
                  </w:r>
                </w:p>
              </w:tc>
              <w:tc>
                <w:tcPr>
                  <w:tcBorders>
                    <w:bottom w:val="single" w:sz="16" w:space="0" w:color="D3D3D3"/>
                  </w:tcBorders>
                </w:tcPr>
                <w:p>
                  <w:pPr>
                    <w:spacing w:before="0" w:after="60"/>
                    <w:keepNext/>
                    <w:jc w:val="end"/>
                  </w:pPr>
                  <w:r>
                    <w:rPr>
                      <w:rFonts w:ascii="Calibri" w:hAnsi="Calibri"/>
                      <w:sz w:val="20"/>
                    </w:rPr>
                    <w:t xml:space="default">Rural</w:t>
                  </w:r>
                </w:p>
              </w:tc>
              <w:tc>
                <w:tcPr>
                  <w:tcBorders>
                    <w:bottom w:val="single" w:sz="16" w:space="0" w:color="D3D3D3"/>
                  </w:tcBorders>
                </w:tcPr>
                <w:p>
                  <w:pPr>
                    <w:spacing w:before="0" w:after="60"/>
                    <w:keepNext/>
                    <w:jc w:val="end"/>
                  </w:pPr>
                  <w:r>
                    <w:rPr>
                      <w:rFonts w:ascii="Calibri" w:hAnsi="Calibri"/>
                      <w:sz w:val="20"/>
                    </w:rPr>
                    <w:t xml:space="default">Urbana</w:t>
                  </w:r>
                </w:p>
              </w:tc>
              <w:tc>
                <w:tcPr>
                  <w:tcBorders>
                    <w:bottom w:val="single" w:sz="16" w:space="0" w:color="D3D3D3"/>
                  </w:tcBorders>
                </w:tcPr>
                <w:p>
                  <w:pPr>
                    <w:spacing w:before="0" w:after="60"/>
                    <w:keepNext/>
                    <w:jc w:val="end"/>
                  </w:pPr>
                  <w:r>
                    <w:rPr>
                      <w:rFonts w:ascii="Calibri" w:hAnsi="Calibri"/>
                      <w:sz w:val="20"/>
                    </w:rPr>
                    <w:t xml:space="default">Total</w:t>
                  </w:r>
                </w:p>
              </w:tc>
              <w:tc>
                <w:tcPr>
                  <w:tcBorders>
                    <w:bottom w:val="single" w:sz="16" w:space="0" w:color="D3D3D3"/>
                  </w:tcBorders>
                </w:tcPr>
                <w:p>
                  <w:pPr>
                    <w:spacing w:before="0" w:after="60"/>
                    <w:keepNext/>
                    <w:jc w:val="end"/>
                  </w:pPr>
                  <w:r>
                    <w:rPr>
                      <w:rFonts w:ascii="Calibri" w:hAnsi="Calibri"/>
                      <w:sz w:val="20"/>
                    </w:rPr>
                    <w:t xml:space="default">Rural</w:t>
                  </w:r>
                </w:p>
              </w:tc>
              <w:tc>
                <w:tcPr>
                  <w:tcBorders>
                    <w:bottom w:val="single" w:sz="16" w:space="0" w:color="D3D3D3"/>
                  </w:tcBorders>
                </w:tcPr>
                <w:p>
                  <w:pPr>
                    <w:spacing w:before="0" w:after="60"/>
                    <w:keepNext/>
                    <w:jc w:val="end"/>
                  </w:pPr>
                  <w:r>
                    <w:rPr>
                      <w:rFonts w:ascii="Calibri" w:hAnsi="Calibri"/>
                      <w:sz w:val="20"/>
                    </w:rPr>
                    <w:t xml:space="default">Urbana</w:t>
                  </w:r>
                </w:p>
              </w:tc>
              <w:tc>
                <w:tcPr>
                  <w:tcBorders>
                    <w:bottom w:val="single" w:sz="16" w:space="0" w:color="D3D3D3"/>
                    <w:end w:val="single" w:space="0" w:color="D3D3D3"/>
                  </w:tcBorders>
                </w:tcPr>
                <w:p>
                  <w:pPr>
                    <w:spacing w:before="0" w:after="60"/>
                    <w:keepNext/>
                    <w:jc w:val="end"/>
                  </w:pPr>
                  <w:r>
                    <w:rPr>
                      <w:rFonts w:ascii="Calibri" w:hAnsi="Calibri"/>
                      <w:sz w:val="20"/>
                    </w:rPr>
                    <w:t xml:space="default">Total</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7"/>
                </w:tcPr>
                <w:p>
                  <w:pPr>
                    <w:spacing w:before="0" w:after="60"/>
                    <w:keepNext/>
                    <w:jc w:val="center"/>
                  </w:pPr>
                  <w:r>
                    <w:rPr>
                      <w:rFonts w:ascii="Calibri" w:hAnsi="Calibri"/>
                      <w:sz w:val="20"/>
                      <w:b w:val="true"/>
                    </w:rPr>
                    <w:t xml:space="default">PNADC 2023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Segurança alimentar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1.681</w:t>
                  </w:r>
                </w:p>
              </w:tc>
              <w:tc>
                <w:tcPr>
                  <w:tcBorders>
                    <w:top w:val="single" w:space="0" w:color="D3D3D3"/>
                    <w:bottom w:val="single" w:space="0" w:color="D3D3D3"/>
                    <w:start w:val="single" w:space="0" w:color="D3D3D3"/>
                    <w:end w:val="single" w:space="0" w:color="D3D3D3"/>
                  </w:tcBorders>
                  <w:shd w:val="clear" w:color="auto" w:fill="E3F2FD"/>
                </w:tcPr>
                <w:p>
                  <w:pPr>
                    <w:spacing w:before="0" w:after="60"/>
                    <w:keepNext/>
                    <w:jc w:val="end"/>
                  </w:pPr>
                  <w:r>
                    <w:rPr>
                      <w:rFonts w:ascii="Calibri" w:hAnsi="Calibri"/>
                      <w:sz w:val="20"/>
                      <w:b w:val="true"/>
                    </w:rPr>
                    <w:t xml:space="default">2.099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4.625</w:t>
                  </w:r>
                </w:p>
              </w:tc>
              <w:tc>
                <w:tcPr>
                  <w:tcBorders>
                    <w:top w:val="single" w:space="0" w:color="D3D3D3"/>
                    <w:bottom w:val="single" w:space="0" w:color="D3D3D3"/>
                    <w:start w:val="single" w:space="0" w:color="D3D3D3"/>
                    <w:end w:val="single" w:space="0" w:color="D3D3D3"/>
                  </w:tcBorders>
                  <w:shd w:val="clear" w:color="auto" w:fill="E3F2FD"/>
                </w:tcPr>
                <w:p>
                  <w:pPr>
                    <w:spacing w:before="0" w:after="60"/>
                    <w:keepNext/>
                    <w:jc w:val="end"/>
                  </w:pPr>
                  <w:r>
                    <w:rPr>
                      <w:rFonts w:ascii="Calibri" w:hAnsi="Calibri"/>
                      <w:sz w:val="20"/>
                      <w:b w:val="true"/>
                    </w:rPr>
                    <w:t xml:space="default">5.796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Insegurança alimentar leve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524</w:t>
                  </w:r>
                </w:p>
              </w:tc>
              <w:tc>
                <w:tcPr>
                  <w:tcBorders>
                    <w:top w:val="single" w:space="0" w:color="D3D3D3"/>
                    <w:bottom w:val="single" w:space="0" w:color="D3D3D3"/>
                    <w:start w:val="single" w:space="0" w:color="D3D3D3"/>
                    <w:end w:val="single" w:space="0" w:color="D3D3D3"/>
                  </w:tcBorders>
                  <w:shd w:val="clear" w:color="auto" w:fill="E3F2FD"/>
                </w:tcPr>
                <w:p>
                  <w:pPr>
                    <w:spacing w:before="0" w:after="60"/>
                    <w:keepNext/>
                    <w:jc w:val="end"/>
                  </w:pPr>
                  <w:r>
                    <w:rPr>
                      <w:rFonts w:ascii="Calibri" w:hAnsi="Calibri"/>
                      <w:sz w:val="20"/>
                      <w:b w:val="true"/>
                    </w:rPr>
                    <w:t xml:space="default">692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1.601</w:t>
                  </w:r>
                </w:p>
              </w:tc>
              <w:tc>
                <w:tcPr>
                  <w:tcBorders>
                    <w:top w:val="single" w:space="0" w:color="D3D3D3"/>
                    <w:bottom w:val="single" w:space="0" w:color="D3D3D3"/>
                    <w:start w:val="single" w:space="0" w:color="D3D3D3"/>
                    <w:end w:val="single" w:space="0" w:color="D3D3D3"/>
                  </w:tcBorders>
                  <w:shd w:val="clear" w:color="auto" w:fill="E3F2FD"/>
                </w:tcPr>
                <w:p>
                  <w:pPr>
                    <w:spacing w:before="0" w:after="60"/>
                    <w:keepNext/>
                    <w:jc w:val="end"/>
                  </w:pPr>
                  <w:r>
                    <w:rPr>
                      <w:rFonts w:ascii="Calibri" w:hAnsi="Calibri"/>
                      <w:sz w:val="20"/>
                      <w:b w:val="true"/>
                    </w:rPr>
                    <w:t xml:space="default">2.144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Insegurança alimentar moderada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182</w:t>
                  </w:r>
                </w:p>
              </w:tc>
              <w:tc>
                <w:tcPr>
                  <w:tcBorders>
                    <w:top w:val="single" w:space="0" w:color="D3D3D3"/>
                    <w:bottom w:val="single" w:space="0" w:color="D3D3D3"/>
                    <w:start w:val="single" w:space="0" w:color="D3D3D3"/>
                    <w:end w:val="single" w:space="0" w:color="D3D3D3"/>
                  </w:tcBorders>
                  <w:shd w:val="clear" w:color="auto" w:fill="E3F2FD"/>
                </w:tcPr>
                <w:p>
                  <w:pPr>
                    <w:spacing w:before="0" w:after="60"/>
                    <w:keepNext/>
                    <w:jc w:val="end"/>
                  </w:pPr>
                  <w:r>
                    <w:rPr>
                      <w:rFonts w:ascii="Calibri" w:hAnsi="Calibri"/>
                      <w:sz w:val="20"/>
                      <w:b w:val="true"/>
                    </w:rPr>
                    <w:t xml:space="default">242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530</w:t>
                  </w:r>
                </w:p>
              </w:tc>
              <w:tc>
                <w:tcPr>
                  <w:tcBorders>
                    <w:top w:val="single" w:space="0" w:color="D3D3D3"/>
                    <w:bottom w:val="single" w:space="0" w:color="D3D3D3"/>
                    <w:start w:val="single" w:space="0" w:color="D3D3D3"/>
                    <w:end w:val="single" w:space="0" w:color="D3D3D3"/>
                  </w:tcBorders>
                  <w:shd w:val="clear" w:color="auto" w:fill="E3F2FD"/>
                </w:tcPr>
                <w:p>
                  <w:pPr>
                    <w:spacing w:before="0" w:after="60"/>
                    <w:keepNext/>
                    <w:jc w:val="end"/>
                  </w:pPr>
                  <w:r>
                    <w:rPr>
                      <w:rFonts w:ascii="Calibri" w:hAnsi="Calibri"/>
                      <w:sz w:val="20"/>
                      <w:b w:val="true"/>
                    </w:rPr>
                    <w:t xml:space="default">716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Insegurança alimentar grave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160</w:t>
                  </w:r>
                </w:p>
              </w:tc>
              <w:tc>
                <w:tcPr>
                  <w:tcBorders>
                    <w:top w:val="single" w:space="0" w:color="D3D3D3"/>
                    <w:bottom w:val="single" w:space="0" w:color="D3D3D3"/>
                    <w:start w:val="single" w:space="0" w:color="D3D3D3"/>
                    <w:end w:val="single" w:space="0" w:color="D3D3D3"/>
                  </w:tcBorders>
                  <w:shd w:val="clear" w:color="auto" w:fill="E3F2FD"/>
                </w:tcPr>
                <w:p>
                  <w:pPr>
                    <w:spacing w:before="0" w:after="60"/>
                    <w:keepNext/>
                    <w:jc w:val="end"/>
                  </w:pPr>
                  <w:r>
                    <w:rPr>
                      <w:rFonts w:ascii="Calibri" w:hAnsi="Calibri"/>
                      <w:sz w:val="20"/>
                      <w:b w:val="true"/>
                    </w:rPr>
                    <w:t xml:space="default">203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423</w:t>
                  </w:r>
                </w:p>
              </w:tc>
              <w:tc>
                <w:tcPr>
                  <w:tcBorders>
                    <w:top w:val="single" w:space="0" w:color="D3D3D3"/>
                    <w:bottom w:val="single" w:space="0" w:color="D3D3D3"/>
                    <w:start w:val="single" w:space="0" w:color="D3D3D3"/>
                    <w:end w:val="single" w:space="0" w:color="D3D3D3"/>
                  </w:tcBorders>
                  <w:shd w:val="clear" w:color="auto" w:fill="E3F2FD"/>
                </w:tcPr>
                <w:p>
                  <w:pPr>
                    <w:spacing w:before="0" w:after="60"/>
                    <w:keepNext/>
                    <w:jc w:val="end"/>
                  </w:pPr>
                  <w:r>
                    <w:rPr>
                      <w:rFonts w:ascii="Calibri" w:hAnsi="Calibri"/>
                      <w:sz w:val="20"/>
                      <w:b w:val="true"/>
                    </w:rPr>
                    <w:t xml:space="default">540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Insegurança alimentar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866</w:t>
                  </w:r>
                </w:p>
              </w:tc>
              <w:tc>
                <w:tcPr>
                  <w:tcBorders>
                    <w:top w:val="single" w:space="0" w:color="D3D3D3"/>
                    <w:bottom w:val="single" w:space="0" w:color="D3D3D3"/>
                    <w:start w:val="single" w:space="0" w:color="D3D3D3"/>
                    <w:end w:val="single" w:space="0" w:color="D3D3D3"/>
                  </w:tcBorders>
                  <w:shd w:val="clear" w:color="auto" w:fill="E3F2FD"/>
                </w:tcPr>
                <w:p>
                  <w:pPr>
                    <w:spacing w:before="0" w:after="60"/>
                    <w:keepNext/>
                    <w:jc w:val="end"/>
                  </w:pPr>
                  <w:r>
                    <w:rPr>
                      <w:rFonts w:ascii="Calibri" w:hAnsi="Calibri"/>
                      <w:sz w:val="20"/>
                      <w:b w:val="true"/>
                    </w:rPr>
                    <w:t xml:space="default">1.138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2.553</w:t>
                  </w:r>
                </w:p>
              </w:tc>
              <w:tc>
                <w:tcPr>
                  <w:tcBorders>
                    <w:top w:val="single" w:space="0" w:color="D3D3D3"/>
                    <w:bottom w:val="single" w:space="0" w:color="D3D3D3"/>
                    <w:start w:val="single" w:space="0" w:color="D3D3D3"/>
                    <w:end w:val="single" w:space="0" w:color="D3D3D3"/>
                  </w:tcBorders>
                  <w:shd w:val="clear" w:color="auto" w:fill="E3F2FD"/>
                </w:tcPr>
                <w:p>
                  <w:pPr>
                    <w:spacing w:before="0" w:after="60"/>
                    <w:keepNext/>
                    <w:jc w:val="end"/>
                  </w:pPr>
                  <w:r>
                    <w:rPr>
                      <w:rFonts w:ascii="Calibri" w:hAnsi="Calibri"/>
                      <w:sz w:val="20"/>
                      <w:b w:val="true"/>
                    </w:rPr>
                    <w:t xml:space="default">3.400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Total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2.547</w:t>
                  </w:r>
                </w:p>
              </w:tc>
              <w:tc>
                <w:tcPr>
                  <w:tcBorders>
                    <w:top w:val="single" w:space="0" w:color="D3D3D3"/>
                    <w:bottom w:val="single" w:space="0" w:color="D3D3D3"/>
                    <w:start w:val="single" w:space="0" w:color="D3D3D3"/>
                    <w:end w:val="single" w:space="0" w:color="D3D3D3"/>
                  </w:tcBorders>
                  <w:shd w:val="clear" w:color="auto" w:fill="E3F2FD"/>
                </w:tcPr>
                <w:p>
                  <w:pPr>
                    <w:spacing w:before="0" w:after="60"/>
                    <w:keepNext/>
                    <w:jc w:val="end"/>
                  </w:pPr>
                  <w:r>
                    <w:rPr>
                      <w:rFonts w:ascii="Calibri" w:hAnsi="Calibri"/>
                      <w:sz w:val="20"/>
                      <w:b w:val="true"/>
                    </w:rPr>
                    <w:t xml:space="default">3.237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7.179</w:t>
                  </w:r>
                </w:p>
              </w:tc>
              <w:tc>
                <w:tcPr>
                  <w:tcBorders>
                    <w:top w:val="single" w:space="0" w:color="D3D3D3"/>
                    <w:bottom w:val="single" w:space="0" w:color="D3D3D3"/>
                    <w:start w:val="single" w:space="0" w:color="D3D3D3"/>
                    <w:end w:val="single" w:space="0" w:color="D3D3D3"/>
                  </w:tcBorders>
                  <w:shd w:val="clear" w:color="auto" w:fill="E3F2FD"/>
                </w:tcPr>
                <w:p>
                  <w:pPr>
                    <w:spacing w:before="0" w:after="60"/>
                    <w:keepNext/>
                    <w:jc w:val="end"/>
                  </w:pPr>
                  <w:r>
                    <w:rPr>
                      <w:rFonts w:ascii="Calibri" w:hAnsi="Calibri"/>
                      <w:sz w:val="20"/>
                      <w:b w:val="true"/>
                    </w:rPr>
                    <w:t xml:space="default">9.195</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7"/>
                </w:tcPr>
                <w:p>
                  <w:pPr>
                    <w:spacing w:before="0" w:after="60"/>
                    <w:keepNext/>
                    <w:jc w:val="center"/>
                  </w:pPr>
                  <w:r>
                    <w:rPr>
                      <w:rFonts w:ascii="Calibri" w:hAnsi="Calibri"/>
                      <w:sz w:val="20"/>
                      <w:b w:val="true"/>
                    </w:rPr>
                    <w:t xml:space="default">PNADC 2024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Segurança alimentar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1.888</w:t>
                  </w:r>
                </w:p>
              </w:tc>
              <w:tc>
                <w:tcPr>
                  <w:tcBorders>
                    <w:top w:val="single" w:space="0" w:color="D3D3D3"/>
                    <w:bottom w:val="single" w:space="0" w:color="D3D3D3"/>
                    <w:start w:val="single" w:space="0" w:color="D3D3D3"/>
                    <w:end w:val="single" w:space="0" w:color="D3D3D3"/>
                  </w:tcBorders>
                  <w:shd w:val="clear" w:color="auto" w:fill="E3F2FD"/>
                </w:tcPr>
                <w:p>
                  <w:pPr>
                    <w:spacing w:before="0" w:after="60"/>
                    <w:keepNext/>
                    <w:jc w:val="end"/>
                  </w:pPr>
                  <w:r>
                    <w:rPr>
                      <w:rFonts w:ascii="Calibri" w:hAnsi="Calibri"/>
                      <w:sz w:val="20"/>
                      <w:b w:val="true"/>
                    </w:rPr>
                    <w:t xml:space="default">2.324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5.028</w:t>
                  </w:r>
                </w:p>
              </w:tc>
              <w:tc>
                <w:tcPr>
                  <w:tcBorders>
                    <w:top w:val="single" w:space="0" w:color="D3D3D3"/>
                    <w:bottom w:val="single" w:space="0" w:color="D3D3D3"/>
                    <w:start w:val="single" w:space="0" w:color="D3D3D3"/>
                    <w:end w:val="single" w:space="0" w:color="D3D3D3"/>
                  </w:tcBorders>
                  <w:shd w:val="clear" w:color="auto" w:fill="E3F2FD"/>
                </w:tcPr>
                <w:p>
                  <w:pPr>
                    <w:spacing w:before="0" w:after="60"/>
                    <w:keepNext/>
                    <w:jc w:val="end"/>
                  </w:pPr>
                  <w:r>
                    <w:rPr>
                      <w:rFonts w:ascii="Calibri" w:hAnsi="Calibri"/>
                      <w:sz w:val="20"/>
                      <w:b w:val="true"/>
                    </w:rPr>
                    <w:t xml:space="default">6.228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Insegurança alimentar leve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476</w:t>
                  </w:r>
                </w:p>
              </w:tc>
              <w:tc>
                <w:tcPr>
                  <w:tcBorders>
                    <w:top w:val="single" w:space="0" w:color="D3D3D3"/>
                    <w:bottom w:val="single" w:space="0" w:color="D3D3D3"/>
                    <w:start w:val="single" w:space="0" w:color="D3D3D3"/>
                    <w:end w:val="single" w:space="0" w:color="D3D3D3"/>
                  </w:tcBorders>
                  <w:shd w:val="clear" w:color="auto" w:fill="E3F2FD"/>
                </w:tcPr>
                <w:p>
                  <w:pPr>
                    <w:spacing w:before="0" w:after="60"/>
                    <w:keepNext/>
                    <w:jc w:val="end"/>
                  </w:pPr>
                  <w:r>
                    <w:rPr>
                      <w:rFonts w:ascii="Calibri" w:hAnsi="Calibri"/>
                      <w:sz w:val="20"/>
                      <w:b w:val="true"/>
                    </w:rPr>
                    <w:t xml:space="default">662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1.445</w:t>
                  </w:r>
                </w:p>
              </w:tc>
              <w:tc>
                <w:tcPr>
                  <w:tcBorders>
                    <w:top w:val="single" w:space="0" w:color="D3D3D3"/>
                    <w:bottom w:val="single" w:space="0" w:color="D3D3D3"/>
                    <w:start w:val="single" w:space="0" w:color="D3D3D3"/>
                    <w:end w:val="single" w:space="0" w:color="D3D3D3"/>
                  </w:tcBorders>
                  <w:shd w:val="clear" w:color="auto" w:fill="E3F2FD"/>
                </w:tcPr>
                <w:p>
                  <w:pPr>
                    <w:spacing w:before="0" w:after="60"/>
                    <w:keepNext/>
                    <w:jc w:val="end"/>
                  </w:pPr>
                  <w:r>
                    <w:rPr>
                      <w:rFonts w:ascii="Calibri" w:hAnsi="Calibri"/>
                      <w:sz w:val="20"/>
                      <w:b w:val="true"/>
                    </w:rPr>
                    <w:t xml:space="default">2.038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Insegurança alimentar moderada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153</w:t>
                  </w:r>
                </w:p>
              </w:tc>
              <w:tc>
                <w:tcPr>
                  <w:tcBorders>
                    <w:top w:val="single" w:space="0" w:color="D3D3D3"/>
                    <w:bottom w:val="single" w:space="0" w:color="D3D3D3"/>
                    <w:start w:val="single" w:space="0" w:color="D3D3D3"/>
                    <w:end w:val="single" w:space="0" w:color="D3D3D3"/>
                  </w:tcBorders>
                  <w:shd w:val="clear" w:color="auto" w:fill="E3F2FD"/>
                </w:tcPr>
                <w:p>
                  <w:pPr>
                    <w:spacing w:before="0" w:after="60"/>
                    <w:keepNext/>
                    <w:jc w:val="end"/>
                  </w:pPr>
                  <w:r>
                    <w:rPr>
                      <w:rFonts w:ascii="Calibri" w:hAnsi="Calibri"/>
                      <w:sz w:val="20"/>
                      <w:b w:val="true"/>
                    </w:rPr>
                    <w:t xml:space="default">209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416</w:t>
                  </w:r>
                </w:p>
              </w:tc>
              <w:tc>
                <w:tcPr>
                  <w:tcBorders>
                    <w:top w:val="single" w:space="0" w:color="D3D3D3"/>
                    <w:bottom w:val="single" w:space="0" w:color="D3D3D3"/>
                    <w:start w:val="single" w:space="0" w:color="D3D3D3"/>
                    <w:end w:val="single" w:space="0" w:color="D3D3D3"/>
                  </w:tcBorders>
                  <w:shd w:val="clear" w:color="auto" w:fill="E3F2FD"/>
                </w:tcPr>
                <w:p>
                  <w:pPr>
                    <w:spacing w:before="0" w:after="60"/>
                    <w:keepNext/>
                    <w:jc w:val="end"/>
                  </w:pPr>
                  <w:r>
                    <w:rPr>
                      <w:rFonts w:ascii="Calibri" w:hAnsi="Calibri"/>
                      <w:sz w:val="20"/>
                      <w:b w:val="true"/>
                    </w:rPr>
                    <w:t xml:space="default">576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Insegurança alimentar grave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122</w:t>
                  </w:r>
                </w:p>
              </w:tc>
              <w:tc>
                <w:tcPr>
                  <w:tcBorders>
                    <w:top w:val="single" w:space="0" w:color="D3D3D3"/>
                    <w:bottom w:val="single" w:space="0" w:color="D3D3D3"/>
                    <w:start w:val="single" w:space="0" w:color="D3D3D3"/>
                    <w:end w:val="single" w:space="0" w:color="D3D3D3"/>
                  </w:tcBorders>
                  <w:shd w:val="clear" w:color="auto" w:fill="E3F2FD"/>
                </w:tcPr>
                <w:p>
                  <w:pPr>
                    <w:spacing w:before="0" w:after="60"/>
                    <w:keepNext/>
                    <w:jc w:val="end"/>
                  </w:pPr>
                  <w:r>
                    <w:rPr>
                      <w:rFonts w:ascii="Calibri" w:hAnsi="Calibri"/>
                      <w:sz w:val="20"/>
                      <w:b w:val="true"/>
                    </w:rPr>
                    <w:t xml:space="default">149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315</w:t>
                  </w:r>
                </w:p>
              </w:tc>
              <w:tc>
                <w:tcPr>
                  <w:tcBorders>
                    <w:top w:val="single" w:space="0" w:color="D3D3D3"/>
                    <w:bottom w:val="single" w:space="0" w:color="D3D3D3"/>
                    <w:start w:val="single" w:space="0" w:color="D3D3D3"/>
                    <w:end w:val="single" w:space="0" w:color="D3D3D3"/>
                  </w:tcBorders>
                  <w:shd w:val="clear" w:color="auto" w:fill="E3F2FD"/>
                </w:tcPr>
                <w:p>
                  <w:pPr>
                    <w:spacing w:before="0" w:after="60"/>
                    <w:keepNext/>
                    <w:jc w:val="end"/>
                  </w:pPr>
                  <w:r>
                    <w:rPr>
                      <w:rFonts w:ascii="Calibri" w:hAnsi="Calibri"/>
                      <w:sz w:val="20"/>
                      <w:b w:val="true"/>
                    </w:rPr>
                    <w:t xml:space="default">391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Insegurança alimentar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751</w:t>
                  </w:r>
                </w:p>
              </w:tc>
              <w:tc>
                <w:tcPr>
                  <w:tcBorders>
                    <w:top w:val="single" w:space="0" w:color="D3D3D3"/>
                    <w:bottom w:val="single" w:space="0" w:color="D3D3D3"/>
                    <w:start w:val="single" w:space="0" w:color="D3D3D3"/>
                    <w:end w:val="single" w:space="0" w:color="D3D3D3"/>
                  </w:tcBorders>
                  <w:shd w:val="clear" w:color="auto" w:fill="E3F2FD"/>
                </w:tcPr>
                <w:p>
                  <w:pPr>
                    <w:spacing w:before="0" w:after="60"/>
                    <w:keepNext/>
                    <w:jc w:val="end"/>
                  </w:pPr>
                  <w:r>
                    <w:rPr>
                      <w:rFonts w:ascii="Calibri" w:hAnsi="Calibri"/>
                      <w:sz w:val="20"/>
                      <w:b w:val="true"/>
                    </w:rPr>
                    <w:t xml:space="default">1.019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2.177</w:t>
                  </w:r>
                </w:p>
              </w:tc>
              <w:tc>
                <w:tcPr>
                  <w:tcBorders>
                    <w:top w:val="single" w:space="0" w:color="D3D3D3"/>
                    <w:bottom w:val="single" w:space="0" w:color="D3D3D3"/>
                    <w:start w:val="single" w:space="0" w:color="D3D3D3"/>
                    <w:end w:val="single" w:space="0" w:color="D3D3D3"/>
                  </w:tcBorders>
                  <w:shd w:val="clear" w:color="auto" w:fill="E3F2FD"/>
                </w:tcPr>
                <w:p>
                  <w:pPr>
                    <w:spacing w:before="0" w:after="60"/>
                    <w:keepNext/>
                    <w:jc w:val="end"/>
                  </w:pPr>
                  <w:r>
                    <w:rPr>
                      <w:rFonts w:ascii="Calibri" w:hAnsi="Calibri"/>
                      <w:sz w:val="20"/>
                      <w:b w:val="true"/>
                    </w:rPr>
                    <w:t xml:space="default">3.005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Total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2.639</w:t>
                  </w:r>
                </w:p>
              </w:tc>
              <w:tc>
                <w:tcPr>
                  <w:tcBorders>
                    <w:top w:val="single" w:space="0" w:color="D3D3D3"/>
                    <w:bottom w:val="single" w:space="0" w:color="D3D3D3"/>
                    <w:start w:val="single" w:space="0" w:color="D3D3D3"/>
                    <w:end w:val="single" w:space="0" w:color="D3D3D3"/>
                  </w:tcBorders>
                  <w:shd w:val="clear" w:color="auto" w:fill="E3F2FD"/>
                </w:tcPr>
                <w:p>
                  <w:pPr>
                    <w:spacing w:before="0" w:after="60"/>
                    <w:keepNext/>
                    <w:jc w:val="end"/>
                  </w:pPr>
                  <w:r>
                    <w:rPr>
                      <w:rFonts w:ascii="Calibri" w:hAnsi="Calibri"/>
                      <w:sz w:val="20"/>
                      <w:b w:val="true"/>
                    </w:rPr>
                    <w:t xml:space="default">3.344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7.204</w:t>
                  </w:r>
                </w:p>
              </w:tc>
              <w:tc>
                <w:tcPr>
                  <w:tcBorders>
                    <w:top w:val="single" w:space="0" w:color="D3D3D3"/>
                    <w:bottom w:val="single" w:space="0" w:color="D3D3D3"/>
                    <w:start w:val="single" w:space="0" w:color="D3D3D3"/>
                    <w:end w:val="single" w:space="0" w:color="D3D3D3"/>
                  </w:tcBorders>
                  <w:shd w:val="clear" w:color="auto" w:fill="E3F2FD"/>
                </w:tcPr>
                <w:p>
                  <w:pPr>
                    <w:spacing w:before="0" w:after="60"/>
                    <w:keepNext/>
                    <w:jc w:val="end"/>
                  </w:pPr>
                  <w:r>
                    <w:rPr>
                      <w:rFonts w:ascii="Calibri" w:hAnsi="Calibri"/>
                      <w:sz w:val="20"/>
                      <w:b w:val="true"/>
                    </w:rPr>
                    <w:t xml:space="default">9.233</w:t>
                  </w:r>
                </w:p>
              </w:tc>
            </w:tr>
          </w:tbl>
          <w:bookmarkEnd w:id="27"/>
        </w:tc>
      </w:tr>
    </w:tbl>
    <w:p>
      <w:pPr>
        <w:pStyle w:val="BodyText"/>
      </w:pPr>
      <w:r>
        <w:rPr>
          <w:vertAlign w:val="subscript"/>
        </w:rPr>
        <w:t xml:space="preserve">Source:</w:t>
      </w:r>
      <w:r>
        <w:rPr>
          <w:vertAlign w:val="subscript"/>
        </w:rPr>
        <w:t xml:space="preserve"> </w:t>
      </w:r>
      <w:hyperlink r:id="rId21">
        <w:r>
          <w:rPr>
            <w:rStyle w:val="Hyperlink"/>
            <w:vertAlign w:val="subscript"/>
          </w:rPr>
          <w:t xml:space="preserve">Article Notebook</w:t>
        </w:r>
      </w:hyperlink>
    </w:p>
    <w:bookmarkEnd w:id="28"/>
    <w:bookmarkStart w:id="39" w:name="X404ef196817fb185a26280111b8c727389f8b94"/>
    <w:p>
      <w:pPr>
        <w:pStyle w:val="Heading2"/>
      </w:pPr>
      <w:r>
        <w:t xml:space="preserve">Situação de segurança alimentar no ceará e recortes geográficos</w:t>
      </w:r>
    </w:p>
    <w:bookmarkStart w:id="33" w:name="cell-fig-situacao"/>
    <w:tbl>
      <w:tblPr>
        <w:tblStyle w:val="Table"/>
        <w:tblW w:type="pct" w:w="5000"/>
        <w:tblLayout w:type="fixed"/>
        <w:tblLook w:firstRow="0" w:lastRow="0" w:firstColumn="0" w:lastColumn="0" w:noHBand="0" w:noVBand="0" w:val="0000"/>
      </w:tblPr>
      <w:tblGrid>
        <w:gridCol w:w="7920"/>
      </w:tblGrid>
      <w:tr>
        <w:tc>
          <w:tcPr/>
          <w:bookmarkStart w:id="32" w:name="fig-situacao"/>
          <w:p>
            <w:pPr>
              <w:jc w:val="center"/>
            </w:pPr>
            <w:pPr>
              <w:jc w:val="left"/>
              <w:spacing w:before="200"/>
              <w:pStyle w:val="ImageCaption"/>
            </w:pPr>
            <w:r>
              <w:t xml:space="preserve">Figure 2: Percentual de domicílios particulares permanentes por situação de segurança alimentar, segundo a situação do domicílio. Ceará - 2024</w:t>
            </w:r>
          </w:p>
          <w:p>
            <w:pPr>
              <w:pStyle w:val="Compact"/>
              <w:jc w:val="center"/>
            </w:pPr>
            <w:r>
              <w:drawing>
                <wp:inline>
                  <wp:extent cx="4620126" cy="3696101"/>
                  <wp:effectExtent b="0" l="0" r="0" t="0"/>
                  <wp:docPr descr="" title="" id="30" name="Picture"/>
                  <a:graphic>
                    <a:graphicData uri="http://schemas.openxmlformats.org/drawingml/2006/picture">
                      <pic:pic>
                        <pic:nvPicPr>
                          <pic:cNvPr descr="index_files/figure-docx/fig-situacao-1.png" id="31" name="Picture"/>
                          <pic:cNvPicPr>
                            <a:picLocks noChangeArrowheads="1" noChangeAspect="1"/>
                          </pic:cNvPicPr>
                        </pic:nvPicPr>
                        <pic:blipFill>
                          <a:blip r:embed="rId29"/>
                          <a:stretch>
                            <a:fillRect/>
                          </a:stretch>
                        </pic:blipFill>
                        <pic:spPr bwMode="auto">
                          <a:xfrm>
                            <a:off x="0" y="0"/>
                            <a:ext cx="4620126" cy="3696101"/>
                          </a:xfrm>
                          <a:prstGeom prst="rect">
                            <a:avLst/>
                          </a:prstGeom>
                          <a:noFill/>
                          <a:ln w="9525">
                            <a:noFill/>
                            <a:headEnd/>
                            <a:tailEnd/>
                          </a:ln>
                        </pic:spPr>
                      </pic:pic>
                    </a:graphicData>
                  </a:graphic>
                </wp:inline>
              </w:drawing>
            </w:r>
          </w:p>
          <w:bookmarkEnd w:id="32"/>
        </w:tc>
      </w:tr>
    </w:tbl>
    <w:p>
      <w:pPr>
        <w:pStyle w:val="BodyText"/>
      </w:pPr>
      <w:r>
        <w:rPr>
          <w:vertAlign w:val="subscript"/>
        </w:rPr>
        <w:t xml:space="preserve">Source:</w:t>
      </w:r>
      <w:r>
        <w:rPr>
          <w:vertAlign w:val="subscript"/>
        </w:rPr>
        <w:t xml:space="preserve"> </w:t>
      </w:r>
      <w:hyperlink r:id="rId21">
        <w:r>
          <w:rPr>
            <w:rStyle w:val="Hyperlink"/>
            <w:vertAlign w:val="subscript"/>
          </w:rPr>
          <w:t xml:space="preserve">Article Notebook</w:t>
        </w:r>
      </w:hyperlink>
    </w:p>
    <w:bookmarkEnd w:id="33"/>
    <w:bookmarkStart w:id="38" w:name="cell-fig-estratos"/>
    <w:tbl>
      <w:tblPr>
        <w:tblStyle w:val="Table"/>
        <w:tblW w:type="pct" w:w="5000"/>
        <w:tblLayout w:type="fixed"/>
        <w:tblLook w:firstRow="0" w:lastRow="0" w:firstColumn="0" w:lastColumn="0" w:noHBand="0" w:noVBand="0" w:val="0000"/>
      </w:tblPr>
      <w:tblGrid>
        <w:gridCol w:w="7920"/>
      </w:tblGrid>
      <w:tr>
        <w:tc>
          <w:tcPr/>
          <w:bookmarkStart w:id="37" w:name="fig-estratos"/>
          <w:p>
            <w:pPr>
              <w:jc w:val="center"/>
            </w:pPr>
            <w:pPr>
              <w:jc w:val="left"/>
              <w:spacing w:before="200"/>
              <w:pStyle w:val="ImageCaption"/>
            </w:pPr>
            <w:r>
              <w:t xml:space="preserve">Figure 3: Percentual de domicílios particulares permanentes por situação de segurança alimentar, segundo os recortes geográficos</w:t>
            </w:r>
          </w:p>
          <w:p>
            <w:pPr>
              <w:pStyle w:val="Compact"/>
              <w:jc w:val="center"/>
            </w:pPr>
            <w:r>
              <w:drawing>
                <wp:inline>
                  <wp:extent cx="4620126" cy="3696101"/>
                  <wp:effectExtent b="0" l="0" r="0" t="0"/>
                  <wp:docPr descr="" title="" id="35" name="Picture"/>
                  <a:graphic>
                    <a:graphicData uri="http://schemas.openxmlformats.org/drawingml/2006/picture">
                      <pic:pic>
                        <pic:nvPicPr>
                          <pic:cNvPr descr="index_files/figure-docx/fig-estratos-1.png" id="36" name="Picture"/>
                          <pic:cNvPicPr>
                            <a:picLocks noChangeArrowheads="1" noChangeAspect="1"/>
                          </pic:cNvPicPr>
                        </pic:nvPicPr>
                        <pic:blipFill>
                          <a:blip r:embed="rId34"/>
                          <a:stretch>
                            <a:fillRect/>
                          </a:stretch>
                        </pic:blipFill>
                        <pic:spPr bwMode="auto">
                          <a:xfrm>
                            <a:off x="0" y="0"/>
                            <a:ext cx="4620126" cy="3696101"/>
                          </a:xfrm>
                          <a:prstGeom prst="rect">
                            <a:avLst/>
                          </a:prstGeom>
                          <a:noFill/>
                          <a:ln w="9525">
                            <a:noFill/>
                            <a:headEnd/>
                            <a:tailEnd/>
                          </a:ln>
                        </pic:spPr>
                      </pic:pic>
                    </a:graphicData>
                  </a:graphic>
                </wp:inline>
              </w:drawing>
            </w:r>
          </w:p>
          <w:bookmarkEnd w:id="37"/>
        </w:tc>
      </w:tr>
    </w:tbl>
    <w:p>
      <w:pPr>
        <w:pStyle w:val="BodyText"/>
      </w:pPr>
      <w:r>
        <w:rPr>
          <w:vertAlign w:val="subscript"/>
        </w:rPr>
        <w:t xml:space="preserve">Source:</w:t>
      </w:r>
      <w:r>
        <w:rPr>
          <w:vertAlign w:val="subscript"/>
        </w:rPr>
        <w:t xml:space="preserve"> </w:t>
      </w:r>
      <w:hyperlink r:id="rId21">
        <w:r>
          <w:rPr>
            <w:rStyle w:val="Hyperlink"/>
            <w:vertAlign w:val="subscript"/>
          </w:rPr>
          <w:t xml:space="preserve">Article Notebook</w:t>
        </w:r>
      </w:hyperlink>
    </w:p>
    <w:bookmarkEnd w:id="38"/>
    <w:bookmarkEnd w:id="39"/>
    <w:bookmarkStart w:id="45" w:name="Xbf088f053afcf6a0aa0e313120a59ebe6b56b5d"/>
    <w:p>
      <w:pPr>
        <w:pStyle w:val="Heading2"/>
      </w:pPr>
      <w:r>
        <w:t xml:space="preserve">Situação de segurança alimentar: comparação Brasil, Nordeste e Ceará</w:t>
      </w:r>
    </w:p>
    <w:p>
      <w:pPr>
        <w:pStyle w:val="FirstParagraph"/>
      </w:pPr>
      <w:r>
        <w:rPr>
          <w:vertAlign w:val="subscript"/>
        </w:rPr>
        <w:t xml:space="preserve">Source:</w:t>
      </w:r>
      <w:r>
        <w:rPr>
          <w:vertAlign w:val="subscript"/>
        </w:rPr>
        <w:t xml:space="preserve"> </w:t>
      </w:r>
      <w:hyperlink r:id="rId21">
        <w:r>
          <w:rPr>
            <w:rStyle w:val="Hyperlink"/>
            <w:vertAlign w:val="subscript"/>
          </w:rPr>
          <w:t xml:space="preserve">Article Notebook</w:t>
        </w:r>
      </w:hyperlink>
    </w:p>
    <w:bookmarkStart w:id="44" w:name="cell-fig-comparacao"/>
    <w:tbl>
      <w:tblPr>
        <w:tblStyle w:val="Table"/>
        <w:tblW w:type="pct" w:w="5000"/>
        <w:tblLayout w:type="fixed"/>
        <w:tblLook w:firstRow="0" w:lastRow="0" w:firstColumn="0" w:lastColumn="0" w:noHBand="0" w:noVBand="0" w:val="0000"/>
      </w:tblPr>
      <w:tblGrid>
        <w:gridCol w:w="7920"/>
      </w:tblGrid>
      <w:tr>
        <w:tc>
          <w:tcPr/>
          <w:bookmarkStart w:id="43" w:name="fig-comparacao"/>
          <w:p>
            <w:pPr>
              <w:jc w:val="center"/>
            </w:pPr>
            <w:pPr>
              <w:jc w:val="left"/>
              <w:spacing w:before="200"/>
              <w:pStyle w:val="ImageCaption"/>
            </w:pPr>
            <w:r>
              <w:t xml:space="preserve">Figure 4: Distribuição dos domicílios particulares permanentes por situação de segurança alimentar existente no domicílio</w:t>
            </w:r>
          </w:p>
          <w:p>
            <w:pPr>
              <w:pStyle w:val="Compact"/>
              <w:jc w:val="center"/>
            </w:pPr>
            <w:r>
              <w:drawing>
                <wp:inline>
                  <wp:extent cx="4620126" cy="3696101"/>
                  <wp:effectExtent b="0" l="0" r="0" t="0"/>
                  <wp:docPr descr="" title="" id="41" name="Picture"/>
                  <a:graphic>
                    <a:graphicData uri="http://schemas.openxmlformats.org/drawingml/2006/picture">
                      <pic:pic>
                        <pic:nvPicPr>
                          <pic:cNvPr descr="index_files/figure-docx/fig-comparacao-1.png" id="42" name="Picture"/>
                          <pic:cNvPicPr>
                            <a:picLocks noChangeArrowheads="1" noChangeAspect="1"/>
                          </pic:cNvPicPr>
                        </pic:nvPicPr>
                        <pic:blipFill>
                          <a:blip r:embed="rId40"/>
                          <a:stretch>
                            <a:fillRect/>
                          </a:stretch>
                        </pic:blipFill>
                        <pic:spPr bwMode="auto">
                          <a:xfrm>
                            <a:off x="0" y="0"/>
                            <a:ext cx="4620126" cy="3696101"/>
                          </a:xfrm>
                          <a:prstGeom prst="rect">
                            <a:avLst/>
                          </a:prstGeom>
                          <a:noFill/>
                          <a:ln w="9525">
                            <a:noFill/>
                            <a:headEnd/>
                            <a:tailEnd/>
                          </a:ln>
                        </pic:spPr>
                      </pic:pic>
                    </a:graphicData>
                  </a:graphic>
                </wp:inline>
              </w:drawing>
            </w:r>
          </w:p>
          <w:bookmarkEnd w:id="43"/>
        </w:tc>
      </w:tr>
    </w:tbl>
    <w:p>
      <w:pPr>
        <w:pStyle w:val="BodyText"/>
      </w:pPr>
      <w:r>
        <w:rPr>
          <w:vertAlign w:val="subscript"/>
        </w:rPr>
        <w:t xml:space="preserve">Source:</w:t>
      </w:r>
      <w:r>
        <w:rPr>
          <w:vertAlign w:val="subscript"/>
        </w:rPr>
        <w:t xml:space="preserve"> </w:t>
      </w:r>
      <w:hyperlink r:id="rId21">
        <w:r>
          <w:rPr>
            <w:rStyle w:val="Hyperlink"/>
            <w:vertAlign w:val="subscript"/>
          </w:rPr>
          <w:t xml:space="preserve">Article Notebook</w:t>
        </w:r>
      </w:hyperlink>
    </w:p>
    <w:bookmarkEnd w:id="44"/>
    <w:bookmarkEnd w:id="45"/>
    <w:bookmarkStart w:id="58" w:name="Xef46e10403bab8b4487a9a28b4ba11e106fe042"/>
    <w:p>
      <w:pPr>
        <w:pStyle w:val="Heading2"/>
      </w:pPr>
      <w:r>
        <w:t xml:space="preserve">Características dos domicílios e de seus moradores</w:t>
      </w:r>
    </w:p>
    <w:p>
      <w:pPr>
        <w:pStyle w:val="FirstParagraph"/>
      </w:pPr>
      <w:r>
        <w:drawing>
          <wp:inline>
            <wp:extent cx="4620126" cy="3696101"/>
            <wp:effectExtent b="0" l="0" r="0" t="0"/>
            <wp:docPr descr="" title="" id="47" name="Picture"/>
            <a:graphic>
              <a:graphicData uri="http://schemas.openxmlformats.org/drawingml/2006/picture">
                <pic:pic>
                  <pic:nvPicPr>
                    <pic:cNvPr descr="index_files/figure-docx/sexo-1.png" id="48" name="Picture"/>
                    <pic:cNvPicPr>
                      <a:picLocks noChangeArrowheads="1" noChangeAspect="1"/>
                    </pic:cNvPicPr>
                  </pic:nvPicPr>
                  <pic:blipFill>
                    <a:blip r:embed="rId46"/>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rPr>
          <w:vertAlign w:val="subscript"/>
        </w:rPr>
        <w:t xml:space="preserve">Source:</w:t>
      </w:r>
      <w:r>
        <w:rPr>
          <w:vertAlign w:val="subscript"/>
        </w:rPr>
        <w:t xml:space="preserve"> </w:t>
      </w:r>
      <w:hyperlink r:id="rId21">
        <w:r>
          <w:rPr>
            <w:rStyle w:val="Hyperlink"/>
            <w:vertAlign w:val="subscript"/>
          </w:rPr>
          <w:t xml:space="preserve">Article Notebook</w:t>
        </w:r>
      </w:hyperlink>
    </w:p>
    <w:p>
      <w:pPr>
        <w:pStyle w:val="BodyText"/>
      </w:pPr>
      <w:r>
        <w:drawing>
          <wp:inline>
            <wp:extent cx="4620126" cy="3696101"/>
            <wp:effectExtent b="0" l="0" r="0" t="0"/>
            <wp:docPr descr="" title="" id="50" name="Picture"/>
            <a:graphic>
              <a:graphicData uri="http://schemas.openxmlformats.org/drawingml/2006/picture">
                <pic:pic>
                  <pic:nvPicPr>
                    <pic:cNvPr descr="index_files/figure-docx/raca-1.png" id="51" name="Picture"/>
                    <pic:cNvPicPr>
                      <a:picLocks noChangeArrowheads="1" noChangeAspect="1"/>
                    </pic:cNvPicPr>
                  </pic:nvPicPr>
                  <pic:blipFill>
                    <a:blip r:embed="rId4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rPr>
          <w:vertAlign w:val="subscript"/>
        </w:rPr>
        <w:t xml:space="preserve">Source:</w:t>
      </w:r>
      <w:r>
        <w:rPr>
          <w:vertAlign w:val="subscript"/>
        </w:rPr>
        <w:t xml:space="preserve"> </w:t>
      </w:r>
      <w:hyperlink r:id="rId21">
        <w:r>
          <w:rPr>
            <w:rStyle w:val="Hyperlink"/>
            <w:vertAlign w:val="subscript"/>
          </w:rPr>
          <w:t xml:space="preserve">Article Notebook</w:t>
        </w:r>
      </w:hyperlink>
    </w:p>
    <w:p>
      <w:pPr>
        <w:pStyle w:val="BodyText"/>
      </w:pPr>
      <w:r>
        <w:drawing>
          <wp:inline>
            <wp:extent cx="4620126" cy="3696101"/>
            <wp:effectExtent b="0" l="0" r="0" t="0"/>
            <wp:docPr descr="" title="" id="53" name="Picture"/>
            <a:graphic>
              <a:graphicData uri="http://schemas.openxmlformats.org/drawingml/2006/picture">
                <pic:pic>
                  <pic:nvPicPr>
                    <pic:cNvPr descr="index_files/figure-docx/escolaridade-1.png" id="54" name="Picture"/>
                    <pic:cNvPicPr>
                      <a:picLocks noChangeArrowheads="1" noChangeAspect="1"/>
                    </pic:cNvPicPr>
                  </pic:nvPicPr>
                  <pic:blipFill>
                    <a:blip r:embed="rId52"/>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rPr>
          <w:vertAlign w:val="subscript"/>
        </w:rPr>
        <w:t xml:space="preserve">Source:</w:t>
      </w:r>
      <w:r>
        <w:rPr>
          <w:vertAlign w:val="subscript"/>
        </w:rPr>
        <w:t xml:space="preserve"> </w:t>
      </w:r>
      <w:hyperlink r:id="rId21">
        <w:r>
          <w:rPr>
            <w:rStyle w:val="Hyperlink"/>
            <w:vertAlign w:val="subscript"/>
          </w:rPr>
          <w:t xml:space="preserve">Article Notebook</w:t>
        </w:r>
      </w:hyperlink>
    </w:p>
    <w:p>
      <w:pPr>
        <w:pStyle w:val="BodyText"/>
      </w:pPr>
      <w:r>
        <w:drawing>
          <wp:inline>
            <wp:extent cx="4620126" cy="3696101"/>
            <wp:effectExtent b="0" l="0" r="0" t="0"/>
            <wp:docPr descr="" title="" id="56" name="Picture"/>
            <a:graphic>
              <a:graphicData uri="http://schemas.openxmlformats.org/drawingml/2006/picture">
                <pic:pic>
                  <pic:nvPicPr>
                    <pic:cNvPr descr="index_files/figure-docx/renda-1.png" id="57" name="Picture"/>
                    <pic:cNvPicPr>
                      <a:picLocks noChangeArrowheads="1" noChangeAspect="1"/>
                    </pic:cNvPicPr>
                  </pic:nvPicPr>
                  <pic:blipFill>
                    <a:blip r:embed="rId55"/>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rPr>
          <w:vertAlign w:val="subscript"/>
        </w:rPr>
        <w:t xml:space="preserve">Source:</w:t>
      </w:r>
      <w:r>
        <w:rPr>
          <w:vertAlign w:val="subscript"/>
        </w:rPr>
        <w:t xml:space="preserve"> </w:t>
      </w:r>
      <w:hyperlink r:id="rId21">
        <w:r>
          <w:rPr>
            <w:rStyle w:val="Hyperlink"/>
            <w:vertAlign w:val="subscript"/>
          </w:rPr>
          <w:t xml:space="preserve">Article Notebook</w:t>
        </w:r>
      </w:hyperlink>
    </w:p>
    <w:bookmarkEnd w:id="58"/>
    <w:bookmarkStart w:id="59" w:name="considerações-finais"/>
    <w:p>
      <w:pPr>
        <w:pStyle w:val="Heading2"/>
      </w:pPr>
      <w:r>
        <w:t xml:space="preserve">Considerações finais</w:t>
      </w:r>
    </w:p>
    <w:bookmarkEnd w:id="59"/>
    <w:sectPr>
      <w:footnotePr>
        <w:numFmt w:val="decimal"/>
        <w:numRestart w:val="eachSect"/>
      </w:footnotePr>
      <w:type w:val="nextPage"/>
      <w:pgSz w:h="15840" w:w="12240"/>
      <w:pgMar w:bottom="1440" w:footer="0" w:gutter="0" w:header="0" w:left="1440" w:right="1440" w:top="1440"/>
      <w:pgNumType w:fmt="decimal"/>
      <w:formProt w:val="false"/>
      <w:textDirection w:val="lrTb"/>
      <w:docGrid w:charSpace="0" w:linePitch="10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Aptos">
    <w:charset w:val="00"/>
    <w:family w:val="roman"/>
    <w:pitch w:val="variable"/>
  </w:font>
  <w:font w:name="Aptos Display">
    <w:charset w:val="00"/>
    <w:family w:val="roman"/>
    <w:pitch w:val="variable"/>
  </w:font>
  <w:font w:name="Consolas">
    <w:charset w:val="00"/>
    <w:family w:val="roman"/>
    <w:pitch w:val="variable"/>
  </w:font>
  <w:font w:name="Liberation Sans">
    <w:altName w:val="Arial"/>
    <w:charset w:val="00"/>
    <w:family w:val="swiss"/>
    <w:pitch w:val="variable"/>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autoHyphenation w:val="true"/>
  <w:hyphenationZone w:val="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Aptos" w:asciiTheme="minorHAnsi" w:cs="" w:cstheme="minorBidi" w:eastAsia="Aptos" w:eastAsiaTheme="minorHAnsi" w:hAnsi="Aptos" w:hAnsiTheme="minorHAnsi"/>
        <w:sz w:val="24"/>
        <w:szCs w:val="24"/>
        <w:lang w:bidi="ar-SA" w:eastAsia="en-US" w:val="en-US"/>
      </w:rPr>
    </w:rPrDefault>
    <w:pPrDefault>
      <w:pPr>
        <w:suppressAutoHyphens w:val="true"/>
      </w:pPr>
    </w:pPrDefault>
  </w:docDefaults>
  <w:latentStyles w:count="276" w:defLockedState="0" w:defQFormat="0" w:defSemiHidden="0" w:defUIPriority="0" w:defUnhideWhenUsed="0"/>
  <w:style w:default="1" w:styleId="Normal" w:type="paragraph">
    <w:name w:val="Normal"/>
    <w:qFormat/>
    <w:pPr>
      <w:widowControl/>
      <w:bidi w:val="0"/>
      <w:spacing w:after="200" w:before="0"/>
      <w:jc w:val="left"/>
    </w:pPr>
    <w:rPr>
      <w:rFonts w:ascii="Aptos" w:asciiTheme="minorHAnsi" w:cs="" w:cstheme="minorBidi" w:eastAsia="Aptos" w:eastAsiaTheme="minorHAnsi" w:hAnsi="Aptos" w:hAnsiTheme="minorHAnsi"/>
      <w:color w:val="auto"/>
      <w:kern w:val="0"/>
      <w:sz w:val="24"/>
      <w:szCs w:val="24"/>
      <w:lang w:bidi="ar-SA" w:eastAsia="en-US" w:val="en-US"/>
    </w:rPr>
  </w:style>
  <w:style w:styleId="Heading1" w:type="paragraph">
    <w:name w:val="heading 1"/>
    <w:basedOn w:val="Normal"/>
    <w:next w:val="BodyText"/>
    <w:link w:val="Heading1Char"/>
    <w:uiPriority w:val="9"/>
    <w:qFormat/>
    <w:rsid w:val="00a10fd9"/>
    <w:pPr>
      <w:keepNext w:val="true"/>
      <w:keepLines/>
      <w:spacing w:after="80" w:before="360"/>
      <w:outlineLvl w:val="0"/>
    </w:pPr>
    <w:rPr>
      <w:rFonts w:ascii="Aptos Display" w:asciiTheme="majorHAnsi" w:cs="" w:cstheme="majorBidi" w:eastAsia="" w:eastAsiaTheme="majorEastAsia" w:hAnsi="Aptos Display"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val="true"/>
      <w:keepLines/>
      <w:spacing w:after="80" w:before="160"/>
      <w:outlineLvl w:val="1"/>
    </w:pPr>
    <w:rPr>
      <w:rFonts w:ascii="Aptos Display" w:asciiTheme="majorHAnsi" w:cs="" w:cstheme="majorBidi" w:eastAsia="" w:eastAsiaTheme="majorEastAsia" w:hAnsi="Aptos Display"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val="true"/>
      <w:keepLines/>
      <w:spacing w:after="80" w:before="160"/>
      <w:outlineLvl w:val="2"/>
    </w:pPr>
    <w:rPr>
      <w:rFonts w:cs="" w:cstheme="majorBidi" w:eastAsia=""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val="true"/>
      <w:keepLines/>
      <w:spacing w:after="40" w:before="80"/>
      <w:outlineLvl w:val="3"/>
    </w:pPr>
    <w:rPr>
      <w:rFonts w:cs="" w:cstheme="majorBidi" w:eastAsia=""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val="true"/>
      <w:keepLines/>
      <w:spacing w:after="40" w:before="80"/>
      <w:outlineLvl w:val="4"/>
    </w:pPr>
    <w:rPr>
      <w:rFonts w:cs="" w:cstheme="majorBidi" w:eastAsia=""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val="true"/>
      <w:keepLines/>
      <w:spacing w:after="0" w:before="40"/>
      <w:outlineLvl w:val="5"/>
    </w:pPr>
    <w:rPr>
      <w:rFonts w:cs="" w:cstheme="majorBidi" w:eastAsia=""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val="true"/>
      <w:keepLines/>
      <w:spacing w:after="0" w:before="40"/>
      <w:outlineLvl w:val="6"/>
    </w:pPr>
    <w:rPr>
      <w:rFonts w:cs="" w:cstheme="majorBidi" w:eastAsia=""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val="true"/>
      <w:keepLines/>
      <w:spacing w:after="0" w:before="0"/>
      <w:outlineLvl w:val="7"/>
    </w:pPr>
    <w:rPr>
      <w:rFonts w:cs="" w:cstheme="majorBidi" w:eastAsia=""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val="true"/>
      <w:keepLines/>
      <w:spacing w:after="0" w:before="0"/>
      <w:outlineLvl w:val="8"/>
    </w:pPr>
    <w:rPr>
      <w:rFonts w:cs="" w:cstheme="majorBidi" w:eastAsia="" w:eastAsiaTheme="majorEastAsia"/>
      <w:color w:themeColor="text1" w:themeTint="d8" w:val="272727"/>
    </w:rPr>
  </w:style>
  <w:style w:customStyle="1" w:styleId="TitleChar" w:type="character">
    <w:name w:val="Title Char"/>
    <w:basedOn w:val="DefaultParagraphFont"/>
    <w:uiPriority w:val="10"/>
    <w:qFormat/>
    <w:rsid w:val="00a10fd9"/>
    <w:rPr>
      <w:rFonts w:ascii="Aptos Display" w:asciiTheme="majorHAnsi" w:cs="" w:cstheme="majorBidi" w:eastAsia="" w:eastAsiaTheme="majorEastAsia" w:hAnsi="Aptos Display" w:hAnsiTheme="majorHAnsi"/>
      <w:sz w:val="56"/>
      <w:szCs w:val="56"/>
    </w:rPr>
  </w:style>
  <w:style w:customStyle="1" w:styleId="SubtitleChar" w:type="character">
    <w:name w:val="Subtitle Char"/>
    <w:basedOn w:val="DefaultParagraphFont"/>
    <w:uiPriority w:val="11"/>
    <w:qFormat/>
    <w:rsid w:val="00a10fd9"/>
    <w:rPr>
      <w:rFonts w:cs="" w:cstheme="majorBidi" w:eastAsia="" w:eastAsiaTheme="majorEastAsia"/>
      <w:color w:themeColor="text1" w:themeTint="a6" w:val="595959"/>
      <w:spacing w:val="15"/>
      <w:sz w:val="28"/>
      <w:szCs w:val="28"/>
    </w:rPr>
  </w:style>
  <w:style w:customStyle="1" w:styleId="Heading1Char" w:type="character">
    <w:name w:val="Heading 1 Char"/>
    <w:basedOn w:val="DefaultParagraphFont"/>
    <w:uiPriority w:val="9"/>
    <w:qFormat/>
    <w:rsid w:val="00a10fd9"/>
    <w:rPr>
      <w:rFonts w:ascii="Aptos Display" w:asciiTheme="majorHAnsi" w:cs="" w:cstheme="majorBidi" w:eastAsia="" w:eastAsiaTheme="majorEastAsia" w:hAnsi="Aptos Display" w:hAnsiTheme="majorHAnsi"/>
      <w:color w:themeColor="accent1" w:themeShade="bf" w:val="0F4761"/>
      <w:sz w:val="40"/>
      <w:szCs w:val="40"/>
    </w:rPr>
  </w:style>
  <w:style w:customStyle="1" w:styleId="Heading2Char" w:type="character">
    <w:name w:val="Heading 2 Char"/>
    <w:basedOn w:val="DefaultParagraphFont"/>
    <w:uiPriority w:val="9"/>
    <w:semiHidden/>
    <w:qFormat/>
    <w:rsid w:val="00a10fd9"/>
    <w:rPr>
      <w:rFonts w:ascii="Aptos Display" w:asciiTheme="majorHAnsi" w:cs="" w:cstheme="majorBidi" w:eastAsia="" w:eastAsiaTheme="majorEastAsia" w:hAnsi="Aptos Display" w:hAnsiTheme="majorHAnsi"/>
      <w:color w:themeColor="accent1" w:themeShade="bf" w:val="0F4761"/>
      <w:sz w:val="32"/>
      <w:szCs w:val="32"/>
    </w:rPr>
  </w:style>
  <w:style w:customStyle="1" w:styleId="Heading3Char" w:type="character">
    <w:name w:val="Heading 3 Char"/>
    <w:basedOn w:val="DefaultParagraphFont"/>
    <w:uiPriority w:val="9"/>
    <w:semiHidden/>
    <w:qFormat/>
    <w:rsid w:val="00a10fd9"/>
    <w:rPr>
      <w:rFonts w:cs="" w:cstheme="majorBidi" w:eastAsia="" w:eastAsiaTheme="majorEastAsia"/>
      <w:color w:themeColor="accent1" w:themeShade="bf" w:val="0F4761"/>
      <w:sz w:val="28"/>
      <w:szCs w:val="28"/>
    </w:rPr>
  </w:style>
  <w:style w:customStyle="1" w:styleId="Heading4Char" w:type="character">
    <w:name w:val="Heading 4 Char"/>
    <w:basedOn w:val="DefaultParagraphFont"/>
    <w:uiPriority w:val="9"/>
    <w:semiHidden/>
    <w:qFormat/>
    <w:rsid w:val="00a10fd9"/>
    <w:rPr>
      <w:rFonts w:cs="" w:cstheme="majorBidi" w:eastAsia="" w:eastAsiaTheme="majorEastAsia"/>
      <w:i/>
      <w:iCs/>
      <w:color w:themeColor="accent1" w:themeShade="bf" w:val="0F4761"/>
    </w:rPr>
  </w:style>
  <w:style w:customStyle="1" w:styleId="Heading5Char" w:type="character">
    <w:name w:val="Heading 5 Char"/>
    <w:basedOn w:val="DefaultParagraphFont"/>
    <w:uiPriority w:val="9"/>
    <w:semiHidden/>
    <w:qFormat/>
    <w:rsid w:val="00a10fd9"/>
    <w:rPr>
      <w:rFonts w:cs="" w:cstheme="majorBidi" w:eastAsia="" w:eastAsiaTheme="majorEastAsia"/>
      <w:color w:themeColor="accent1" w:themeShade="bf" w:val="0F4761"/>
    </w:rPr>
  </w:style>
  <w:style w:customStyle="1" w:styleId="Heading6Char" w:type="character">
    <w:name w:val="Heading 6 Char"/>
    <w:basedOn w:val="DefaultParagraphFont"/>
    <w:uiPriority w:val="9"/>
    <w:semiHidden/>
    <w:qFormat/>
    <w:rsid w:val="00a10fd9"/>
    <w:rPr>
      <w:rFonts w:cs="" w:cstheme="majorBidi" w:eastAsia="" w:eastAsiaTheme="majorEastAsia"/>
      <w:i/>
      <w:iCs/>
      <w:color w:themeColor="text1" w:themeTint="a6" w:val="595959"/>
    </w:rPr>
  </w:style>
  <w:style w:customStyle="1" w:styleId="Heading7Char" w:type="character">
    <w:name w:val="Heading 7 Char"/>
    <w:basedOn w:val="DefaultParagraphFont"/>
    <w:uiPriority w:val="9"/>
    <w:semiHidden/>
    <w:qFormat/>
    <w:rsid w:val="00a10fd9"/>
    <w:rPr>
      <w:rFonts w:cs="" w:cstheme="majorBidi" w:eastAsia="" w:eastAsiaTheme="majorEastAsia"/>
      <w:color w:themeColor="text1" w:themeTint="a6" w:val="595959"/>
    </w:rPr>
  </w:style>
  <w:style w:customStyle="1" w:styleId="Heading8Char" w:type="character">
    <w:name w:val="Heading 8 Char"/>
    <w:basedOn w:val="DefaultParagraphFont"/>
    <w:uiPriority w:val="9"/>
    <w:semiHidden/>
    <w:qFormat/>
    <w:rsid w:val="00a10fd9"/>
    <w:rPr>
      <w:rFonts w:cs="" w:cstheme="majorBidi" w:eastAsia="" w:eastAsiaTheme="majorEastAsia"/>
      <w:i/>
      <w:iCs/>
      <w:color w:themeColor="text1" w:themeTint="d8" w:val="272727"/>
    </w:rPr>
  </w:style>
  <w:style w:customStyle="1" w:styleId="Heading9Char" w:type="character">
    <w:name w:val="Heading 9 Char"/>
    <w:basedOn w:val="DefaultParagraphFont"/>
    <w:uiPriority w:val="9"/>
    <w:semiHidden/>
    <w:qFormat/>
    <w:rsid w:val="00a10fd9"/>
    <w:rPr>
      <w:rFonts w:cs="" w:cstheme="majorBidi" w:eastAsia="" w:eastAsiaTheme="majorEastAsia"/>
      <w:color w:themeColor="text1" w:themeTint="d8" w:val="272727"/>
    </w:rPr>
  </w:style>
  <w:style w:default="1" w:styleId="DefaultParagraphFont" w:type="character">
    <w:name w:val="Default Paragraph Font"/>
    <w:semiHidden/>
    <w:unhideWhenUsed/>
    <w:qFormat/>
    <w:rPr/>
  </w:style>
  <w:style w:customStyle="1" w:styleId="BodyTextChar" w:type="character">
    <w:name w:val="Body Text Char"/>
    <w:basedOn w:val="DefaultParagraphFont"/>
    <w:qFormat/>
    <w:rPr/>
  </w:style>
  <w:style w:customStyle="1" w:styleId="VerbatimChar" w:type="character">
    <w:name w:val="Verbatim Char"/>
    <w:basedOn w:val="BodyTextChar"/>
    <w:qFormat/>
    <w:rPr>
      <w:rFonts w:ascii="Consolas" w:hAnsi="Consolas"/>
      <w:sz w:val="22"/>
    </w:rPr>
  </w:style>
  <w:style w:customStyle="1" w:styleId="SectionNumber" w:type="character">
    <w:name w:val="Section Number"/>
    <w:basedOn w:val="BodyTextChar"/>
    <w:qFormat/>
    <w:rPr/>
  </w:style>
  <w:style w:styleId="Caracteresdenotaderodap" w:type="character">
    <w:name w:val="Caracteres de nota de rodapé"/>
    <w:basedOn w:val="BodyTextChar"/>
    <w:qFormat/>
    <w:rPr>
      <w:vertAlign w:val="superscript"/>
    </w:rPr>
  </w:style>
  <w:style w:styleId="FootnoteReference" w:type="character">
    <w:name w:val="footnote reference"/>
    <w:rPr>
      <w:vertAlign w:val="superscript"/>
    </w:rPr>
  </w:style>
  <w:style w:styleId="Hyperlink" w:type="character">
    <w:name w:val="Hyperlink"/>
    <w:basedOn w:val="BodyTextChar"/>
    <w:rPr>
      <w:color w:themeColor="accent1" w:val="4F81BD"/>
    </w:rPr>
  </w:style>
  <w:style w:styleId="EndnoteReference" w:type="character">
    <w:name w:val="endnote reference"/>
    <w:rPr>
      <w:vertAlign w:val="superscript"/>
    </w:rPr>
  </w:style>
  <w:style w:styleId="Caracteresdenotadefim" w:type="character">
    <w:name w:val="Caracteres de nota de fim"/>
    <w:qFormat/>
    <w:rPr/>
  </w:style>
  <w:style w:styleId="Ttulo" w:type="paragraph">
    <w:name w:val="Título"/>
    <w:basedOn w:val="Normal"/>
    <w:next w:val="BodyText"/>
    <w:qFormat/>
    <w:pPr>
      <w:keepNext w:val="true"/>
      <w:spacing w:after="120" w:before="240"/>
    </w:pPr>
    <w:rPr>
      <w:rFonts w:ascii="Liberation Sans" w:cs="Lucida Sans" w:eastAsia="Microsoft YaHei" w:hAnsi="Liberation Sans"/>
      <w:sz w:val="28"/>
      <w:szCs w:val="28"/>
    </w:rPr>
  </w:style>
  <w:style w:styleId="BodyText" w:type="paragraph">
    <w:name w:val="Body Text"/>
    <w:basedOn w:val="Normal"/>
    <w:link w:val="BodyTextChar"/>
    <w:qFormat/>
    <w:pPr>
      <w:spacing w:after="180" w:before="180"/>
    </w:pPr>
    <w:rPr/>
  </w:style>
  <w:style w:styleId="List" w:type="paragraph">
    <w:name w:val="List"/>
    <w:basedOn w:val="BodyText"/>
    <w:pPr/>
    <w:rPr>
      <w:rFonts w:cs="Lucida Sans"/>
    </w:rPr>
  </w:style>
  <w:style w:styleId="Caption" w:type="paragraph">
    <w:name w:val="caption"/>
    <w:basedOn w:val="Normal"/>
    <w:link w:val="BodyTextChar"/>
    <w:qFormat/>
    <w:pPr>
      <w:spacing w:after="120" w:before="0"/>
    </w:pPr>
    <w:rPr>
      <w:i/>
    </w:rPr>
  </w:style>
  <w:style w:styleId="ndice" w:type="paragraph">
    <w:name w:val="Índice"/>
    <w:basedOn w:val="Normal"/>
    <w:qFormat/>
    <w:pPr>
      <w:suppressLineNumbers/>
    </w:pPr>
    <w:rPr>
      <w:rFonts w:cs="Lucida Sans"/>
    </w:rPr>
  </w:style>
  <w:style w:customStyle="1" w:styleId="FirstParagraph" w:type="paragraph">
    <w:name w:val="First Paragraph"/>
    <w:basedOn w:val="BodyText"/>
    <w:next w:val="BodyText"/>
    <w:qFormat/>
    <w:pPr/>
    <w:rPr/>
  </w:style>
  <w:style w:customStyle="1" w:styleId="Compact" w:type="paragraph">
    <w:name w:val="Compact"/>
    <w:basedOn w:val="BodyText"/>
    <w:qFormat/>
    <w:pPr>
      <w:spacing w:after="36" w:before="36"/>
    </w:pPr>
    <w:rPr/>
  </w:style>
  <w:style w:styleId="Title" w:type="paragraph">
    <w:name w:val="Title"/>
    <w:basedOn w:val="Normal"/>
    <w:next w:val="BodyText"/>
    <w:link w:val="TitleChar"/>
    <w:uiPriority w:val="10"/>
    <w:qFormat/>
    <w:rsid w:val="00a10fd9"/>
    <w:pPr>
      <w:spacing w:after="80" w:before="0" w:line="240" w:lineRule="auto"/>
      <w:contextualSpacing/>
      <w:jc w:val="center"/>
    </w:pPr>
    <w:rPr>
      <w:rFonts w:ascii="Aptos Display" w:asciiTheme="majorHAnsi" w:cs="" w:cstheme="majorBidi" w:eastAsia="" w:eastAsiaTheme="majorEastAsia" w:hAnsi="Aptos Display" w:hAnsiTheme="majorHAnsi"/>
      <w:sz w:val="56"/>
      <w:szCs w:val="56"/>
    </w:rPr>
  </w:style>
  <w:style w:styleId="Subtitle" w:type="paragraph">
    <w:name w:val="Subtitle"/>
    <w:basedOn w:val="Title"/>
    <w:next w:val="BodyText"/>
    <w:link w:val="SubtitleChar"/>
    <w:uiPriority w:val="11"/>
    <w:qFormat/>
    <w:rsid w:val="00a10fd9"/>
    <w:pPr/>
    <w:rPr>
      <w:rFonts w:cs="" w:cstheme="majorBidi" w:eastAsia="" w:eastAsiaTheme="majorEastAsia"/>
      <w:spacing w:val="15"/>
      <w:sz w:val="28"/>
      <w:szCs w:val="28"/>
    </w:rPr>
  </w:style>
  <w:style w:customStyle="1" w:styleId="Author" w:type="paragraph">
    <w:name w:val="Author"/>
    <w:basedOn w:val="Title"/>
    <w:next w:val="BodyText"/>
    <w:qFormat/>
    <w:pPr>
      <w:keepNext w:val="true"/>
      <w:keepLines/>
    </w:pPr>
    <w:rPr>
      <w:sz w:val="24"/>
      <w:szCs w:val="24"/>
    </w:rPr>
  </w:style>
  <w:style w:styleId="Date" w:type="paragraph">
    <w:name w:val="Date"/>
    <w:basedOn w:val="Title"/>
    <w:next w:val="BodyText"/>
    <w:qFormat/>
    <w:pPr>
      <w:keepNext w:val="true"/>
      <w:keepLines/>
    </w:pPr>
    <w:rPr>
      <w:sz w:val="24"/>
      <w:szCs w:val="24"/>
    </w:rPr>
  </w:style>
  <w:style w:customStyle="1" w:styleId="AbstractTitle" w:type="paragraph">
    <w:name w:val="Abstract Title"/>
    <w:basedOn w:val="Normal"/>
    <w:next w:val="Abstract"/>
    <w:qFormat/>
    <w:pPr>
      <w:keepNext w:val="true"/>
      <w:keepLines/>
      <w:spacing w:after="0" w:before="300"/>
      <w:jc w:val="center"/>
    </w:pPr>
    <w:rPr>
      <w:b/>
      <w:sz w:val="20"/>
      <w:szCs w:val="20"/>
    </w:rPr>
  </w:style>
  <w:style w:customStyle="1" w:styleId="Abstract" w:type="paragraph">
    <w:name w:val="Abstract"/>
    <w:basedOn w:val="Normal"/>
    <w:next w:val="BodyText"/>
    <w:qFormat/>
    <w:pPr>
      <w:keepNext w:val="true"/>
      <w:keepLines/>
      <w:spacing w:after="300" w:before="100"/>
    </w:pPr>
    <w:rPr>
      <w:sz w:val="20"/>
      <w:szCs w:val="20"/>
    </w:rPr>
  </w:style>
  <w:style w:styleId="Bibliography" w:type="paragraph">
    <w:name w:val="Bibliography"/>
    <w:basedOn w:val="Normal"/>
    <w:qFormat/>
    <w:pPr/>
    <w:rPr/>
  </w:style>
  <w:style w:styleId="BlockText" w:type="paragraph">
    <w:name w:val="Block Text"/>
    <w:basedOn w:val="BodyText"/>
    <w:next w:val="BodyText"/>
    <w:uiPriority w:val="9"/>
    <w:unhideWhenUsed/>
    <w:qFormat/>
    <w:pPr>
      <w:spacing w:after="100" w:before="100"/>
      <w:ind w:hanging="0" w:left="480" w:right="480"/>
    </w:pPr>
    <w:rPr/>
  </w:style>
  <w:style w:styleId="FootnoteText" w:type="paragraph">
    <w:name w:val="footnote text"/>
    <w:basedOn w:val="Normal"/>
    <w:uiPriority w:val="9"/>
    <w:unhideWhenUsed/>
    <w:qFormat/>
    <w:pPr/>
    <w:rPr/>
  </w:style>
  <w:style w:styleId="FootnoteBlockText" w:type="paragraph">
    <w:name w:val="Footnote Block Text"/>
    <w:basedOn w:val="FootnoteText"/>
    <w:next w:val="FootnoteText"/>
    <w:uiPriority w:val="9"/>
    <w:unhideWhenUsed/>
    <w:qFormat/>
    <w:pPr>
      <w:spacing w:after="100" w:before="100"/>
      <w:ind w:hanging="0" w:left="480" w:right="480"/>
    </w:pPr>
    <w:rPr/>
  </w:style>
  <w:style w:customStyle="1" w:styleId="DefinitionTerm" w:type="paragraph">
    <w:name w:val="Definition Term"/>
    <w:basedOn w:val="Normal"/>
    <w:next w:val="Definition"/>
    <w:qFormat/>
    <w:pPr>
      <w:keepNext w:val="true"/>
      <w:keepLines/>
      <w:spacing w:after="0" w:before="0"/>
    </w:pPr>
    <w:rPr>
      <w:b/>
    </w:rPr>
  </w:style>
  <w:style w:customStyle="1" w:styleId="Definition" w:type="paragraph">
    <w:name w:val="Definition"/>
    <w:basedOn w:val="Normal"/>
    <w:qFormat/>
    <w:pPr/>
    <w:rPr/>
  </w:style>
  <w:style w:customStyle="1" w:styleId="TableCaption" w:type="paragraph">
    <w:name w:val="Table Caption"/>
    <w:basedOn w:val="Caption"/>
    <w:qFormat/>
    <w:pPr>
      <w:keepNext w:val="true"/>
    </w:pPr>
    <w:rPr/>
  </w:style>
  <w:style w:customStyle="1" w:styleId="ImageCaption" w:type="paragraph">
    <w:name w:val="Image Caption"/>
    <w:basedOn w:val="Caption"/>
    <w:qFormat/>
    <w:pPr/>
    <w:rPr/>
  </w:style>
  <w:style w:customStyle="1" w:styleId="Figura" w:type="paragraph">
    <w:name w:val="Figura"/>
    <w:basedOn w:val="Normal"/>
    <w:qFormat/>
    <w:pPr/>
    <w:rPr/>
  </w:style>
  <w:style w:customStyle="1" w:styleId="CaptionedFigure" w:type="paragraph">
    <w:name w:val="Captioned Figure"/>
    <w:basedOn w:val="Figura"/>
    <w:qFormat/>
    <w:pPr>
      <w:keepNext w:val="true"/>
    </w:pPr>
    <w:rPr/>
  </w:style>
  <w:style w:styleId="IndexHeading" w:type="paragraph">
    <w:name w:val="index heading"/>
    <w:basedOn w:val="Ttulo"/>
    <w:pPr/>
    <w:rPr/>
  </w:style>
  <w:style w:styleId="TOCHeading" w:type="paragraph">
    <w:name w:val="TOC Heading"/>
    <w:basedOn w:val="Heading1"/>
    <w:next w:val="BodyText"/>
    <w:uiPriority w:val="39"/>
    <w:unhideWhenUsed/>
    <w:qFormat/>
    <w:pPr>
      <w:spacing w:after="80" w:before="240" w:line="259" w:lineRule="auto"/>
      <w:outlineLvl w:val="9"/>
    </w:pPr>
    <w:rPr>
      <w:rFonts w:ascii="Aptos Display" w:asciiTheme="majorHAnsi" w:cs="" w:cstheme="majorBidi" w:eastAsia="" w:eastAsiaTheme="majorEastAsia" w:hAnsi="Aptos Display" w:hAnsiTheme="majorHAnsi"/>
      <w:b w:val="false"/>
      <w:bCs w:val="false"/>
      <w:color w:themeColor="accent1" w:themeShade="bf" w:val="365F91"/>
    </w:rPr>
  </w:style>
  <w:style w:styleId="Anotao" w:type="paragraph">
    <w:name w:val="Anotação"/>
    <w:basedOn w:val="Normal"/>
    <w:qFormat/>
    <w:pPr>
      <w:spacing w:after="0" w:before="56" w:line="240" w:lineRule="auto"/>
      <w:ind w:hanging="0" w:left="57" w:right="57"/>
    </w:pPr>
    <w:rPr>
      <w:color w:val="auto"/>
      <w:sz w:val="20"/>
      <w:szCs w:val="20"/>
    </w:rPr>
  </w:style>
  <w:style w:default="1" w:styleId="Table" w:type="table">
    <w:name w:val="Table"/>
    <w:basedOn w:val="TableNormal"/>
    <w:semiHidden/>
    <w:unhideWhenUsed/>
    <w:qFormat/>
    <w:tblPr>
      <w:tblCellMar>
        <w:top w:type="dxa" w:w="0"/>
        <w:left w:type="dxa" w:w="108"/>
        <w:bottom w:type="dxa" w:w="0"/>
        <w:right w:type="dxa" w:w="108"/>
      </w:tblCellMar>
    </w:tblPr>
    <w:tblStylePr w:type="firstRow">
      <w:tblPr/>
      <w:tcPr>
        <w:tcBorders>
          <w:bottom w:val="single"/>
        </w:tcBorders>
        <w:vAlign w:val="bottom"/>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2" Target="media/rId52.png" /><Relationship Type="http://schemas.openxmlformats.org/officeDocument/2006/relationships/image" Id="rId40" Target="media/rId40.png" /><Relationship Type="http://schemas.openxmlformats.org/officeDocument/2006/relationships/image" Id="rId34" Target="media/rId34.png" /><Relationship Type="http://schemas.openxmlformats.org/officeDocument/2006/relationships/image" Id="rId22" Target="media/rId22.png" /><Relationship Type="http://schemas.openxmlformats.org/officeDocument/2006/relationships/image" Id="rId29" Target="media/rId29.png" /><Relationship Type="http://schemas.openxmlformats.org/officeDocument/2006/relationships/image" Id="rId49" Target="media/rId49.png" /><Relationship Type="http://schemas.openxmlformats.org/officeDocument/2006/relationships/image" Id="rId55" Target="media/rId55.png" /><Relationship Type="http://schemas.openxmlformats.org/officeDocument/2006/relationships/image" Id="rId46" Target="media/rId46.png" /><Relationship Type="http://schemas.openxmlformats.org/officeDocument/2006/relationships/hyperlink" Id="rId21" Target="https://jvbatista1.github.io/insanceara/index.qmd.html" TargetMode="External" /></Relationships>
</file>

<file path=word/_rels/footnotes.xml.rels><?xml version="1.0" encoding="UTF-8"?><Relationships xmlns="http://schemas.openxmlformats.org/package/2006/relationships"><Relationship Type="http://schemas.openxmlformats.org/officeDocument/2006/relationships/hyperlink" Id="rId21" Target="https://jvbatista1.github.io/insanceara/index.qmd.html" TargetMode="Externa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11</TotalTime>
  <Application>LibreOffice/25.2.6.2$Windows_X86_64 LibreOffice_project/729c5bfe710f5eb71ed3bbde9e06a6065e9c6c5d</Application>
  <AppVersion>15.0000</AppVersion>
  <Pages>1</Pages>
  <Words>53</Words>
  <Characters>281</Characters>
  <CharactersWithSpaces>371</CharactersWithSpaces>
  <Paragraphs>28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segurança alimentar no Ceará em 2024</dc:title>
  <dc:creator/>
  <cp:keywords/>
  <dcterms:created xsi:type="dcterms:W3CDTF">2025-12-03T15:34:22Z</dcterms:created>
  <dcterms:modified xsi:type="dcterms:W3CDTF">2025-12-03T15:34:22Z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ffiliation">
    <vt:lpwstr/>
  </property>
  <property fmtid="{D5CDD505-2E9C-101B-9397-08002B2CF9AE}" pid="7" name="by-author">
    <vt:lpwstr/>
  </property>
  <property fmtid="{D5CDD505-2E9C-101B-9397-08002B2CF9AE}" pid="8" name="clear-hidden-classes">
    <vt:lpwstr>none</vt:lpwstr>
  </property>
  <property fmtid="{D5CDD505-2E9C-101B-9397-08002B2CF9AE}" pid="9" name="execute">
    <vt:lpwstr/>
  </property>
  <property fmtid="{D5CDD505-2E9C-101B-9397-08002B2CF9AE}" pid="10" name="fig-cap-location">
    <vt:lpwstr>top</vt:lpwstr>
  </property>
  <property fmtid="{D5CDD505-2E9C-101B-9397-08002B2CF9AE}" pid="11" name="google-scholar">
    <vt:lpwstr>True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ghtbox">
    <vt:lpwstr>auto</vt:lpwstr>
  </property>
  <property fmtid="{D5CDD505-2E9C-101B-9397-08002B2CF9AE}" pid="17" name="manuscript">
    <vt:lpwstr/>
  </property>
  <property fmtid="{D5CDD505-2E9C-101B-9397-08002B2CF9AE}" pid="18" name="notebook-preview-options">
    <vt:lpwstr/>
  </property>
  <property fmtid="{D5CDD505-2E9C-101B-9397-08002B2CF9AE}" pid="19" name="quarto-internal">
    <vt:lpwstr/>
  </property>
  <property fmtid="{D5CDD505-2E9C-101B-9397-08002B2CF9AE}" pid="20" name="remove-hidden">
    <vt:lpwstr>all</vt:lpwstr>
  </property>
  <property fmtid="{D5CDD505-2E9C-101B-9397-08002B2CF9AE}" pid="21" name="tbl-cap-location">
    <vt:lpwstr>top</vt:lpwstr>
  </property>
  <property fmtid="{D5CDD505-2E9C-101B-9397-08002B2CF9AE}" pid="22" name="template-partials">
    <vt:lpwstr/>
  </property>
  <property fmtid="{D5CDD505-2E9C-101B-9397-08002B2CF9AE}" pid="23" name="theme">
    <vt:lpwstr>cosmo</vt:lpwstr>
  </property>
  <property fmtid="{D5CDD505-2E9C-101B-9397-08002B2CF9AE}" pid="24" name="title-block-style">
    <vt:lpwstr>manuscript</vt:lpwstr>
  </property>
  <property fmtid="{D5CDD505-2E9C-101B-9397-08002B2CF9AE}" pid="25" name="toc-title">
    <vt:lpwstr>Table of contents</vt:lpwstr>
  </property>
  <property fmtid="{D5CDD505-2E9C-101B-9397-08002B2CF9AE}" pid="26" name="unroll-markdown-cells">
    <vt:lpwstr>True</vt:lpwstr>
  </property>
</Properties>
</file>