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left="-993"/>
        <w:rPr>
          <w:rFonts w:ascii="Times New Roman" w:hAnsi="Times New Roman" w:cs="Times New Roman"/>
          <w:i/>
          <w:i/>
          <w:sz w:val="24"/>
          <w:szCs w:val="24"/>
          <w:lang w:val="en-US"/>
        </w:rPr>
      </w:pPr>
      <w:r>
        <w:rPr>
          <w:rFonts w:cs="Times New Roman" w:ascii="Times New Roman" w:hAnsi="Times New Roman"/>
          <w:i/>
          <w:sz w:val="24"/>
          <w:szCs w:val="24"/>
          <w:lang w:val="en-US"/>
        </w:rPr>
        <mc:AlternateContent>
          <mc:Choice Requires="wps">
            <w:drawing>
              <wp:anchor behindDoc="1" distT="0" distB="1270" distL="0" distR="0" simplePos="0" locked="0" layoutInCell="0" allowOverlap="1" relativeHeight="14" wp14:anchorId="217EE1BF">
                <wp:simplePos x="0" y="0"/>
                <wp:positionH relativeFrom="margin">
                  <wp:posOffset>5715</wp:posOffset>
                </wp:positionH>
                <wp:positionV relativeFrom="paragraph">
                  <wp:posOffset>320040</wp:posOffset>
                </wp:positionV>
                <wp:extent cx="6840220" cy="683895"/>
                <wp:effectExtent l="0" t="0" r="0" b="1905"/>
                <wp:wrapNone/>
                <wp:docPr id="1" name="Retângulo 2"/>
                <a:graphic xmlns:a="http://schemas.openxmlformats.org/drawingml/2006/main">
                  <a:graphicData uri="http://schemas.microsoft.com/office/word/2010/wordprocessingShape">
                    <wps:wsp>
                      <wps:cNvSpPr/>
                      <wps:spPr>
                        <a:xfrm>
                          <a:off x="0" y="0"/>
                          <a:ext cx="6840360" cy="684000"/>
                        </a:xfrm>
                        <a:prstGeom prst="rect">
                          <a:avLst/>
                        </a:prstGeom>
                        <a:solidFill>
                          <a:srgbClr val="f8ffd5"/>
                        </a:solidFill>
                        <a:ln w="0">
                          <a:noFill/>
                        </a:ln>
                      </wps:spPr>
                      <wps:style>
                        <a:lnRef idx="0"/>
                        <a:fillRef idx="0"/>
                        <a:effectRef idx="0"/>
                        <a:fontRef idx="minor"/>
                      </wps:style>
                      <wps:txbx>
                        <w:txbxContent>
                          <w:p>
                            <w:pPr>
                              <w:pStyle w:val="Contedodoquadro"/>
                              <w:spacing w:lineRule="auto" w:line="240" w:before="0" w:after="0"/>
                              <w:jc w:val="both"/>
                              <w:rPr>
                                <w:rFonts w:ascii="Calibri" w:hAnsi="Calibri" w:cs="Calibri"/>
                                <w:sz w:val="20"/>
                                <w:szCs w:val="20"/>
                              </w:rPr>
                            </w:pPr>
                            <w:r>
                              <w:rPr>
                                <w:rFonts w:cs="Calibri" w:ascii="Calibri" w:hAnsi="Calibri"/>
                                <w:sz w:val="20"/>
                                <w:szCs w:val="20"/>
                              </w:rPr>
                              <w:t>Enfoque Econômico é uma publicação do IPECE que tem por objetivo fornecer informações de forma imediata sobre políticas econômicas, estudos e pesquisas de interesse da população cearense. Por esse instrumento informativo o IPECE espera contribuir para a disseminação, de forma objetiva, do conhecimento sobre temas relevantes para o desenvolvimento econômico do Estado do Ceará.</w:t>
                            </w:r>
                          </w:p>
                        </w:txbxContent>
                      </wps:txbx>
                      <wps:bodyPr anchor="t" upright="1">
                        <a:noAutofit/>
                      </wps:bodyPr>
                    </wps:wsp>
                  </a:graphicData>
                </a:graphic>
              </wp:anchor>
            </w:drawing>
          </mc:Choice>
          <mc:Fallback>
            <w:pict>
              <v:rect id="shape_0" ID="Retângulo 2" path="m0,0l-2147483645,0l-2147483645,-2147483646l0,-2147483646xe" fillcolor="#f8ffd5" stroked="f" o:allowincell="f" style="position:absolute;margin-left:0.45pt;margin-top:25.2pt;width:538.55pt;height:53.8pt;mso-wrap-style:square;v-text-anchor:top;mso-position-horizontal-relative:margin" wp14:anchorId="217EE1BF">
                <v:fill o:detectmouseclick="t" type="solid" color2="#07002a"/>
                <v:stroke color="#3465a4" joinstyle="round" endcap="flat"/>
                <v:textbox>
                  <w:txbxContent>
                    <w:p>
                      <w:pPr>
                        <w:pStyle w:val="Contedodoquadro"/>
                        <w:spacing w:lineRule="auto" w:line="240" w:before="0" w:after="0"/>
                        <w:jc w:val="both"/>
                        <w:rPr>
                          <w:rFonts w:ascii="Calibri" w:hAnsi="Calibri" w:cs="Calibri"/>
                          <w:sz w:val="20"/>
                          <w:szCs w:val="20"/>
                        </w:rPr>
                      </w:pPr>
                      <w:r>
                        <w:rPr>
                          <w:rFonts w:cs="Calibri" w:ascii="Calibri" w:hAnsi="Calibri"/>
                          <w:sz w:val="20"/>
                          <w:szCs w:val="20"/>
                        </w:rPr>
                        <w:t>Enfoque Econômico é uma publicação do IPECE que tem por objetivo fornecer informações de forma imediata sobre políticas econômicas, estudos e pesquisas de interesse da população cearense. Por esse instrumento informativo o IPECE espera contribuir para a disseminação, de forma objetiva, do conhecimento sobre temas relevantes para o desenvolvimento econômico do Estado do Ceará.</w:t>
                      </w:r>
                    </w:p>
                  </w:txbxContent>
                </v:textbox>
                <w10:wrap type="none"/>
              </v:rect>
            </w:pict>
          </mc:Fallback>
        </mc:AlternateContent>
      </w:r>
    </w:p>
    <w:p>
      <w:pPr>
        <w:pStyle w:val="Normal"/>
        <w:spacing w:lineRule="auto" w:line="240" w:before="0" w:after="0"/>
        <w:ind w:left="-993"/>
        <w:rPr>
          <w:rFonts w:ascii="Times New Roman" w:hAnsi="Times New Roman" w:cs="Times New Roman"/>
          <w:i/>
          <w:i/>
          <w:sz w:val="24"/>
          <w:szCs w:val="24"/>
          <w:lang w:val="en-US"/>
        </w:rPr>
      </w:pPr>
      <w:r>
        <w:rPr>
          <w:rFonts w:cs="Times New Roman" w:ascii="Times New Roman" w:hAnsi="Times New Roman"/>
          <w:i/>
          <w:sz w:val="24"/>
          <w:szCs w:val="24"/>
          <w:lang w:val="en-US"/>
        </w:rPr>
      </w:r>
    </w:p>
    <w:p>
      <w:pPr>
        <w:pStyle w:val="Normal"/>
        <w:spacing w:lineRule="auto" w:line="240" w:before="0" w:after="0"/>
        <w:ind w:left="-993"/>
        <w:rPr>
          <w:rFonts w:ascii="Times New Roman" w:hAnsi="Times New Roman" w:cs="Times New Roman"/>
          <w:i/>
          <w:i/>
          <w:sz w:val="24"/>
          <w:szCs w:val="24"/>
          <w:lang w:val="en-US"/>
        </w:rPr>
      </w:pPr>
      <w:r>
        <w:rPr>
          <w:rFonts w:cs="Times New Roman" w:ascii="Times New Roman" w:hAnsi="Times New Roman"/>
          <w:i/>
          <w:sz w:val="24"/>
          <w:szCs w:val="24"/>
          <w:lang w:val="en-US"/>
        </w:rPr>
      </w:r>
    </w:p>
    <w:p>
      <w:pPr>
        <w:pStyle w:val="Normal"/>
        <w:spacing w:lineRule="auto" w:line="240" w:before="0" w:after="0"/>
        <w:ind w:left="-993"/>
        <w:rPr>
          <w:rFonts w:ascii="Times New Roman" w:hAnsi="Times New Roman" w:cs="Times New Roman"/>
          <w:i/>
          <w:i/>
          <w:sz w:val="24"/>
          <w:szCs w:val="24"/>
          <w:lang w:val="en-US"/>
        </w:rPr>
      </w:pPr>
      <w:r>
        <w:rPr>
          <w:rFonts w:cs="Times New Roman" w:ascii="Times New Roman" w:hAnsi="Times New Roman"/>
          <w:i/>
          <w:sz w:val="24"/>
          <w:szCs w:val="24"/>
          <w:lang w:val="en-US"/>
        </w:rPr>
      </w:r>
    </w:p>
    <w:p>
      <w:pPr>
        <w:pStyle w:val="Normal"/>
        <w:spacing w:lineRule="auto" w:line="240" w:before="0" w:after="0"/>
        <w:ind w:left="-993"/>
        <w:jc w:val="center"/>
        <w:rPr>
          <w:rFonts w:ascii="Times New Roman" w:hAnsi="Times New Roman" w:cs="Times New Roman"/>
          <w:b/>
          <w:i/>
          <w:i/>
          <w:sz w:val="24"/>
          <w:szCs w:val="24"/>
        </w:rPr>
      </w:pPr>
      <w:r>
        <w:rPr>
          <w:rFonts w:cs="Times New Roman" w:ascii="Times New Roman" w:hAnsi="Times New Roman"/>
          <w:b/>
          <w:i/>
          <w:sz w:val="24"/>
          <w:szCs w:val="24"/>
        </w:rPr>
      </w:r>
    </w:p>
    <w:p>
      <w:pPr>
        <w:pStyle w:val="Normal"/>
        <w:numPr>
          <w:ilvl w:val="0"/>
          <w:numId w:val="0"/>
        </w:numPr>
        <w:spacing w:lineRule="auto" w:line="240" w:before="0" w:after="0"/>
        <w:jc w:val="center"/>
        <w:outlineLvl w:val="2"/>
        <w:rPr>
          <w:rFonts w:ascii="Times New Roman" w:hAnsi="Times New Roman" w:cs="Times New Roman"/>
          <w:b/>
          <w:i/>
          <w:i/>
          <w:sz w:val="24"/>
          <w:szCs w:val="24"/>
        </w:rPr>
      </w:pPr>
      <w:r>
        <w:rPr>
          <w:rFonts w:cs="Times New Roman" w:ascii="Times New Roman" w:hAnsi="Times New Roman"/>
          <w:b/>
          <w:i/>
          <w:sz w:val="24"/>
          <w:szCs w:val="24"/>
        </w:rPr>
        <w:t>Manchete….(Negrito, Itálico, Times New Roman, 12)</w:t>
      </w:r>
    </w:p>
    <w:p>
      <w:pPr>
        <w:pStyle w:val="Heading3"/>
        <w:spacing w:before="0" w:after="0"/>
        <w:ind w:right="-992"/>
        <w:rPr>
          <w:rFonts w:ascii="Times New Roman" w:hAnsi="Times New Roman" w:cs="Times New Roman"/>
          <w:sz w:val="24"/>
          <w:szCs w:val="24"/>
        </w:rPr>
      </w:pPr>
      <w:r>
        <w:rPr>
          <w:rFonts w:cs="Times New Roman" w:ascii="Times New Roman" w:hAnsi="Times New Roman"/>
          <w:sz w:val="24"/>
          <w:szCs w:val="24"/>
        </w:rPr>
      </w:r>
    </w:p>
    <w:p>
      <w:pPr>
        <w:pStyle w:val="Heading3"/>
        <w:keepNext w:val="false"/>
        <w:tabs>
          <w:tab w:val="clear" w:pos="708"/>
          <w:tab w:val="left" w:pos="6627" w:leader="none"/>
        </w:tabs>
        <w:spacing w:before="120" w:after="120"/>
        <w:jc w:val="both"/>
        <w:rPr>
          <w:rFonts w:ascii="Times New Roman" w:hAnsi="Times New Roman" w:cs="Times New Roman"/>
          <w:sz w:val="28"/>
          <w:szCs w:val="28"/>
        </w:rPr>
      </w:pPr>
      <w:r>
        <w:rPr>
          <w:rFonts w:cs="Times New Roman" w:ascii="Times New Roman" w:hAnsi="Times New Roman"/>
          <w:sz w:val="28"/>
          <w:szCs w:val="28"/>
        </w:rPr>
        <w:t xml:space="preserve">1. Introdução </w:t>
      </w:r>
    </w:p>
    <w:p>
      <w:pPr>
        <w:pStyle w:val="NormalWeb"/>
        <w:spacing w:beforeAutospacing="0" w:before="120" w:afterAutospacing="0" w:after="120"/>
        <w:ind w:firstLine="851"/>
        <w:jc w:val="both"/>
        <w:rPr/>
      </w:pPr>
      <w:r>
        <w:rPr/>
        <w:t>A criação do Microempreendedor Individual – MEI em 2008, com a Lei Complementar nº 128</w:t>
      </w:r>
      <w:r>
        <w:rPr>
          <w:rStyle w:val="FootnoteReference"/>
        </w:rPr>
        <w:footnoteReference w:id="2"/>
      </w:r>
      <w:r>
        <w:rPr/>
        <w:t xml:space="preserve">, teve por objetivo estimular a formalização de pequenos empreendimentos e trabalhadores autônomos, favorecer uma maior inclusão previdenciária destes trabalhadores cuja capacidade contributiva era limitada e, por conseguinte, a promoção de uma maior inclusão social dos mesmos. </w:t>
      </w:r>
    </w:p>
    <w:p>
      <w:pPr>
        <w:pStyle w:val="NormalWeb"/>
        <w:spacing w:beforeAutospacing="0" w:before="120" w:afterAutospacing="0" w:after="120"/>
        <w:ind w:firstLine="851"/>
        <w:jc w:val="both"/>
        <w:rPr/>
      </w:pPr>
      <w:r>
        <w:rPr/>
        <w:t>O Programa tem como público-alvo pequenos comerciantes, prestadores de serviço e trabalhadores autônomos. Estes não devem possuir sócios e sua renda anual não deve ultrapassar um teto de R$ 81.000,00. Estes microempresários possuem a vantagem de além do benefício previdenciário, possuem um regime tributário mais vantajoso e facilitado. Isto é, ao obter um registro formal (CNPJ), o mesmo possui todas as vantagens de empresas formais, como acesso ao crédito e ao Sistema Judiciário.</w:t>
      </w:r>
    </w:p>
    <w:p>
      <w:pPr>
        <w:pStyle w:val="NormalWeb"/>
        <w:spacing w:beforeAutospacing="0" w:before="120" w:afterAutospacing="0" w:after="120"/>
        <w:ind w:firstLine="851"/>
        <w:jc w:val="both"/>
        <w:rPr/>
      </w:pPr>
      <w:r>
        <w:rPr/>
        <w:t xml:space="preserve">Com tantos benefícios, o crescimento acelerado deste grupo, principalmente após a pandemia (citar estudo IBRE), não é surpreendente (esperado). Com crescimento de aproximadamente 1,8 milhão de novos inscritos a cada ano (entre 2019 e 2022), há a preocupação da sustentabilidade fiscal do programa, vide o forte subsídio por parte do Governo. </w:t>
      </w:r>
    </w:p>
    <w:p>
      <w:pPr>
        <w:pStyle w:val="NormalWeb"/>
        <w:spacing w:beforeAutospacing="0" w:before="120" w:afterAutospacing="0" w:after="120"/>
        <w:ind w:firstLine="851"/>
        <w:jc w:val="both"/>
        <w:rPr/>
      </w:pPr>
      <w:r>
        <w:rPr/>
        <w:t xml:space="preserve">As questões levantadas dizem respeito ao perfil dos indivíduos se formalizando como MEI, uma vez que inicialmente, este programa tinha por objetivo atingir trabalhadores autônomos de baixa renda. </w:t>
      </w:r>
    </w:p>
    <w:p>
      <w:pPr>
        <w:pStyle w:val="NormalWeb"/>
        <w:spacing w:beforeAutospacing="0" w:before="120" w:afterAutospacing="0" w:after="120"/>
        <w:ind w:firstLine="851"/>
        <w:jc w:val="both"/>
        <w:rPr/>
      </w:pPr>
      <w:r>
        <w:rPr/>
        <w:t xml:space="preserve">Assim, este Enfoque tem por objetivo apresentar um quadro inicial dos MEIs no Ceará através da explanação dos dados administrativos.  </w:t>
      </w:r>
    </w:p>
    <w:p>
      <w:pPr>
        <w:pStyle w:val="NormalWeb"/>
        <w:spacing w:beforeAutospacing="0" w:before="120" w:afterAutospacing="0" w:after="120"/>
        <w:ind w:firstLine="851"/>
        <w:jc w:val="both"/>
        <w:rPr/>
      </w:pPr>
      <w:r>
        <w:rPr/>
      </w:r>
    </w:p>
    <w:p>
      <w:pPr>
        <w:pStyle w:val="NormalWeb"/>
        <w:spacing w:beforeAutospacing="0" w:before="120" w:afterAutospacing="0" w:after="120"/>
        <w:ind w:firstLine="851"/>
        <w:jc w:val="both"/>
        <w:rPr/>
      </w:pPr>
      <w:r>
        <w:rPr/>
      </w:r>
    </w:p>
    <w:p>
      <w:pPr>
        <w:pStyle w:val="NormalWeb"/>
        <w:numPr>
          <w:ilvl w:val="0"/>
          <w:numId w:val="0"/>
        </w:numPr>
        <w:spacing w:beforeAutospacing="0" w:before="120" w:afterAutospacing="0" w:after="0"/>
        <w:jc w:val="both"/>
        <w:outlineLvl w:val="2"/>
        <w:rPr/>
      </w:pPr>
      <w:r>
        <w:rPr>
          <w:b/>
        </w:rPr>
        <w:t xml:space="preserve">Tabela 1: </w:t>
      </w:r>
      <w:r>
        <w:rPr/>
        <w:t>Total de MEIs por Região-UF – janeiro de 2026</w:t>
      </w:r>
    </w:p>
    <w:tbl>
      <w:tblPr>
        <w:tblW w:w="8647" w:type="dxa"/>
        <w:jc w:val="center"/>
        <w:tblInd w:w="0" w:type="dxa"/>
        <w:tblLayout w:type="fixed"/>
        <w:tblCellMar>
          <w:top w:w="0" w:type="dxa"/>
          <w:left w:w="70" w:type="dxa"/>
          <w:bottom w:w="0" w:type="dxa"/>
          <w:right w:w="70" w:type="dxa"/>
        </w:tblCellMar>
        <w:tblLook w:firstRow="1" w:noVBand="1" w:lastRow="0" w:firstColumn="1" w:lastColumn="0" w:noHBand="0" w:val="04a0"/>
      </w:tblPr>
      <w:tblGrid>
        <w:gridCol w:w="2479"/>
        <w:gridCol w:w="1181"/>
        <w:gridCol w:w="4987"/>
      </w:tblGrid>
      <w:tr>
        <w:trPr>
          <w:trHeight w:val="300" w:hRule="atLeast"/>
        </w:trPr>
        <w:tc>
          <w:tcPr>
            <w:tcW w:w="2479" w:type="dxa"/>
            <w:tcBorders>
              <w:top w:val="single" w:sz="4" w:space="0" w:color="000000"/>
              <w:bottom w:val="single" w:sz="4" w:space="0" w:color="000000"/>
            </w:tcBorders>
            <w:vAlign w:val="bottom"/>
          </w:tcPr>
          <w:p>
            <w:pPr>
              <w:pStyle w:val="Normal"/>
              <w:spacing w:lineRule="auto" w:line="240" w:before="0" w:after="0"/>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Região</w:t>
            </w:r>
          </w:p>
        </w:tc>
        <w:tc>
          <w:tcPr>
            <w:tcW w:w="1181" w:type="dxa"/>
            <w:tcBorders>
              <w:top w:val="single" w:sz="4" w:space="0" w:color="000000"/>
              <w:bottom w:val="single" w:sz="4" w:space="0" w:color="000000"/>
            </w:tcBorders>
            <w:vAlign w:val="bottom"/>
          </w:tcPr>
          <w:p>
            <w:pPr>
              <w:pStyle w:val="Normal"/>
              <w:spacing w:lineRule="auto" w:line="240" w:before="0" w:after="0"/>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 xml:space="preserve">       </w:t>
            </w:r>
            <w:r>
              <w:rPr>
                <w:rFonts w:eastAsia="Times New Roman" w:cs="Times New Roman" w:ascii="Times New Roman" w:hAnsi="Times New Roman"/>
                <w:b/>
                <w:bCs/>
                <w:color w:val="000000"/>
                <w:lang w:eastAsia="pt-BR"/>
              </w:rPr>
              <w:t>Total</w:t>
            </w:r>
          </w:p>
        </w:tc>
        <w:tc>
          <w:tcPr>
            <w:tcW w:w="4987" w:type="dxa"/>
            <w:tcBorders>
              <w:top w:val="single" w:sz="4" w:space="0" w:color="000000"/>
              <w:bottom w:val="single" w:sz="4" w:space="0" w:color="000000"/>
            </w:tcBorders>
            <w:vAlign w:val="bottom"/>
          </w:tcPr>
          <w:p>
            <w:pPr>
              <w:pStyle w:val="Normal"/>
              <w:spacing w:lineRule="auto" w:line="240" w:before="0" w:after="0"/>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 xml:space="preserve">                                                                                 </w:t>
            </w:r>
            <w:r>
              <w:rPr>
                <w:rFonts w:eastAsia="Times New Roman" w:cs="Times New Roman" w:ascii="Times New Roman" w:hAnsi="Times New Roman"/>
                <w:b/>
                <w:bCs/>
                <w:color w:val="000000"/>
                <w:lang w:eastAsia="pt-BR"/>
              </w:rPr>
              <w:t>%</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NORTE</w:t>
            </w:r>
          </w:p>
        </w:tc>
        <w:tc>
          <w:tcPr>
            <w:tcW w:w="1181" w:type="dxa"/>
            <w:tcBorders/>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797377</w:t>
            </w:r>
          </w:p>
        </w:tc>
        <w:tc>
          <w:tcPr>
            <w:tcW w:w="4987" w:type="dxa"/>
            <w:tcBorders/>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4.89</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Acre - AC</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29175</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0.18</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Amapá - AP</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27505</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0.17</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Amazonas - AM</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174680</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1.07</w:t>
            </w:r>
          </w:p>
        </w:tc>
      </w:tr>
      <w:tr>
        <w:trPr>
          <w:trHeight w:val="315"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Pará - PA</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334090</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2.05</w:t>
            </w:r>
          </w:p>
        </w:tc>
      </w:tr>
      <w:tr>
        <w:trPr>
          <w:trHeight w:val="315"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Rondônia - RO</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99544</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0.61</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Roraima - RR</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29802</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0.18</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Tocantins - TO</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102581</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0.63</w:t>
            </w:r>
          </w:p>
        </w:tc>
      </w:tr>
      <w:tr>
        <w:trPr>
          <w:trHeight w:val="300" w:hRule="atLeast"/>
        </w:trPr>
        <w:tc>
          <w:tcPr>
            <w:tcW w:w="2479" w:type="dxa"/>
            <w:tcBorders/>
            <w:shd w:color="000000" w:fill="FFFF00" w:val="clear"/>
            <w:vAlign w:val="bottom"/>
          </w:tcPr>
          <w:p>
            <w:pPr>
              <w:pStyle w:val="Normal"/>
              <w:spacing w:lineRule="auto" w:line="240" w:before="0" w:after="0"/>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NORDESTE</w:t>
            </w:r>
          </w:p>
        </w:tc>
        <w:tc>
          <w:tcPr>
            <w:tcW w:w="1181" w:type="dxa"/>
            <w:tcBorders/>
            <w:shd w:color="000000" w:fill="FFFF00" w:val="clear"/>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2756339</w:t>
            </w:r>
          </w:p>
        </w:tc>
        <w:tc>
          <w:tcPr>
            <w:tcW w:w="4987" w:type="dxa"/>
            <w:tcBorders/>
            <w:shd w:color="000000" w:fill="FFFF00" w:val="clear"/>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16.89</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Alagoas - AL</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152223</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0.93</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Bahia - BA</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821021</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5.03</w:t>
            </w:r>
          </w:p>
        </w:tc>
      </w:tr>
      <w:tr>
        <w:trPr>
          <w:trHeight w:val="300" w:hRule="atLeast"/>
        </w:trPr>
        <w:tc>
          <w:tcPr>
            <w:tcW w:w="2479" w:type="dxa"/>
            <w:tcBorders/>
            <w:shd w:color="000000" w:fill="FFFF00" w:val="clear"/>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Ceará - CE</w:t>
            </w:r>
          </w:p>
        </w:tc>
        <w:tc>
          <w:tcPr>
            <w:tcW w:w="1181" w:type="dxa"/>
            <w:tcBorders/>
            <w:shd w:color="000000" w:fill="FFFF00" w:val="clear"/>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462879</w:t>
            </w:r>
          </w:p>
        </w:tc>
        <w:tc>
          <w:tcPr>
            <w:tcW w:w="4987" w:type="dxa"/>
            <w:tcBorders/>
            <w:shd w:color="000000" w:fill="FFFF00" w:val="clear"/>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2.84</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Maranhão - MA</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187762</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1.15</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Paraíba - PB</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211688</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1.30</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Pernambuco - PE</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497984</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3.05</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Piauí - PI</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123091</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0.75</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Rio Grande do Norte - RN</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191664</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1.17</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Sergipe - SE</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108027</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0.66</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CENTRO-OESTE</w:t>
            </w:r>
          </w:p>
        </w:tc>
        <w:tc>
          <w:tcPr>
            <w:tcW w:w="1181" w:type="dxa"/>
            <w:tcBorders/>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1410095</w:t>
            </w:r>
          </w:p>
        </w:tc>
        <w:tc>
          <w:tcPr>
            <w:tcW w:w="4987" w:type="dxa"/>
            <w:tcBorders/>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8.64</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Distrito Federal - DF</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263140</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1.61</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Goiás - GO</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614110</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3.76</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Mato Grosso - MT</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307761</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1.89</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Mato Grosso do Sul - MS</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225084</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1.38</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SUDESTE</w:t>
            </w:r>
          </w:p>
        </w:tc>
        <w:tc>
          <w:tcPr>
            <w:tcW w:w="1181" w:type="dxa"/>
            <w:tcBorders/>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8458262</w:t>
            </w:r>
          </w:p>
        </w:tc>
        <w:tc>
          <w:tcPr>
            <w:tcW w:w="4987" w:type="dxa"/>
            <w:tcBorders/>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51.82</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Espírito Santo - ES</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397955</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2.44</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Minas Geral - MG</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1780286</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10.91</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Rio de Janeiro - RJ</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1731305</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10.61</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São Paulo - SP</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4548716</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27.87</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SUL</w:t>
            </w:r>
          </w:p>
        </w:tc>
        <w:tc>
          <w:tcPr>
            <w:tcW w:w="1181" w:type="dxa"/>
            <w:tcBorders/>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2900003</w:t>
            </w:r>
          </w:p>
        </w:tc>
        <w:tc>
          <w:tcPr>
            <w:tcW w:w="4987" w:type="dxa"/>
            <w:tcBorders/>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17.77</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Paraná - PR</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1073637</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6.58</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Rio Grande do Sul - RS</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1002915</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6.14</w:t>
            </w:r>
          </w:p>
        </w:tc>
      </w:tr>
      <w:tr>
        <w:trPr>
          <w:trHeight w:val="300" w:hRule="atLeast"/>
        </w:trPr>
        <w:tc>
          <w:tcPr>
            <w:tcW w:w="2479"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Santa Catarina - SC</w:t>
            </w:r>
          </w:p>
        </w:tc>
        <w:tc>
          <w:tcPr>
            <w:tcW w:w="1181"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823451</w:t>
            </w:r>
          </w:p>
        </w:tc>
        <w:tc>
          <w:tcPr>
            <w:tcW w:w="4987"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5.05</w:t>
            </w:r>
          </w:p>
        </w:tc>
      </w:tr>
      <w:tr>
        <w:trPr>
          <w:trHeight w:val="315" w:hRule="atLeast"/>
        </w:trPr>
        <w:tc>
          <w:tcPr>
            <w:tcW w:w="2479" w:type="dxa"/>
            <w:tcBorders>
              <w:bottom w:val="double" w:sz="6" w:space="0" w:color="000000"/>
            </w:tcBorders>
            <w:vAlign w:val="bottom"/>
          </w:tcPr>
          <w:p>
            <w:pPr>
              <w:pStyle w:val="Normal"/>
              <w:spacing w:lineRule="auto" w:line="240" w:before="0" w:after="0"/>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TOTAL</w:t>
            </w:r>
          </w:p>
        </w:tc>
        <w:tc>
          <w:tcPr>
            <w:tcW w:w="1181" w:type="dxa"/>
            <w:tcBorders>
              <w:bottom w:val="double" w:sz="6" w:space="0" w:color="000000"/>
            </w:tcBorders>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16322076</w:t>
            </w:r>
          </w:p>
        </w:tc>
        <w:tc>
          <w:tcPr>
            <w:tcW w:w="4987" w:type="dxa"/>
            <w:tcBorders>
              <w:bottom w:val="double" w:sz="6" w:space="0" w:color="000000"/>
            </w:tcBorders>
            <w:vAlign w:val="bottom"/>
          </w:tcPr>
          <w:p>
            <w:pPr>
              <w:pStyle w:val="Normal"/>
              <w:spacing w:lineRule="auto" w:line="240" w:before="0" w:after="0"/>
              <w:jc w:val="right"/>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100.00</w:t>
            </w:r>
          </w:p>
        </w:tc>
      </w:tr>
    </w:tbl>
    <w:p>
      <w:pPr>
        <w:pStyle w:val="NormalWeb"/>
        <w:numPr>
          <w:ilvl w:val="0"/>
          <w:numId w:val="0"/>
        </w:numPr>
        <w:spacing w:beforeAutospacing="0" w:before="0" w:afterAutospacing="0" w:after="120"/>
        <w:jc w:val="both"/>
        <w:outlineLvl w:val="2"/>
        <w:rPr>
          <w:sz w:val="20"/>
          <w:szCs w:val="20"/>
        </w:rPr>
      </w:pPr>
      <w:r>
        <w:rPr>
          <w:sz w:val="20"/>
          <w:szCs w:val="20"/>
        </w:rPr>
        <w:t>Fonte: Receita Federal. Elaboração: IPECE.</w:t>
      </w:r>
    </w:p>
    <w:p>
      <w:pPr>
        <w:pStyle w:val="Heading3"/>
        <w:keepNext w:val="false"/>
        <w:spacing w:before="240" w:after="120"/>
        <w:jc w:val="both"/>
        <w:rPr>
          <w:rFonts w:ascii="Times New Roman" w:hAnsi="Times New Roman" w:cs="Times New Roman"/>
          <w:sz w:val="28"/>
          <w:szCs w:val="28"/>
        </w:rPr>
      </w:pPr>
      <w:r>
        <w:rPr>
          <w:rFonts w:cs="Times New Roman" w:ascii="Times New Roman" w:hAnsi="Times New Roman"/>
          <w:sz w:val="28"/>
          <w:szCs w:val="28"/>
        </w:rPr>
        <w:t xml:space="preserve">2. MEI por Atividade Econômica e Gênero </w:t>
      </w:r>
    </w:p>
    <w:p>
      <w:pPr>
        <w:pStyle w:val="NormalWeb"/>
        <w:spacing w:beforeAutospacing="0" w:before="120" w:afterAutospacing="0" w:after="120"/>
        <w:ind w:firstLine="851"/>
        <w:jc w:val="both"/>
        <w:rPr/>
      </w:pPr>
      <w:r>
        <w:rPr/>
        <w:t xml:space="preserve">Em termos gerais, mulheres e homens estão representados de forma equilibrada entre os filiados ao MEI </w:t>
      </w:r>
      <w:r>
        <w:rPr/>
        <w:t>no Ceará. De acordo com os dados administrativos, 55,12% dos filiados são homens (254.447 registros) e 44,87% são mulheres (207.141 registros).</w:t>
      </w:r>
    </w:p>
    <w:p>
      <w:pPr>
        <w:pStyle w:val="NormalWeb"/>
        <w:spacing w:beforeAutospacing="0" w:before="120" w:afterAutospacing="0" w:after="120"/>
        <w:ind w:firstLine="851"/>
        <w:jc w:val="both"/>
        <w:rPr/>
      </w:pPr>
      <w:r>
        <w:rPr/>
        <w:t>No total, as seçoes que apresentam o maior número de registros no MEI são Comércio; Reparação de Veículos Automotores e Motocicletas, com 161.164 registros (34,92%), Alojamento e Alimentação, com 53.536 (11,60%) e Outras Atividades de Serviços, com 47.736 (10,34%). Constata-se que os microempreendedores cearenses estão alocados em sua maioria no setor de serviços da economia, sobretudo no comércio.</w:t>
      </w:r>
    </w:p>
    <w:p>
      <w:pPr>
        <w:pStyle w:val="NormalWeb"/>
        <w:spacing w:beforeAutospacing="0" w:before="120" w:afterAutospacing="0" w:after="120"/>
        <w:ind w:firstLine="851"/>
        <w:jc w:val="both"/>
        <w:rPr/>
      </w:pPr>
      <w:r>
        <w:rPr/>
        <w:t>Em relação à distribuição das atividades entre os sexos, é possível identificar atividades que concentram um ou outro gênero. Nessa análise vamos desconsiderar atividades que possuem somente um registro, no caso, Atividades Imobiliárias, Indústrias Extrativas e Atividades Financeiras, de Seguros e Serviços Relacionados.</w:t>
      </w:r>
    </w:p>
    <w:p>
      <w:pPr>
        <w:pStyle w:val="NormalWeb"/>
        <w:spacing w:beforeAutospacing="0" w:before="120" w:afterAutospacing="0" w:after="120"/>
        <w:ind w:firstLine="851"/>
        <w:jc w:val="both"/>
        <w:rPr/>
      </w:pPr>
      <w:r>
        <w:rPr/>
        <w:t xml:space="preserve">As atividades que mais concentram MEI do sexo masculino são Construção com 19.260 registros (92,34% </w:t>
      </w:r>
      <w:r>
        <w:rPr/>
        <w:t>de homens</w:t>
      </w:r>
      <w:r>
        <w:rPr/>
        <w:t xml:space="preserve">), seguida de Transporte, Armazenagem e Correio, com 41.802 registros (90,79%) e Água, Esgoto, Gestão de Resíduos e Descontaminação com 872 registros (78,56%). Já em relação aos MEI do sexo feminino, </w:t>
      </w:r>
      <w:r>
        <w:rPr/>
        <w:t xml:space="preserve">em primeiro lugar aparece a seção de Serviços Domésticos, com 3.790 registros (92,37% de mulheres), seguido de Saúde Humana e Serviços Sociais, com 1.465 registros (84%) e Outras Atividades de Serviços, com 29.788 registros (62,40%). </w:t>
      </w:r>
    </w:p>
    <w:p>
      <w:pPr>
        <w:pStyle w:val="NormalWeb"/>
        <w:spacing w:beforeAutospacing="0" w:before="120" w:afterAutospacing="0" w:after="120"/>
        <w:ind w:firstLine="851"/>
        <w:jc w:val="both"/>
        <w:rPr/>
      </w:pPr>
      <w:r>
        <w:rPr/>
        <w:t>Essa distribuição aponta para a existência de categorias de serviços socialemente definidas para os gêneros em questão.</w:t>
      </w:r>
    </w:p>
    <w:p>
      <w:pPr>
        <w:pStyle w:val="NormalWeb"/>
        <w:numPr>
          <w:ilvl w:val="0"/>
          <w:numId w:val="0"/>
        </w:numPr>
        <w:spacing w:beforeAutospacing="0" w:before="120" w:afterAutospacing="0" w:after="0"/>
        <w:jc w:val="both"/>
        <w:outlineLvl w:val="2"/>
        <w:rPr/>
      </w:pPr>
      <w:r>
        <w:rPr>
          <w:b/>
        </w:rPr>
        <w:t xml:space="preserve">Tabela 2: </w:t>
      </w:r>
      <w:r>
        <w:rPr/>
        <w:t xml:space="preserve">Total de MEIs por </w:t>
      </w:r>
      <w:r>
        <w:rPr/>
        <w:t xml:space="preserve">seção de </w:t>
      </w:r>
      <w:r>
        <w:rPr/>
        <w:t>CNAE e Gênero (e percentual) – Ceará – janeiro de 2026</w:t>
      </w:r>
    </w:p>
    <w:tbl>
      <w:tblPr>
        <w:tblW w:w="11180" w:type="dxa"/>
        <w:jc w:val="left"/>
        <w:tblInd w:w="70" w:type="dxa"/>
        <w:tblLayout w:type="fixed"/>
        <w:tblCellMar>
          <w:top w:w="0" w:type="dxa"/>
          <w:left w:w="70" w:type="dxa"/>
          <w:bottom w:w="0" w:type="dxa"/>
          <w:right w:w="70" w:type="dxa"/>
        </w:tblCellMar>
        <w:tblLook w:firstRow="1" w:noVBand="1" w:lastRow="0" w:firstColumn="1" w:lastColumn="0" w:noHBand="0" w:val="04a0"/>
      </w:tblPr>
      <w:tblGrid>
        <w:gridCol w:w="6152"/>
        <w:gridCol w:w="959"/>
        <w:gridCol w:w="1119"/>
        <w:gridCol w:w="958"/>
        <w:gridCol w:w="1032"/>
        <w:gridCol w:w="959"/>
      </w:tblGrid>
      <w:tr>
        <w:trPr>
          <w:trHeight w:val="300" w:hRule="atLeast"/>
        </w:trPr>
        <w:tc>
          <w:tcPr>
            <w:tcW w:w="6152" w:type="dxa"/>
            <w:tcBorders>
              <w:top w:val="single" w:sz="4" w:space="0" w:color="000000"/>
            </w:tcBorders>
            <w:vAlign w:val="bottom"/>
          </w:tcPr>
          <w:p>
            <w:pPr>
              <w:pStyle w:val="Normal"/>
              <w:spacing w:lineRule="auto" w:line="240" w:before="0" w:after="0"/>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Seção da CNAE</w:t>
            </w:r>
          </w:p>
        </w:tc>
        <w:tc>
          <w:tcPr>
            <w:tcW w:w="959" w:type="dxa"/>
            <w:tcBorders>
              <w:top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Total</w:t>
            </w:r>
          </w:p>
        </w:tc>
        <w:tc>
          <w:tcPr>
            <w:tcW w:w="1119" w:type="dxa"/>
            <w:tcBorders>
              <w:top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Masculino</w:t>
            </w:r>
          </w:p>
        </w:tc>
        <w:tc>
          <w:tcPr>
            <w:tcW w:w="958" w:type="dxa"/>
            <w:tcBorders>
              <w:top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w:t>
            </w:r>
          </w:p>
        </w:tc>
        <w:tc>
          <w:tcPr>
            <w:tcW w:w="1032" w:type="dxa"/>
            <w:tcBorders>
              <w:top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Feminino</w:t>
            </w:r>
          </w:p>
        </w:tc>
        <w:tc>
          <w:tcPr>
            <w:tcW w:w="959" w:type="dxa"/>
            <w:tcBorders>
              <w:top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Agricultura, Pecuaria, Produção Florestal, Pesca e Aquicultura</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1064</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823</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77.3%</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241</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22.65%</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Agua, Esgoto, Atividades de Gestão de Resíduos e Descontaminação</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1110</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872</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78.6%</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238</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21.44%</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Alojamento e Alimentacao</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53536</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26228</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49.0%</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27308</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51.01%</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Artes, Cultura  Esporte e Recreação</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3568</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2656</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74.4%</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912</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25.56%</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Atividades Administrativas e Serviços Complementares</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23174</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12762</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55.1%</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10412</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44.93%</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Atividades Financeiras de Seguros e Serviços Relacionados</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0.0%</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100.00%</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Atividades Imobiliarias</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100.0%</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0.00%</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Atividades Profissionais, Científicas e Técnicas</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23447</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12769</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54.5%</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10678</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45.54%</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Comercio; Reparação de Veículos Automotores e Motocicletas</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161164</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82687</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51.3%</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78477</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48.69%</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Construção</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20857</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19260</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92.3%</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1597</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7.66%</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Educação</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20573</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10112</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49.2%</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10461</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50.85%</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Indústrias Extrativas</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100.0%</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0.00%</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Indústrias de Transformação</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45767</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21203</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46.3%</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24564</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53.67%</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Informação e Comunicação</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7699</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4731</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61.4%</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2968</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38.55%</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Outras Atividades de Servicos</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47736</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17948</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37.6%</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29788</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62.40%</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Saúde Humana e Serviços Sociais</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1744</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279</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16.0%</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1465</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84.00%</w:t>
            </w:r>
          </w:p>
        </w:tc>
      </w:tr>
      <w:tr>
        <w:trPr>
          <w:trHeight w:val="300" w:hRule="atLeast"/>
        </w:trPr>
        <w:tc>
          <w:tcPr>
            <w:tcW w:w="6152"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Serviços Domésticos</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4103</w:t>
            </w:r>
          </w:p>
        </w:tc>
        <w:tc>
          <w:tcPr>
            <w:tcW w:w="111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313</w:t>
            </w:r>
          </w:p>
        </w:tc>
        <w:tc>
          <w:tcPr>
            <w:tcW w:w="95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7.6%</w:t>
            </w:r>
          </w:p>
        </w:tc>
        <w:tc>
          <w:tcPr>
            <w:tcW w:w="1032"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3790</w:t>
            </w:r>
          </w:p>
        </w:tc>
        <w:tc>
          <w:tcPr>
            <w:tcW w:w="959"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92.37%</w:t>
            </w:r>
          </w:p>
        </w:tc>
      </w:tr>
      <w:tr>
        <w:trPr>
          <w:trHeight w:val="315" w:hRule="atLeast"/>
        </w:trPr>
        <w:tc>
          <w:tcPr>
            <w:tcW w:w="6152" w:type="dxa"/>
            <w:tcBorders>
              <w:bottom w:val="double" w:sz="6" w:space="0" w:color="000000"/>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Transporte  Armazenagem e Correio</w:t>
            </w:r>
          </w:p>
        </w:tc>
        <w:tc>
          <w:tcPr>
            <w:tcW w:w="959" w:type="dxa"/>
            <w:tcBorders>
              <w:bottom w:val="double" w:sz="6" w:space="0" w:color="000000"/>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46043</w:t>
            </w:r>
          </w:p>
        </w:tc>
        <w:tc>
          <w:tcPr>
            <w:tcW w:w="1119" w:type="dxa"/>
            <w:tcBorders>
              <w:bottom w:val="double" w:sz="6" w:space="0" w:color="000000"/>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41802</w:t>
            </w:r>
          </w:p>
        </w:tc>
        <w:tc>
          <w:tcPr>
            <w:tcW w:w="958" w:type="dxa"/>
            <w:tcBorders>
              <w:bottom w:val="double" w:sz="6" w:space="0" w:color="000000"/>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90.8%</w:t>
            </w:r>
          </w:p>
        </w:tc>
        <w:tc>
          <w:tcPr>
            <w:tcW w:w="1032" w:type="dxa"/>
            <w:tcBorders>
              <w:bottom w:val="double" w:sz="6" w:space="0" w:color="000000"/>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4241</w:t>
            </w:r>
          </w:p>
        </w:tc>
        <w:tc>
          <w:tcPr>
            <w:tcW w:w="959" w:type="dxa"/>
            <w:tcBorders>
              <w:bottom w:val="double" w:sz="6" w:space="0" w:color="000000"/>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9.21%</w:t>
            </w:r>
          </w:p>
        </w:tc>
      </w:tr>
    </w:tbl>
    <w:p>
      <w:pPr>
        <w:pStyle w:val="NormalWeb"/>
        <w:numPr>
          <w:ilvl w:val="0"/>
          <w:numId w:val="0"/>
        </w:numPr>
        <w:spacing w:beforeAutospacing="0" w:before="0" w:afterAutospacing="0" w:after="120"/>
        <w:jc w:val="both"/>
        <w:outlineLvl w:val="2"/>
        <w:rPr>
          <w:sz w:val="20"/>
          <w:szCs w:val="20"/>
        </w:rPr>
      </w:pPr>
      <w:r>
        <w:rPr>
          <w:sz w:val="20"/>
          <w:szCs w:val="20"/>
        </w:rPr>
        <w:t>Fonte: Receita Federal. Elaboração: IPECE.</w:t>
      </w:r>
    </w:p>
    <w:p>
      <w:pPr>
        <w:pStyle w:val="Heading3"/>
        <w:keepNext w:val="false"/>
        <w:spacing w:before="240" w:after="120"/>
        <w:jc w:val="both"/>
        <w:rPr>
          <w:rFonts w:ascii="Times New Roman" w:hAnsi="Times New Roman" w:cs="Times New Roman"/>
          <w:sz w:val="28"/>
          <w:szCs w:val="28"/>
        </w:rPr>
      </w:pPr>
      <w:r>
        <w:rPr>
          <w:rFonts w:cs="Times New Roman" w:ascii="Times New Roman" w:hAnsi="Times New Roman"/>
          <w:sz w:val="28"/>
          <w:szCs w:val="28"/>
        </w:rPr>
        <w:t>3. MEI por Faixa Etária</w:t>
      </w:r>
    </w:p>
    <w:p>
      <w:pPr>
        <w:pStyle w:val="NormalWeb"/>
        <w:spacing w:beforeAutospacing="0" w:before="120" w:afterAutospacing="0" w:after="120"/>
        <w:ind w:firstLine="851"/>
        <w:jc w:val="both"/>
        <w:rPr/>
      </w:pPr>
      <w:r>
        <w:rPr/>
        <w:t xml:space="preserve">O dinamismo do MEI entre os jovens apresenta caracteírstias próprias, </w:t>
      </w:r>
      <w:r>
        <w:rPr/>
        <w:t>em especial do ponto de vista da sobrevivência</w:t>
      </w:r>
      <w:r>
        <w:rPr/>
        <w:t>. Estudo do IBGE (2023) mostra que</w:t>
      </w:r>
      <w:r>
        <w:rPr/>
        <w:t xml:space="preserve"> dentre MEIs filiados em 2014, 51,6% permaneciam ativos após 5 anos, mas que </w:t>
      </w:r>
      <w:r>
        <w:rPr/>
        <w:t>quanto mais jovem o empreendedor individual, menores tendem a ser as chances de sobrevivência do negócio.</w:t>
      </w:r>
    </w:p>
    <w:p>
      <w:pPr>
        <w:pStyle w:val="NormalWeb"/>
        <w:spacing w:beforeAutospacing="0" w:before="120" w:afterAutospacing="0" w:after="120"/>
        <w:ind w:firstLine="851"/>
        <w:jc w:val="both"/>
        <w:rPr/>
      </w:pPr>
      <w:r>
        <w:rPr/>
        <w:t xml:space="preserve">Os trabalhadores que saíram do emprego formal podem ter optado pelo MEI motivados por necessidade ou por decisão. Oliveira(2023) aponta que esse segundo grupo tem um perfil mais jovem, bem como mais escolarizado, apesar da renda mais baixa. </w:t>
      </w:r>
    </w:p>
    <w:p>
      <w:pPr>
        <w:pStyle w:val="NormalWeb"/>
        <w:spacing w:beforeAutospacing="0" w:before="120" w:afterAutospacing="0" w:after="120"/>
        <w:ind w:firstLine="851"/>
        <w:jc w:val="both"/>
        <w:rPr/>
      </w:pPr>
      <w:r>
        <w:rPr/>
        <w:t xml:space="preserve">Sob a ótica laboral, os jovens constituem um dos segmentos tipicamente marginalizados. O fato de esse grupo proporcionalmente representar maioria na inscrição do MEI pode indicar certo sucesso na focalização do programa, </w:t>
      </w:r>
      <w:r>
        <w:rPr/>
        <w:t>em linha com trabalhos como Rocha, Ulyssea e Rachter (2018)</w:t>
      </w:r>
      <w:r>
        <w:rPr/>
        <w:t>. A tabela 3 mostra que indivíduos entre 31 e 40 anos representam a maioria dos MEI no Ceará, com 30,12% das incrições, seguidos de 24,39% para a categoria pessoas com 41 a 50 anos e 19,67% para as pessoas entre 21 e 30 anos.</w:t>
      </w:r>
    </w:p>
    <w:p>
      <w:pPr>
        <w:pStyle w:val="NormalWeb"/>
        <w:numPr>
          <w:ilvl w:val="0"/>
          <w:numId w:val="0"/>
        </w:numPr>
        <w:spacing w:beforeAutospacing="0" w:before="120" w:afterAutospacing="0" w:after="0"/>
        <w:jc w:val="both"/>
        <w:outlineLvl w:val="2"/>
        <w:rPr>
          <w:b/>
        </w:rPr>
      </w:pPr>
      <w:r>
        <w:rPr>
          <w:b/>
        </w:rPr>
      </w:r>
    </w:p>
    <w:p>
      <w:pPr>
        <w:pStyle w:val="NormalWeb"/>
        <w:numPr>
          <w:ilvl w:val="0"/>
          <w:numId w:val="0"/>
        </w:numPr>
        <w:spacing w:beforeAutospacing="0" w:before="120" w:afterAutospacing="0" w:after="0"/>
        <w:jc w:val="both"/>
        <w:outlineLvl w:val="2"/>
        <w:rPr/>
      </w:pPr>
      <w:r>
        <w:rPr>
          <w:b/>
        </w:rPr>
        <w:t xml:space="preserve">Tabela 3: </w:t>
      </w:r>
      <w:r>
        <w:rPr/>
        <w:t>Total de MEIs por Faixa Etária– Ceará – janeiro de 2026</w:t>
      </w:r>
    </w:p>
    <w:tbl>
      <w:tblPr>
        <w:tblW w:w="7305" w:type="dxa"/>
        <w:jc w:val="left"/>
        <w:tblInd w:w="70" w:type="dxa"/>
        <w:tblLayout w:type="fixed"/>
        <w:tblCellMar>
          <w:top w:w="0" w:type="dxa"/>
          <w:left w:w="70" w:type="dxa"/>
          <w:bottom w:w="0" w:type="dxa"/>
          <w:right w:w="70" w:type="dxa"/>
        </w:tblCellMar>
        <w:tblLook w:firstRow="1" w:noVBand="1" w:lastRow="0" w:firstColumn="1" w:lastColumn="0" w:noHBand="0" w:val="04a0"/>
      </w:tblPr>
      <w:tblGrid>
        <w:gridCol w:w="3043"/>
        <w:gridCol w:w="2088"/>
        <w:gridCol w:w="2174"/>
      </w:tblGrid>
      <w:tr>
        <w:trPr>
          <w:trHeight w:val="338" w:hRule="atLeast"/>
        </w:trPr>
        <w:tc>
          <w:tcPr>
            <w:tcW w:w="3043" w:type="dxa"/>
            <w:tcBorders>
              <w:top w:val="single" w:sz="4" w:space="0" w:color="000000"/>
            </w:tcBorders>
            <w:vAlign w:val="bottom"/>
          </w:tcPr>
          <w:p>
            <w:pPr>
              <w:pStyle w:val="Normal"/>
              <w:spacing w:lineRule="auto" w:line="240" w:before="0" w:after="0"/>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Faixa Etária</w:t>
            </w:r>
          </w:p>
        </w:tc>
        <w:tc>
          <w:tcPr>
            <w:tcW w:w="2088" w:type="dxa"/>
            <w:tcBorders>
              <w:top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 xml:space="preserve">                              </w:t>
            </w:r>
            <w:r>
              <w:rPr>
                <w:rFonts w:eastAsia="Times New Roman" w:cs="Times New Roman" w:ascii="Times New Roman" w:hAnsi="Times New Roman"/>
                <w:b/>
                <w:bCs/>
                <w:color w:val="000000"/>
                <w:lang w:eastAsia="pt-BR"/>
              </w:rPr>
              <w:t>Nº</w:t>
            </w:r>
          </w:p>
        </w:tc>
        <w:tc>
          <w:tcPr>
            <w:tcW w:w="2174" w:type="dxa"/>
            <w:tcBorders>
              <w:top w:val="single" w:sz="4" w:space="0" w:color="000000"/>
            </w:tcBorders>
            <w:vAlign w:val="bottom"/>
          </w:tcPr>
          <w:p>
            <w:pPr>
              <w:pStyle w:val="Normal"/>
              <w:spacing w:lineRule="auto" w:line="240" w:before="0" w:after="0"/>
              <w:jc w:val="center"/>
              <w:rPr>
                <w:rFonts w:ascii="Times New Roman" w:hAnsi="Times New Roman" w:eastAsia="Times New Roman" w:cs="Times New Roman"/>
                <w:b/>
                <w:bCs/>
                <w:color w:val="000000"/>
                <w:lang w:eastAsia="pt-BR"/>
              </w:rPr>
            </w:pPr>
            <w:r>
              <w:rPr>
                <w:rFonts w:eastAsia="Times New Roman" w:cs="Times New Roman" w:ascii="Times New Roman" w:hAnsi="Times New Roman"/>
                <w:b/>
                <w:bCs/>
                <w:color w:val="000000"/>
                <w:lang w:eastAsia="pt-BR"/>
              </w:rPr>
              <w:t xml:space="preserve">                     </w:t>
            </w:r>
            <w:r>
              <w:rPr>
                <w:rFonts w:eastAsia="Times New Roman" w:cs="Times New Roman" w:ascii="Times New Roman" w:hAnsi="Times New Roman"/>
                <w:b/>
                <w:bCs/>
                <w:color w:val="000000"/>
                <w:lang w:eastAsia="pt-BR"/>
              </w:rPr>
              <w:t>%</w:t>
            </w:r>
          </w:p>
        </w:tc>
      </w:tr>
      <w:tr>
        <w:trPr>
          <w:trHeight w:val="338" w:hRule="atLeast"/>
        </w:trPr>
        <w:tc>
          <w:tcPr>
            <w:tcW w:w="3043"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16-17</w:t>
            </w:r>
          </w:p>
        </w:tc>
        <w:tc>
          <w:tcPr>
            <w:tcW w:w="208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19</w:t>
            </w:r>
          </w:p>
        </w:tc>
        <w:tc>
          <w:tcPr>
            <w:tcW w:w="2174"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0.004%</w:t>
            </w:r>
          </w:p>
        </w:tc>
      </w:tr>
      <w:tr>
        <w:trPr>
          <w:trHeight w:val="338" w:hRule="atLeast"/>
        </w:trPr>
        <w:tc>
          <w:tcPr>
            <w:tcW w:w="3043"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18-20</w:t>
            </w:r>
          </w:p>
        </w:tc>
        <w:tc>
          <w:tcPr>
            <w:tcW w:w="208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3792</w:t>
            </w:r>
          </w:p>
        </w:tc>
        <w:tc>
          <w:tcPr>
            <w:tcW w:w="2174"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0.819%</w:t>
            </w:r>
          </w:p>
        </w:tc>
      </w:tr>
      <w:tr>
        <w:trPr>
          <w:trHeight w:val="338" w:hRule="atLeast"/>
        </w:trPr>
        <w:tc>
          <w:tcPr>
            <w:tcW w:w="3043"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21-30</w:t>
            </w:r>
          </w:p>
        </w:tc>
        <w:tc>
          <w:tcPr>
            <w:tcW w:w="208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91054</w:t>
            </w:r>
          </w:p>
        </w:tc>
        <w:tc>
          <w:tcPr>
            <w:tcW w:w="2174"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19.671%</w:t>
            </w:r>
          </w:p>
        </w:tc>
      </w:tr>
      <w:tr>
        <w:trPr>
          <w:trHeight w:val="338" w:hRule="atLeast"/>
        </w:trPr>
        <w:tc>
          <w:tcPr>
            <w:tcW w:w="3043"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31-40</w:t>
            </w:r>
          </w:p>
        </w:tc>
        <w:tc>
          <w:tcPr>
            <w:tcW w:w="208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139419</w:t>
            </w:r>
          </w:p>
        </w:tc>
        <w:tc>
          <w:tcPr>
            <w:tcW w:w="2174"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30.120%</w:t>
            </w:r>
          </w:p>
        </w:tc>
      </w:tr>
      <w:tr>
        <w:trPr>
          <w:trHeight w:val="338" w:hRule="atLeast"/>
        </w:trPr>
        <w:tc>
          <w:tcPr>
            <w:tcW w:w="3043"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41-50</w:t>
            </w:r>
          </w:p>
        </w:tc>
        <w:tc>
          <w:tcPr>
            <w:tcW w:w="208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112884</w:t>
            </w:r>
          </w:p>
        </w:tc>
        <w:tc>
          <w:tcPr>
            <w:tcW w:w="2174"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24.387%</w:t>
            </w:r>
          </w:p>
        </w:tc>
      </w:tr>
      <w:tr>
        <w:trPr>
          <w:trHeight w:val="338" w:hRule="atLeast"/>
        </w:trPr>
        <w:tc>
          <w:tcPr>
            <w:tcW w:w="3043"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51-60</w:t>
            </w:r>
          </w:p>
        </w:tc>
        <w:tc>
          <w:tcPr>
            <w:tcW w:w="208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76181</w:t>
            </w:r>
          </w:p>
        </w:tc>
        <w:tc>
          <w:tcPr>
            <w:tcW w:w="2174"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16.458%</w:t>
            </w:r>
          </w:p>
        </w:tc>
      </w:tr>
      <w:tr>
        <w:trPr>
          <w:trHeight w:val="338" w:hRule="atLeast"/>
        </w:trPr>
        <w:tc>
          <w:tcPr>
            <w:tcW w:w="3043"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61-70</w:t>
            </w:r>
          </w:p>
        </w:tc>
        <w:tc>
          <w:tcPr>
            <w:tcW w:w="208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33014</w:t>
            </w:r>
          </w:p>
        </w:tc>
        <w:tc>
          <w:tcPr>
            <w:tcW w:w="2174"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7.132%</w:t>
            </w:r>
          </w:p>
        </w:tc>
      </w:tr>
      <w:tr>
        <w:trPr>
          <w:trHeight w:val="338" w:hRule="atLeast"/>
        </w:trPr>
        <w:tc>
          <w:tcPr>
            <w:tcW w:w="3043" w:type="dxa"/>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Acima de 70</w:t>
            </w:r>
          </w:p>
        </w:tc>
        <w:tc>
          <w:tcPr>
            <w:tcW w:w="2088"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6516</w:t>
            </w:r>
          </w:p>
        </w:tc>
        <w:tc>
          <w:tcPr>
            <w:tcW w:w="2174" w:type="dxa"/>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1.408%</w:t>
            </w:r>
          </w:p>
        </w:tc>
      </w:tr>
      <w:tr>
        <w:trPr>
          <w:trHeight w:val="355" w:hRule="atLeast"/>
        </w:trPr>
        <w:tc>
          <w:tcPr>
            <w:tcW w:w="3043" w:type="dxa"/>
            <w:tcBorders>
              <w:bottom w:val="double" w:sz="6" w:space="0" w:color="000000"/>
            </w:tcBorders>
            <w:vAlign w:val="bottom"/>
          </w:tcPr>
          <w:p>
            <w:pPr>
              <w:pStyle w:val="Normal"/>
              <w:spacing w:lineRule="auto" w:line="240" w:before="0" w:after="0"/>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Total</w:t>
            </w:r>
          </w:p>
        </w:tc>
        <w:tc>
          <w:tcPr>
            <w:tcW w:w="2088" w:type="dxa"/>
            <w:tcBorders>
              <w:bottom w:val="double" w:sz="6" w:space="0" w:color="000000"/>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462879</w:t>
            </w:r>
          </w:p>
        </w:tc>
        <w:tc>
          <w:tcPr>
            <w:tcW w:w="2174" w:type="dxa"/>
            <w:tcBorders>
              <w:bottom w:val="double" w:sz="6" w:space="0" w:color="000000"/>
            </w:tcBorders>
            <w:vAlign w:val="bottom"/>
          </w:tcPr>
          <w:p>
            <w:pPr>
              <w:pStyle w:val="Normal"/>
              <w:spacing w:lineRule="auto" w:line="240" w:before="0" w:after="0"/>
              <w:jc w:val="right"/>
              <w:rPr>
                <w:rFonts w:ascii="Times New Roman" w:hAnsi="Times New Roman" w:eastAsia="Times New Roman" w:cs="Times New Roman"/>
                <w:color w:val="000000"/>
                <w:lang w:eastAsia="pt-BR"/>
              </w:rPr>
            </w:pPr>
            <w:r>
              <w:rPr>
                <w:rFonts w:eastAsia="Times New Roman" w:cs="Times New Roman" w:ascii="Times New Roman" w:hAnsi="Times New Roman"/>
                <w:color w:val="000000"/>
                <w:lang w:eastAsia="pt-BR"/>
              </w:rPr>
              <w:t>100%</w:t>
            </w:r>
          </w:p>
        </w:tc>
      </w:tr>
    </w:tbl>
    <w:p>
      <w:pPr>
        <w:pStyle w:val="NormalWeb"/>
        <w:numPr>
          <w:ilvl w:val="0"/>
          <w:numId w:val="0"/>
        </w:numPr>
        <w:spacing w:beforeAutospacing="0" w:before="0" w:afterAutospacing="0" w:after="120"/>
        <w:jc w:val="both"/>
        <w:outlineLvl w:val="2"/>
        <w:rPr>
          <w:sz w:val="20"/>
          <w:szCs w:val="20"/>
        </w:rPr>
      </w:pPr>
      <w:r>
        <w:rPr>
          <w:sz w:val="20"/>
          <w:szCs w:val="20"/>
        </w:rPr>
        <w:t>Fonte: Receita Federal. Elaboração: IPECE.</w:t>
      </w:r>
    </w:p>
    <w:p>
      <w:pPr>
        <w:pStyle w:val="Heading3"/>
        <w:keepNext w:val="false"/>
        <w:spacing w:before="240" w:after="120"/>
        <w:jc w:val="both"/>
        <w:rPr>
          <w:rFonts w:ascii="Times New Roman" w:hAnsi="Times New Roman" w:cs="Times New Roman"/>
          <w:sz w:val="28"/>
          <w:szCs w:val="28"/>
        </w:rPr>
      </w:pPr>
      <w:r>
        <w:rPr>
          <w:rFonts w:cs="Times New Roman" w:ascii="Times New Roman" w:hAnsi="Times New Roman"/>
          <w:sz w:val="28"/>
          <w:szCs w:val="28"/>
        </w:rPr>
        <w:t xml:space="preserve">4. Conclusão </w:t>
      </w:r>
    </w:p>
    <w:p>
      <w:pPr>
        <w:pStyle w:val="Normal"/>
        <w:rPr>
          <w:lang w:eastAsia="pt-BR"/>
        </w:rPr>
      </w:pPr>
      <w:r>
        <w:rPr>
          <w:lang w:eastAsia="pt-BR"/>
        </w:rPr>
      </w:r>
    </w:p>
    <w:p>
      <w:pPr>
        <w:pStyle w:val="NormalWeb"/>
        <w:spacing w:beforeAutospacing="0" w:before="120" w:afterAutospacing="0" w:after="120"/>
        <w:ind w:firstLine="851"/>
        <w:jc w:val="both"/>
        <w:rPr/>
      </w:pPr>
      <w:r>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 (Normal, Times New Roman, 12)</w:t>
      </w:r>
    </w:p>
    <w:p>
      <w:pPr>
        <w:pStyle w:val="NormalWeb"/>
        <w:numPr>
          <w:ilvl w:val="0"/>
          <w:numId w:val="0"/>
        </w:numPr>
        <w:spacing w:beforeAutospacing="0" w:before="0" w:afterAutospacing="0" w:after="120"/>
        <w:jc w:val="both"/>
        <w:outlineLvl w:val="2"/>
        <w:rPr/>
      </w:pPr>
      <w:r>
        <w:rPr/>
      </w:r>
    </w:p>
    <w:p>
      <w:pPr>
        <w:pStyle w:val="NormalWeb"/>
        <w:numPr>
          <w:ilvl w:val="0"/>
          <w:numId w:val="0"/>
        </w:numPr>
        <w:spacing w:beforeAutospacing="0" w:before="0" w:afterAutospacing="0" w:after="120"/>
        <w:jc w:val="both"/>
        <w:outlineLvl w:val="2"/>
        <w:rPr/>
      </w:pPr>
      <w:r>
        <w:rPr/>
      </w:r>
    </w:p>
    <w:p>
      <w:pPr>
        <w:pStyle w:val="Heading3"/>
        <w:keepNext w:val="false"/>
        <w:spacing w:before="240" w:after="120"/>
        <w:jc w:val="both"/>
        <w:rPr>
          <w:rFonts w:ascii="Times New Roman" w:hAnsi="Times New Roman" w:cs="Times New Roman"/>
          <w:sz w:val="28"/>
          <w:szCs w:val="28"/>
        </w:rPr>
      </w:pPr>
      <w:r>
        <w:rPr>
          <w:rFonts w:cs="Times New Roman" w:ascii="Times New Roman" w:hAnsi="Times New Roman"/>
          <w:sz w:val="28"/>
          <w:szCs w:val="28"/>
        </w:rPr>
        <w:t xml:space="preserve">Referências Bibliográficas </w:t>
      </w:r>
    </w:p>
    <w:p>
      <w:pPr>
        <w:pStyle w:val="NormalWeb"/>
        <w:numPr>
          <w:ilvl w:val="0"/>
          <w:numId w:val="0"/>
        </w:numPr>
        <w:spacing w:beforeAutospacing="0" w:before="0" w:afterAutospacing="0" w:after="120"/>
        <w:jc w:val="both"/>
        <w:outlineLvl w:val="2"/>
        <w:rPr/>
      </w:pPr>
      <w:r>
        <w:rPr/>
      </w:r>
    </w:p>
    <w:p>
      <w:pPr>
        <w:pStyle w:val="NormalWeb"/>
        <w:numPr>
          <w:ilvl w:val="0"/>
          <w:numId w:val="0"/>
        </w:numPr>
        <w:spacing w:beforeAutospacing="0" w:before="0" w:afterAutospacing="0" w:after="120"/>
        <w:jc w:val="both"/>
        <w:outlineLvl w:val="2"/>
        <w:rPr/>
      </w:pPr>
      <w:r>
        <w:rPr/>
      </w:r>
    </w:p>
    <w:p>
      <w:pPr>
        <w:pStyle w:val="NormalWeb"/>
        <w:numPr>
          <w:ilvl w:val="0"/>
          <w:numId w:val="0"/>
        </w:numPr>
        <w:spacing w:beforeAutospacing="0" w:before="0" w:afterAutospacing="0" w:after="120"/>
        <w:jc w:val="both"/>
        <w:outlineLvl w:val="2"/>
        <w:rPr/>
      </w:pPr>
      <w:r>
        <w:rPr/>
      </w:r>
    </w:p>
    <w:p>
      <w:pPr>
        <w:pStyle w:val="NormalWeb"/>
        <w:numPr>
          <w:ilvl w:val="0"/>
          <w:numId w:val="0"/>
        </w:numPr>
        <w:spacing w:beforeAutospacing="0" w:before="0" w:afterAutospacing="0" w:after="120"/>
        <w:jc w:val="both"/>
        <w:outlineLvl w:val="2"/>
        <w:rPr/>
      </w:pPr>
      <w:r>
        <w:rPr/>
        <mc:AlternateContent>
          <mc:Choice Requires="wps">
            <w:drawing>
              <wp:anchor behindDoc="0" distT="0" distB="0" distL="0" distR="0" simplePos="0" locked="0" layoutInCell="1" allowOverlap="1" relativeHeight="20" wp14:anchorId="60D70279">
                <wp:simplePos x="0" y="0"/>
                <wp:positionH relativeFrom="column">
                  <wp:posOffset>1905</wp:posOffset>
                </wp:positionH>
                <wp:positionV relativeFrom="paragraph">
                  <wp:posOffset>480060</wp:posOffset>
                </wp:positionV>
                <wp:extent cx="3355975" cy="4881880"/>
                <wp:effectExtent l="0" t="0" r="0" b="0"/>
                <wp:wrapNone/>
                <wp:docPr id="2" name="Caixa de texto 3"/>
                <a:graphic xmlns:a="http://schemas.openxmlformats.org/drawingml/2006/main">
                  <a:graphicData uri="http://schemas.microsoft.com/office/word/2010/wordprocessingShape">
                    <wps:wsp>
                      <wps:cNvSpPr/>
                      <wps:spPr>
                        <a:xfrm>
                          <a:off x="0" y="0"/>
                          <a:ext cx="3355920" cy="4881960"/>
                        </a:xfrm>
                        <a:prstGeom prst="rect">
                          <a:avLst/>
                        </a:prstGeom>
                        <a:solidFill>
                          <a:srgbClr val="e2efd9"/>
                        </a:solidFill>
                        <a:ln w="0">
                          <a:noFill/>
                        </a:ln>
                      </wps:spPr>
                      <wps:style>
                        <a:lnRef idx="0"/>
                        <a:fillRef idx="0"/>
                        <a:effectRef idx="0"/>
                        <a:fontRef idx="minor"/>
                      </wps:style>
                      <wps:txbx>
                        <w:txbxContent>
                          <w:p>
                            <w:pPr>
                              <w:pStyle w:val="Contedodoquadro"/>
                              <w:spacing w:lineRule="auto" w:line="240" w:before="0" w:after="0"/>
                              <w:rPr>
                                <w:rFonts w:cs="Calibri" w:cstheme="minorHAnsi"/>
                                <w:b/>
                                <w:sz w:val="19"/>
                                <w:szCs w:val="19"/>
                              </w:rPr>
                            </w:pPr>
                            <w:r>
                              <w:rPr>
                                <w:rFonts w:cs="Calibri" w:cstheme="minorHAnsi"/>
                                <w:b/>
                                <w:sz w:val="19"/>
                                <w:szCs w:val="19"/>
                              </w:rPr>
                              <w:t>Governador do Estado do Ceará</w:t>
                            </w:r>
                          </w:p>
                          <w:p>
                            <w:pPr>
                              <w:pStyle w:val="Contedodoquadro"/>
                              <w:spacing w:lineRule="auto" w:line="240"/>
                              <w:rPr>
                                <w:rFonts w:cs="Calibri" w:cstheme="minorHAnsi"/>
                                <w:sz w:val="19"/>
                                <w:szCs w:val="19"/>
                              </w:rPr>
                            </w:pPr>
                            <w:r>
                              <w:rPr>
                                <w:rFonts w:cs="Calibri" w:cstheme="minorHAnsi"/>
                                <w:sz w:val="19"/>
                                <w:szCs w:val="19"/>
                              </w:rPr>
                              <w:t>Elmano de Freitas da Costa</w:t>
                            </w:r>
                          </w:p>
                          <w:p>
                            <w:pPr>
                              <w:pStyle w:val="Contedodoquadro"/>
                              <w:spacing w:lineRule="auto" w:line="240" w:before="0" w:after="0"/>
                              <w:rPr>
                                <w:rFonts w:cs="Calibri" w:cstheme="minorHAnsi"/>
                                <w:b/>
                                <w:sz w:val="19"/>
                                <w:szCs w:val="19"/>
                              </w:rPr>
                            </w:pPr>
                            <w:r>
                              <w:rPr>
                                <w:rFonts w:cs="Calibri" w:cstheme="minorHAnsi"/>
                                <w:b/>
                                <w:sz w:val="19"/>
                                <w:szCs w:val="19"/>
                              </w:rPr>
                              <w:t>Vice-Governadora do Estado do Ceará</w:t>
                            </w:r>
                          </w:p>
                          <w:p>
                            <w:pPr>
                              <w:pStyle w:val="Contedodoquadro"/>
                              <w:spacing w:lineRule="auto" w:line="240"/>
                              <w:rPr>
                                <w:rFonts w:cs="Calibri" w:cstheme="minorHAnsi"/>
                                <w:sz w:val="19"/>
                                <w:szCs w:val="19"/>
                              </w:rPr>
                            </w:pPr>
                            <w:r>
                              <w:rPr>
                                <w:rFonts w:cs="Calibri" w:cstheme="minorHAnsi"/>
                                <w:sz w:val="19"/>
                                <w:szCs w:val="19"/>
                              </w:rPr>
                              <w:t>Jade Afonso Romero</w:t>
                            </w:r>
                          </w:p>
                          <w:p>
                            <w:pPr>
                              <w:pStyle w:val="Contedodoquadro"/>
                              <w:spacing w:lineRule="auto" w:line="240" w:before="0" w:after="0"/>
                              <w:rPr>
                                <w:rFonts w:cs="Calibri" w:cstheme="minorHAnsi"/>
                                <w:b/>
                                <w:sz w:val="19"/>
                                <w:szCs w:val="19"/>
                              </w:rPr>
                            </w:pPr>
                            <w:r>
                              <w:rPr>
                                <w:rFonts w:cs="Calibri" w:cstheme="minorHAnsi"/>
                                <w:b/>
                                <w:sz w:val="19"/>
                                <w:szCs w:val="19"/>
                              </w:rPr>
                              <w:t>Secretaria do Planejamento e Gestão – SEPLAG</w:t>
                            </w:r>
                          </w:p>
                          <w:p>
                            <w:pPr>
                              <w:pStyle w:val="Contedodoquadro"/>
                              <w:spacing w:lineRule="auto" w:line="240" w:before="0" w:after="0"/>
                              <w:rPr>
                                <w:rFonts w:cs="Calibri"/>
                                <w:sz w:val="19"/>
                                <w:szCs w:val="19"/>
                              </w:rPr>
                            </w:pPr>
                            <w:r>
                              <w:rPr>
                                <w:rFonts w:cs="Calibri"/>
                                <w:sz w:val="19"/>
                                <w:szCs w:val="19"/>
                              </w:rPr>
                              <w:t>Alexandre Sobreira Cialdini – Secretário</w:t>
                            </w:r>
                          </w:p>
                          <w:p>
                            <w:pPr>
                              <w:pStyle w:val="Contedodoquadro"/>
                              <w:spacing w:lineRule="auto" w:line="240" w:before="0" w:after="0"/>
                              <w:rPr>
                                <w:rFonts w:cs="Calibri"/>
                                <w:sz w:val="19"/>
                                <w:szCs w:val="19"/>
                              </w:rPr>
                            </w:pPr>
                            <w:r>
                              <w:rPr>
                                <w:rFonts w:cs="Calibri"/>
                                <w:sz w:val="19"/>
                                <w:szCs w:val="19"/>
                              </w:rPr>
                              <w:t>Caio Hugo Carvalho Vitor - Secretário Executivo de Gestão de Compras e Patrimônio</w:t>
                            </w:r>
                          </w:p>
                          <w:p>
                            <w:pPr>
                              <w:pStyle w:val="Contedodoquadro"/>
                              <w:spacing w:lineRule="auto" w:line="240" w:before="0" w:after="0"/>
                              <w:rPr>
                                <w:rFonts w:cs="Calibri"/>
                                <w:sz w:val="19"/>
                                <w:szCs w:val="19"/>
                              </w:rPr>
                            </w:pPr>
                            <w:r>
                              <w:rPr>
                                <w:rFonts w:cs="Calibri"/>
                                <w:sz w:val="19"/>
                                <w:szCs w:val="19"/>
                              </w:rPr>
                              <w:t>José Garrido Braga Neto - Secretário Executivo de Gestão de Pessoas</w:t>
                            </w:r>
                          </w:p>
                          <w:p>
                            <w:pPr>
                              <w:pStyle w:val="Contedodoquadro"/>
                              <w:spacing w:lineRule="auto" w:line="240" w:before="0" w:after="0"/>
                              <w:rPr>
                                <w:rFonts w:cs="Calibri"/>
                                <w:sz w:val="19"/>
                                <w:szCs w:val="19"/>
                              </w:rPr>
                            </w:pPr>
                            <w:r>
                              <w:rPr>
                                <w:rFonts w:cs="Calibri"/>
                                <w:sz w:val="19"/>
                                <w:szCs w:val="19"/>
                              </w:rPr>
                              <w:t>Naiana Corrêa Lima Peixoto - Secretária Executiva de Planejamento e Orçamento</w:t>
                            </w:r>
                          </w:p>
                          <w:p>
                            <w:pPr>
                              <w:pStyle w:val="Contedodoquadro"/>
                              <w:spacing w:lineRule="auto" w:line="240" w:before="0" w:after="0"/>
                              <w:rPr>
                                <w:rFonts w:cs="Calibri"/>
                                <w:sz w:val="19"/>
                                <w:szCs w:val="19"/>
                              </w:rPr>
                            </w:pPr>
                            <w:r>
                              <w:rPr>
                                <w:rFonts w:cs="Calibri"/>
                                <w:sz w:val="19"/>
                                <w:szCs w:val="19"/>
                              </w:rPr>
                              <w:t>Daniel de Carvalho Bentes - Secretário Executivo de Modernização e Governo Digital</w:t>
                            </w:r>
                          </w:p>
                          <w:p>
                            <w:pPr>
                              <w:pStyle w:val="Contedodoquadro"/>
                              <w:spacing w:lineRule="auto" w:line="240" w:before="0" w:after="0"/>
                              <w:rPr>
                                <w:rFonts w:cs="Calibri"/>
                                <w:sz w:val="19"/>
                                <w:szCs w:val="19"/>
                              </w:rPr>
                            </w:pPr>
                            <w:r>
                              <w:rPr>
                                <w:rFonts w:cs="Calibri"/>
                                <w:sz w:val="19"/>
                                <w:szCs w:val="19"/>
                              </w:rPr>
                              <w:t>Francisca Rejane Araujo Felipe Pessoa de Albuquerque - Secretária executiva de Planejamento e Gestão Interna</w:t>
                            </w:r>
                          </w:p>
                          <w:p>
                            <w:pPr>
                              <w:pStyle w:val="Contedodoquadro"/>
                              <w:spacing w:lineRule="auto" w:line="240" w:before="0" w:after="0"/>
                              <w:rPr>
                                <w:rFonts w:cs="Calibri" w:cstheme="minorHAnsi"/>
                                <w:b/>
                                <w:sz w:val="19"/>
                                <w:szCs w:val="19"/>
                              </w:rPr>
                            </w:pPr>
                            <w:r>
                              <w:rPr>
                                <w:rFonts w:cs="Calibri" w:cstheme="minorHAnsi"/>
                                <w:b/>
                                <w:sz w:val="19"/>
                                <w:szCs w:val="19"/>
                              </w:rPr>
                            </w:r>
                          </w:p>
                          <w:p>
                            <w:pPr>
                              <w:pStyle w:val="Contedodoquadro"/>
                              <w:spacing w:lineRule="auto" w:line="240" w:before="0" w:after="0"/>
                              <w:rPr>
                                <w:rFonts w:cs="Calibri" w:cstheme="minorHAnsi"/>
                                <w:b/>
                                <w:sz w:val="19"/>
                                <w:szCs w:val="19"/>
                              </w:rPr>
                            </w:pPr>
                            <w:r>
                              <w:rPr>
                                <w:rFonts w:cs="Calibri" w:cstheme="minorHAnsi"/>
                                <w:b/>
                                <w:sz w:val="19"/>
                                <w:szCs w:val="19"/>
                              </w:rPr>
                              <w:t>Instituto de Pesquisa e Estratégia Econômica do Ceará – IPECE</w:t>
                            </w:r>
                          </w:p>
                          <w:p>
                            <w:pPr>
                              <w:pStyle w:val="Contedodoquadro"/>
                              <w:spacing w:lineRule="auto" w:line="240" w:before="0" w:after="0"/>
                              <w:rPr>
                                <w:rFonts w:cs="Calibri" w:cstheme="minorHAnsi"/>
                                <w:sz w:val="19"/>
                                <w:szCs w:val="19"/>
                              </w:rPr>
                            </w:pPr>
                            <w:r>
                              <w:rPr>
                                <w:rFonts w:cs="Calibri" w:cstheme="minorHAnsi"/>
                                <w:b/>
                                <w:sz w:val="19"/>
                                <w:szCs w:val="19"/>
                              </w:rPr>
                              <w:t>Diretor Geral</w:t>
                            </w:r>
                          </w:p>
                          <w:p>
                            <w:pPr>
                              <w:pStyle w:val="Contedodoquadro"/>
                              <w:spacing w:lineRule="auto" w:line="240"/>
                              <w:rPr>
                                <w:rFonts w:cs="Calibri" w:cstheme="minorHAnsi"/>
                                <w:sz w:val="19"/>
                                <w:szCs w:val="19"/>
                              </w:rPr>
                            </w:pPr>
                            <w:r>
                              <w:rPr>
                                <w:rFonts w:cs="Calibri" w:cstheme="minorHAnsi"/>
                                <w:sz w:val="19"/>
                                <w:szCs w:val="19"/>
                              </w:rPr>
                              <w:t>Alfredo José Pessoa de Oliveira</w:t>
                            </w:r>
                          </w:p>
                          <w:p>
                            <w:pPr>
                              <w:pStyle w:val="Contedodoquadro"/>
                              <w:spacing w:lineRule="auto" w:line="240" w:before="0" w:after="0"/>
                              <w:rPr>
                                <w:rFonts w:cs="Calibri" w:cstheme="minorHAnsi"/>
                                <w:b/>
                                <w:sz w:val="19"/>
                                <w:szCs w:val="19"/>
                              </w:rPr>
                            </w:pPr>
                            <w:r>
                              <w:rPr>
                                <w:rFonts w:cs="Calibri" w:cstheme="minorHAnsi"/>
                                <w:b/>
                                <w:sz w:val="19"/>
                                <w:szCs w:val="19"/>
                              </w:rPr>
                              <w:t>Diretoria de Estudos Econômicos – DIEC</w:t>
                            </w:r>
                          </w:p>
                          <w:p>
                            <w:pPr>
                              <w:pStyle w:val="Contedodoquadro"/>
                              <w:spacing w:lineRule="auto" w:line="240"/>
                              <w:rPr>
                                <w:rFonts w:cs="Calibri" w:cstheme="minorHAnsi"/>
                                <w:sz w:val="19"/>
                                <w:szCs w:val="19"/>
                              </w:rPr>
                            </w:pPr>
                            <w:r>
                              <w:rPr>
                                <w:rFonts w:cs="Calibri" w:cstheme="minorHAnsi"/>
                                <w:sz w:val="19"/>
                                <w:szCs w:val="19"/>
                              </w:rPr>
                              <w:t>Ricardo Antônio de Castro Pereira</w:t>
                            </w:r>
                          </w:p>
                          <w:p>
                            <w:pPr>
                              <w:pStyle w:val="Contedodoquadro"/>
                              <w:spacing w:lineRule="auto" w:line="240" w:before="0" w:after="0"/>
                              <w:rPr>
                                <w:rFonts w:cs="Calibri" w:cstheme="minorHAnsi"/>
                                <w:b/>
                                <w:sz w:val="19"/>
                                <w:szCs w:val="19"/>
                              </w:rPr>
                            </w:pPr>
                            <w:r>
                              <w:rPr>
                                <w:rFonts w:cs="Calibri" w:cstheme="minorHAnsi"/>
                                <w:b/>
                                <w:sz w:val="19"/>
                                <w:szCs w:val="19"/>
                              </w:rPr>
                              <w:t>Diretoria de Estudos Sociais – DISOC</w:t>
                            </w:r>
                          </w:p>
                          <w:p>
                            <w:pPr>
                              <w:pStyle w:val="Contedodoquadro"/>
                              <w:spacing w:lineRule="auto" w:line="240"/>
                              <w:rPr>
                                <w:rFonts w:cs="Calibri" w:cstheme="minorHAnsi"/>
                                <w:sz w:val="19"/>
                                <w:szCs w:val="19"/>
                              </w:rPr>
                            </w:pPr>
                            <w:r>
                              <w:rPr>
                                <w:rFonts w:cs="Calibri" w:cstheme="minorHAnsi"/>
                                <w:sz w:val="19"/>
                                <w:szCs w:val="19"/>
                              </w:rPr>
                              <w:t>José Meneleu Neto</w:t>
                            </w:r>
                          </w:p>
                          <w:p>
                            <w:pPr>
                              <w:pStyle w:val="Contedodoquadro"/>
                              <w:spacing w:lineRule="auto" w:line="240" w:before="0" w:after="0"/>
                              <w:rPr>
                                <w:rFonts w:cs="Calibri" w:cstheme="minorHAnsi"/>
                                <w:b/>
                                <w:sz w:val="19"/>
                                <w:szCs w:val="19"/>
                              </w:rPr>
                            </w:pPr>
                            <w:r>
                              <w:rPr>
                                <w:rFonts w:cs="Calibri" w:cstheme="minorHAnsi"/>
                                <w:b/>
                                <w:sz w:val="19"/>
                                <w:szCs w:val="19"/>
                              </w:rPr>
                              <w:t>Diretoria de Estudos de Gestão Pública – DIGEP</w:t>
                            </w:r>
                          </w:p>
                          <w:p>
                            <w:pPr>
                              <w:pStyle w:val="Contedodoquadro"/>
                              <w:spacing w:lineRule="auto" w:line="240"/>
                              <w:rPr>
                                <w:rFonts w:cs="Calibri" w:cstheme="minorHAnsi"/>
                                <w:bCs/>
                                <w:sz w:val="19"/>
                                <w:szCs w:val="19"/>
                              </w:rPr>
                            </w:pPr>
                            <w:r>
                              <w:rPr>
                                <w:rFonts w:cs="Calibri" w:cstheme="minorHAnsi"/>
                                <w:bCs/>
                                <w:sz w:val="19"/>
                                <w:szCs w:val="19"/>
                              </w:rPr>
                              <w:t>José Fábio Bezerra Montenegro</w:t>
                            </w:r>
                          </w:p>
                          <w:p>
                            <w:pPr>
                              <w:pStyle w:val="Contedodoquadro"/>
                              <w:spacing w:lineRule="auto" w:line="240" w:before="0" w:after="0"/>
                              <w:rPr>
                                <w:rFonts w:cs="Calibri" w:cstheme="minorHAnsi"/>
                                <w:b/>
                                <w:sz w:val="19"/>
                                <w:szCs w:val="19"/>
                              </w:rPr>
                            </w:pPr>
                            <w:r>
                              <w:rPr>
                                <w:rFonts w:cs="Calibri" w:cstheme="minorHAnsi"/>
                                <w:b/>
                                <w:sz w:val="19"/>
                                <w:szCs w:val="19"/>
                              </w:rPr>
                              <w:t xml:space="preserve">Gerência de Estatística, Geografia e </w:t>
                            </w:r>
                            <w:r>
                              <w:rPr>
                                <w:rFonts w:eastAsia="Calibri" w:cs="Calibri" w:ascii="Calibri" w:hAnsi="Calibri"/>
                                <w:b/>
                                <w:sz w:val="19"/>
                                <w:szCs w:val="19"/>
                              </w:rPr>
                              <w:t xml:space="preserve">Informações </w:t>
                            </w:r>
                            <w:r>
                              <w:rPr>
                                <w:rFonts w:cs="Calibri" w:cstheme="minorHAnsi"/>
                                <w:b/>
                                <w:sz w:val="19"/>
                                <w:szCs w:val="19"/>
                              </w:rPr>
                              <w:t>– GEGIN</w:t>
                            </w:r>
                          </w:p>
                          <w:p>
                            <w:pPr>
                              <w:pStyle w:val="Contedodoquadro"/>
                              <w:spacing w:lineRule="auto" w:line="240" w:before="0" w:after="0"/>
                              <w:rPr>
                                <w:rFonts w:eastAsia="Calibri" w:cs="Calibri" w:cstheme="minorHAnsi"/>
                                <w:bCs/>
                                <w:sz w:val="19"/>
                                <w:szCs w:val="19"/>
                              </w:rPr>
                            </w:pPr>
                            <w:r>
                              <w:rPr>
                                <w:rFonts w:eastAsia="Calibri" w:cs="Calibri" w:cstheme="minorHAnsi"/>
                                <w:bCs/>
                                <w:sz w:val="19"/>
                                <w:szCs w:val="19"/>
                              </w:rPr>
                              <w:t>Rafaela Martins Leite Monteiro</w:t>
                            </w:r>
                          </w:p>
                          <w:p>
                            <w:pPr>
                              <w:pStyle w:val="Contedodoquadro"/>
                              <w:spacing w:before="0" w:after="0"/>
                              <w:rPr>
                                <w:sz w:val="19"/>
                                <w:szCs w:val="19"/>
                              </w:rPr>
                            </w:pPr>
                            <w:r>
                              <w:rPr/>
                            </w:r>
                          </w:p>
                        </w:txbxContent>
                      </wps:txbx>
                      <wps:bodyPr anchor="t" upright="1">
                        <a:noAutofit/>
                      </wps:bodyPr>
                    </wps:wsp>
                  </a:graphicData>
                </a:graphic>
              </wp:anchor>
            </w:drawing>
          </mc:Choice>
          <mc:Fallback>
            <w:pict>
              <v:rect id="shape_0" ID="Caixa de texto 3" path="m0,0l-2147483645,0l-2147483645,-2147483646l0,-2147483646xe" fillcolor="#e2efd9" stroked="f" o:allowincell="f" style="position:absolute;margin-left:0.15pt;margin-top:37.8pt;width:264.2pt;height:384.35pt;mso-wrap-style:square;v-text-anchor:top" wp14:anchorId="60D70279">
                <v:fill o:detectmouseclick="t" type="solid" color2="#1d1026"/>
                <v:stroke color="#3465a4" joinstyle="round" endcap="flat"/>
                <v:textbox>
                  <w:txbxContent>
                    <w:p>
                      <w:pPr>
                        <w:pStyle w:val="Contedodoquadro"/>
                        <w:spacing w:lineRule="auto" w:line="240" w:before="0" w:after="0"/>
                        <w:rPr>
                          <w:rFonts w:cs="Calibri" w:cstheme="minorHAnsi"/>
                          <w:b/>
                          <w:sz w:val="19"/>
                          <w:szCs w:val="19"/>
                        </w:rPr>
                      </w:pPr>
                      <w:r>
                        <w:rPr>
                          <w:rFonts w:cs="Calibri" w:cstheme="minorHAnsi"/>
                          <w:b/>
                          <w:sz w:val="19"/>
                          <w:szCs w:val="19"/>
                        </w:rPr>
                        <w:t>Governador do Estado do Ceará</w:t>
                      </w:r>
                    </w:p>
                    <w:p>
                      <w:pPr>
                        <w:pStyle w:val="Contedodoquadro"/>
                        <w:spacing w:lineRule="auto" w:line="240"/>
                        <w:rPr>
                          <w:rFonts w:cs="Calibri" w:cstheme="minorHAnsi"/>
                          <w:sz w:val="19"/>
                          <w:szCs w:val="19"/>
                        </w:rPr>
                      </w:pPr>
                      <w:r>
                        <w:rPr>
                          <w:rFonts w:cs="Calibri" w:cstheme="minorHAnsi"/>
                          <w:sz w:val="19"/>
                          <w:szCs w:val="19"/>
                        </w:rPr>
                        <w:t>Elmano de Freitas da Costa</w:t>
                      </w:r>
                    </w:p>
                    <w:p>
                      <w:pPr>
                        <w:pStyle w:val="Contedodoquadro"/>
                        <w:spacing w:lineRule="auto" w:line="240" w:before="0" w:after="0"/>
                        <w:rPr>
                          <w:rFonts w:cs="Calibri" w:cstheme="minorHAnsi"/>
                          <w:b/>
                          <w:sz w:val="19"/>
                          <w:szCs w:val="19"/>
                        </w:rPr>
                      </w:pPr>
                      <w:r>
                        <w:rPr>
                          <w:rFonts w:cs="Calibri" w:cstheme="minorHAnsi"/>
                          <w:b/>
                          <w:sz w:val="19"/>
                          <w:szCs w:val="19"/>
                        </w:rPr>
                        <w:t>Vice-Governadora do Estado do Ceará</w:t>
                      </w:r>
                    </w:p>
                    <w:p>
                      <w:pPr>
                        <w:pStyle w:val="Contedodoquadro"/>
                        <w:spacing w:lineRule="auto" w:line="240"/>
                        <w:rPr>
                          <w:rFonts w:cs="Calibri" w:cstheme="minorHAnsi"/>
                          <w:sz w:val="19"/>
                          <w:szCs w:val="19"/>
                        </w:rPr>
                      </w:pPr>
                      <w:r>
                        <w:rPr>
                          <w:rFonts w:cs="Calibri" w:cstheme="minorHAnsi"/>
                          <w:sz w:val="19"/>
                          <w:szCs w:val="19"/>
                        </w:rPr>
                        <w:t>Jade Afonso Romero</w:t>
                      </w:r>
                    </w:p>
                    <w:p>
                      <w:pPr>
                        <w:pStyle w:val="Contedodoquadro"/>
                        <w:spacing w:lineRule="auto" w:line="240" w:before="0" w:after="0"/>
                        <w:rPr>
                          <w:rFonts w:cs="Calibri" w:cstheme="minorHAnsi"/>
                          <w:b/>
                          <w:sz w:val="19"/>
                          <w:szCs w:val="19"/>
                        </w:rPr>
                      </w:pPr>
                      <w:r>
                        <w:rPr>
                          <w:rFonts w:cs="Calibri" w:cstheme="minorHAnsi"/>
                          <w:b/>
                          <w:sz w:val="19"/>
                          <w:szCs w:val="19"/>
                        </w:rPr>
                        <w:t>Secretaria do Planejamento e Gestão – SEPLAG</w:t>
                      </w:r>
                    </w:p>
                    <w:p>
                      <w:pPr>
                        <w:pStyle w:val="Contedodoquadro"/>
                        <w:spacing w:lineRule="auto" w:line="240" w:before="0" w:after="0"/>
                        <w:rPr>
                          <w:rFonts w:cs="Calibri"/>
                          <w:sz w:val="19"/>
                          <w:szCs w:val="19"/>
                        </w:rPr>
                      </w:pPr>
                      <w:r>
                        <w:rPr>
                          <w:rFonts w:cs="Calibri"/>
                          <w:sz w:val="19"/>
                          <w:szCs w:val="19"/>
                        </w:rPr>
                        <w:t>Alexandre Sobreira Cialdini – Secretário</w:t>
                      </w:r>
                    </w:p>
                    <w:p>
                      <w:pPr>
                        <w:pStyle w:val="Contedodoquadro"/>
                        <w:spacing w:lineRule="auto" w:line="240" w:before="0" w:after="0"/>
                        <w:rPr>
                          <w:rFonts w:cs="Calibri"/>
                          <w:sz w:val="19"/>
                          <w:szCs w:val="19"/>
                        </w:rPr>
                      </w:pPr>
                      <w:r>
                        <w:rPr>
                          <w:rFonts w:cs="Calibri"/>
                          <w:sz w:val="19"/>
                          <w:szCs w:val="19"/>
                        </w:rPr>
                        <w:t>Caio Hugo Carvalho Vitor - Secretário Executivo de Gestão de Compras e Patrimônio</w:t>
                      </w:r>
                    </w:p>
                    <w:p>
                      <w:pPr>
                        <w:pStyle w:val="Contedodoquadro"/>
                        <w:spacing w:lineRule="auto" w:line="240" w:before="0" w:after="0"/>
                        <w:rPr>
                          <w:rFonts w:cs="Calibri"/>
                          <w:sz w:val="19"/>
                          <w:szCs w:val="19"/>
                        </w:rPr>
                      </w:pPr>
                      <w:r>
                        <w:rPr>
                          <w:rFonts w:cs="Calibri"/>
                          <w:sz w:val="19"/>
                          <w:szCs w:val="19"/>
                        </w:rPr>
                        <w:t>José Garrido Braga Neto - Secretário Executivo de Gestão de Pessoas</w:t>
                      </w:r>
                    </w:p>
                    <w:p>
                      <w:pPr>
                        <w:pStyle w:val="Contedodoquadro"/>
                        <w:spacing w:lineRule="auto" w:line="240" w:before="0" w:after="0"/>
                        <w:rPr>
                          <w:rFonts w:cs="Calibri"/>
                          <w:sz w:val="19"/>
                          <w:szCs w:val="19"/>
                        </w:rPr>
                      </w:pPr>
                      <w:r>
                        <w:rPr>
                          <w:rFonts w:cs="Calibri"/>
                          <w:sz w:val="19"/>
                          <w:szCs w:val="19"/>
                        </w:rPr>
                        <w:t>Naiana Corrêa Lima Peixoto - Secretária Executiva de Planejamento e Orçamento</w:t>
                      </w:r>
                    </w:p>
                    <w:p>
                      <w:pPr>
                        <w:pStyle w:val="Contedodoquadro"/>
                        <w:spacing w:lineRule="auto" w:line="240" w:before="0" w:after="0"/>
                        <w:rPr>
                          <w:rFonts w:cs="Calibri"/>
                          <w:sz w:val="19"/>
                          <w:szCs w:val="19"/>
                        </w:rPr>
                      </w:pPr>
                      <w:r>
                        <w:rPr>
                          <w:rFonts w:cs="Calibri"/>
                          <w:sz w:val="19"/>
                          <w:szCs w:val="19"/>
                        </w:rPr>
                        <w:t>Daniel de Carvalho Bentes - Secretário Executivo de Modernização e Governo Digital</w:t>
                      </w:r>
                    </w:p>
                    <w:p>
                      <w:pPr>
                        <w:pStyle w:val="Contedodoquadro"/>
                        <w:spacing w:lineRule="auto" w:line="240" w:before="0" w:after="0"/>
                        <w:rPr>
                          <w:rFonts w:cs="Calibri"/>
                          <w:sz w:val="19"/>
                          <w:szCs w:val="19"/>
                        </w:rPr>
                      </w:pPr>
                      <w:r>
                        <w:rPr>
                          <w:rFonts w:cs="Calibri"/>
                          <w:sz w:val="19"/>
                          <w:szCs w:val="19"/>
                        </w:rPr>
                        <w:t>Francisca Rejane Araujo Felipe Pessoa de Albuquerque - Secretária executiva de Planejamento e Gestão Interna</w:t>
                      </w:r>
                    </w:p>
                    <w:p>
                      <w:pPr>
                        <w:pStyle w:val="Contedodoquadro"/>
                        <w:spacing w:lineRule="auto" w:line="240" w:before="0" w:after="0"/>
                        <w:rPr>
                          <w:rFonts w:cs="Calibri" w:cstheme="minorHAnsi"/>
                          <w:b/>
                          <w:sz w:val="19"/>
                          <w:szCs w:val="19"/>
                        </w:rPr>
                      </w:pPr>
                      <w:r>
                        <w:rPr>
                          <w:rFonts w:cs="Calibri" w:cstheme="minorHAnsi"/>
                          <w:b/>
                          <w:sz w:val="19"/>
                          <w:szCs w:val="19"/>
                        </w:rPr>
                      </w:r>
                    </w:p>
                    <w:p>
                      <w:pPr>
                        <w:pStyle w:val="Contedodoquadro"/>
                        <w:spacing w:lineRule="auto" w:line="240" w:before="0" w:after="0"/>
                        <w:rPr>
                          <w:rFonts w:cs="Calibri" w:cstheme="minorHAnsi"/>
                          <w:b/>
                          <w:sz w:val="19"/>
                          <w:szCs w:val="19"/>
                        </w:rPr>
                      </w:pPr>
                      <w:r>
                        <w:rPr>
                          <w:rFonts w:cs="Calibri" w:cstheme="minorHAnsi"/>
                          <w:b/>
                          <w:sz w:val="19"/>
                          <w:szCs w:val="19"/>
                        </w:rPr>
                        <w:t>Instituto de Pesquisa e Estratégia Econômica do Ceará – IPECE</w:t>
                      </w:r>
                    </w:p>
                    <w:p>
                      <w:pPr>
                        <w:pStyle w:val="Contedodoquadro"/>
                        <w:spacing w:lineRule="auto" w:line="240" w:before="0" w:after="0"/>
                        <w:rPr>
                          <w:rFonts w:cs="Calibri" w:cstheme="minorHAnsi"/>
                          <w:sz w:val="19"/>
                          <w:szCs w:val="19"/>
                        </w:rPr>
                      </w:pPr>
                      <w:r>
                        <w:rPr>
                          <w:rFonts w:cs="Calibri" w:cstheme="minorHAnsi"/>
                          <w:b/>
                          <w:sz w:val="19"/>
                          <w:szCs w:val="19"/>
                        </w:rPr>
                        <w:t>Diretor Geral</w:t>
                      </w:r>
                    </w:p>
                    <w:p>
                      <w:pPr>
                        <w:pStyle w:val="Contedodoquadro"/>
                        <w:spacing w:lineRule="auto" w:line="240"/>
                        <w:rPr>
                          <w:rFonts w:cs="Calibri" w:cstheme="minorHAnsi"/>
                          <w:sz w:val="19"/>
                          <w:szCs w:val="19"/>
                        </w:rPr>
                      </w:pPr>
                      <w:r>
                        <w:rPr>
                          <w:rFonts w:cs="Calibri" w:cstheme="minorHAnsi"/>
                          <w:sz w:val="19"/>
                          <w:szCs w:val="19"/>
                        </w:rPr>
                        <w:t>Alfredo José Pessoa de Oliveira</w:t>
                      </w:r>
                    </w:p>
                    <w:p>
                      <w:pPr>
                        <w:pStyle w:val="Contedodoquadro"/>
                        <w:spacing w:lineRule="auto" w:line="240" w:before="0" w:after="0"/>
                        <w:rPr>
                          <w:rFonts w:cs="Calibri" w:cstheme="minorHAnsi"/>
                          <w:b/>
                          <w:sz w:val="19"/>
                          <w:szCs w:val="19"/>
                        </w:rPr>
                      </w:pPr>
                      <w:r>
                        <w:rPr>
                          <w:rFonts w:cs="Calibri" w:cstheme="minorHAnsi"/>
                          <w:b/>
                          <w:sz w:val="19"/>
                          <w:szCs w:val="19"/>
                        </w:rPr>
                        <w:t>Diretoria de Estudos Econômicos – DIEC</w:t>
                      </w:r>
                    </w:p>
                    <w:p>
                      <w:pPr>
                        <w:pStyle w:val="Contedodoquadro"/>
                        <w:spacing w:lineRule="auto" w:line="240"/>
                        <w:rPr>
                          <w:rFonts w:cs="Calibri" w:cstheme="minorHAnsi"/>
                          <w:sz w:val="19"/>
                          <w:szCs w:val="19"/>
                        </w:rPr>
                      </w:pPr>
                      <w:r>
                        <w:rPr>
                          <w:rFonts w:cs="Calibri" w:cstheme="minorHAnsi"/>
                          <w:sz w:val="19"/>
                          <w:szCs w:val="19"/>
                        </w:rPr>
                        <w:t>Ricardo Antônio de Castro Pereira</w:t>
                      </w:r>
                    </w:p>
                    <w:p>
                      <w:pPr>
                        <w:pStyle w:val="Contedodoquadro"/>
                        <w:spacing w:lineRule="auto" w:line="240" w:before="0" w:after="0"/>
                        <w:rPr>
                          <w:rFonts w:cs="Calibri" w:cstheme="minorHAnsi"/>
                          <w:b/>
                          <w:sz w:val="19"/>
                          <w:szCs w:val="19"/>
                        </w:rPr>
                      </w:pPr>
                      <w:r>
                        <w:rPr>
                          <w:rFonts w:cs="Calibri" w:cstheme="minorHAnsi"/>
                          <w:b/>
                          <w:sz w:val="19"/>
                          <w:szCs w:val="19"/>
                        </w:rPr>
                        <w:t>Diretoria de Estudos Sociais – DISOC</w:t>
                      </w:r>
                    </w:p>
                    <w:p>
                      <w:pPr>
                        <w:pStyle w:val="Contedodoquadro"/>
                        <w:spacing w:lineRule="auto" w:line="240"/>
                        <w:rPr>
                          <w:rFonts w:cs="Calibri" w:cstheme="minorHAnsi"/>
                          <w:sz w:val="19"/>
                          <w:szCs w:val="19"/>
                        </w:rPr>
                      </w:pPr>
                      <w:r>
                        <w:rPr>
                          <w:rFonts w:cs="Calibri" w:cstheme="minorHAnsi"/>
                          <w:sz w:val="19"/>
                          <w:szCs w:val="19"/>
                        </w:rPr>
                        <w:t>José Meneleu Neto</w:t>
                      </w:r>
                    </w:p>
                    <w:p>
                      <w:pPr>
                        <w:pStyle w:val="Contedodoquadro"/>
                        <w:spacing w:lineRule="auto" w:line="240" w:before="0" w:after="0"/>
                        <w:rPr>
                          <w:rFonts w:cs="Calibri" w:cstheme="minorHAnsi"/>
                          <w:b/>
                          <w:sz w:val="19"/>
                          <w:szCs w:val="19"/>
                        </w:rPr>
                      </w:pPr>
                      <w:r>
                        <w:rPr>
                          <w:rFonts w:cs="Calibri" w:cstheme="minorHAnsi"/>
                          <w:b/>
                          <w:sz w:val="19"/>
                          <w:szCs w:val="19"/>
                        </w:rPr>
                        <w:t>Diretoria de Estudos de Gestão Pública – DIGEP</w:t>
                      </w:r>
                    </w:p>
                    <w:p>
                      <w:pPr>
                        <w:pStyle w:val="Contedodoquadro"/>
                        <w:spacing w:lineRule="auto" w:line="240"/>
                        <w:rPr>
                          <w:rFonts w:cs="Calibri" w:cstheme="minorHAnsi"/>
                          <w:bCs/>
                          <w:sz w:val="19"/>
                          <w:szCs w:val="19"/>
                        </w:rPr>
                      </w:pPr>
                      <w:r>
                        <w:rPr>
                          <w:rFonts w:cs="Calibri" w:cstheme="minorHAnsi"/>
                          <w:bCs/>
                          <w:sz w:val="19"/>
                          <w:szCs w:val="19"/>
                        </w:rPr>
                        <w:t>José Fábio Bezerra Montenegro</w:t>
                      </w:r>
                    </w:p>
                    <w:p>
                      <w:pPr>
                        <w:pStyle w:val="Contedodoquadro"/>
                        <w:spacing w:lineRule="auto" w:line="240" w:before="0" w:after="0"/>
                        <w:rPr>
                          <w:rFonts w:cs="Calibri" w:cstheme="minorHAnsi"/>
                          <w:b/>
                          <w:sz w:val="19"/>
                          <w:szCs w:val="19"/>
                        </w:rPr>
                      </w:pPr>
                      <w:r>
                        <w:rPr>
                          <w:rFonts w:cs="Calibri" w:cstheme="minorHAnsi"/>
                          <w:b/>
                          <w:sz w:val="19"/>
                          <w:szCs w:val="19"/>
                        </w:rPr>
                        <w:t xml:space="preserve">Gerência de Estatística, Geografia e </w:t>
                      </w:r>
                      <w:r>
                        <w:rPr>
                          <w:rFonts w:eastAsia="Calibri" w:cs="Calibri" w:ascii="Calibri" w:hAnsi="Calibri"/>
                          <w:b/>
                          <w:sz w:val="19"/>
                          <w:szCs w:val="19"/>
                        </w:rPr>
                        <w:t xml:space="preserve">Informações </w:t>
                      </w:r>
                      <w:r>
                        <w:rPr>
                          <w:rFonts w:cs="Calibri" w:cstheme="minorHAnsi"/>
                          <w:b/>
                          <w:sz w:val="19"/>
                          <w:szCs w:val="19"/>
                        </w:rPr>
                        <w:t>– GEGIN</w:t>
                      </w:r>
                    </w:p>
                    <w:p>
                      <w:pPr>
                        <w:pStyle w:val="Contedodoquadro"/>
                        <w:spacing w:lineRule="auto" w:line="240" w:before="0" w:after="0"/>
                        <w:rPr>
                          <w:rFonts w:eastAsia="Calibri" w:cs="Calibri" w:cstheme="minorHAnsi"/>
                          <w:bCs/>
                          <w:sz w:val="19"/>
                          <w:szCs w:val="19"/>
                        </w:rPr>
                      </w:pPr>
                      <w:r>
                        <w:rPr>
                          <w:rFonts w:eastAsia="Calibri" w:cs="Calibri" w:cstheme="minorHAnsi"/>
                          <w:bCs/>
                          <w:sz w:val="19"/>
                          <w:szCs w:val="19"/>
                        </w:rPr>
                        <w:t>Rafaela Martins Leite Monteiro</w:t>
                      </w:r>
                    </w:p>
                    <w:p>
                      <w:pPr>
                        <w:pStyle w:val="Contedodoquadro"/>
                        <w:spacing w:before="0" w:after="0"/>
                        <w:rPr>
                          <w:sz w:val="19"/>
                          <w:szCs w:val="19"/>
                        </w:rPr>
                      </w:pPr>
                      <w:r>
                        <w:rPr/>
                      </w:r>
                    </w:p>
                  </w:txbxContent>
                </v:textbox>
                <w10:wrap type="none"/>
              </v:rect>
            </w:pict>
          </mc:Fallback>
        </mc:AlternateContent>
        <mc:AlternateContent>
          <mc:Choice Requires="wps">
            <w:drawing>
              <wp:anchor behindDoc="0" distT="0" distB="8890" distL="0" distR="0" simplePos="0" locked="0" layoutInCell="1" allowOverlap="1" relativeHeight="22" wp14:anchorId="777F3042">
                <wp:simplePos x="0" y="0"/>
                <wp:positionH relativeFrom="column">
                  <wp:posOffset>3373755</wp:posOffset>
                </wp:positionH>
                <wp:positionV relativeFrom="paragraph">
                  <wp:posOffset>2461260</wp:posOffset>
                </wp:positionV>
                <wp:extent cx="3430270" cy="2905125"/>
                <wp:effectExtent l="0" t="0" r="0" b="9525"/>
                <wp:wrapNone/>
                <wp:docPr id="3" name="Caixa de texto 8"/>
                <a:graphic xmlns:a="http://schemas.openxmlformats.org/drawingml/2006/main">
                  <a:graphicData uri="http://schemas.microsoft.com/office/word/2010/wordprocessingShape">
                    <wps:wsp>
                      <wps:cNvSpPr/>
                      <wps:spPr>
                        <a:xfrm>
                          <a:off x="0" y="0"/>
                          <a:ext cx="3430440" cy="2905200"/>
                        </a:xfrm>
                        <a:prstGeom prst="rect">
                          <a:avLst/>
                        </a:prstGeom>
                        <a:solidFill>
                          <a:srgbClr val="e2efd9"/>
                        </a:solidFill>
                        <a:ln w="0">
                          <a:noFill/>
                        </a:ln>
                      </wps:spPr>
                      <wps:style>
                        <a:lnRef idx="0"/>
                        <a:fillRef idx="0"/>
                        <a:effectRef idx="0"/>
                        <a:fontRef idx="minor"/>
                      </wps:style>
                      <wps:txbx>
                        <w:txbxContent>
                          <w:p>
                            <w:pPr>
                              <w:pStyle w:val="Contedodoquadro"/>
                              <w:spacing w:lineRule="auto" w:line="240" w:before="120" w:after="0"/>
                              <w:rPr>
                                <w:rFonts w:ascii="Calibri" w:hAnsi="Calibri" w:eastAsia="Calibri" w:cs="Calibri"/>
                                <w:b/>
                                <w:sz w:val="19"/>
                                <w:szCs w:val="19"/>
                              </w:rPr>
                            </w:pPr>
                            <w:r>
                              <w:rPr>
                                <w:rFonts w:eastAsia="Calibri" w:cs="Calibri" w:ascii="Calibri" w:hAnsi="Calibri"/>
                                <w:b/>
                                <w:sz w:val="19"/>
                                <w:szCs w:val="19"/>
                              </w:rPr>
                              <w:t>Elaboração:</w:t>
                            </w:r>
                          </w:p>
                          <w:p>
                            <w:pPr>
                              <w:pStyle w:val="Contedodoquadro"/>
                              <w:spacing w:lineRule="auto" w:line="240" w:before="120" w:after="0"/>
                              <w:rPr>
                                <w:rFonts w:ascii="Calibri" w:hAnsi="Calibri" w:eastAsia="Calibri" w:cs="Calibri"/>
                                <w:sz w:val="19"/>
                                <w:szCs w:val="19"/>
                              </w:rPr>
                            </w:pPr>
                            <w:r>
                              <w:rPr>
                                <w:rFonts w:eastAsia="Calibri" w:cs="Calibri" w:ascii="Calibri" w:hAnsi="Calibri"/>
                                <w:sz w:val="19"/>
                                <w:szCs w:val="19"/>
                              </w:rPr>
                              <w:t>João Victor Batista (Assessor Técnico)</w:t>
                            </w:r>
                          </w:p>
                          <w:p>
                            <w:pPr>
                              <w:pStyle w:val="Contedodoquadro"/>
                              <w:spacing w:lineRule="auto" w:line="240" w:before="120" w:after="0"/>
                              <w:rPr>
                                <w:rFonts w:ascii="Calibri" w:hAnsi="Calibri" w:eastAsia="Calibri" w:cs="Calibri"/>
                                <w:sz w:val="19"/>
                                <w:szCs w:val="19"/>
                              </w:rPr>
                            </w:pPr>
                            <w:r>
                              <w:rPr>
                                <w:rFonts w:eastAsia="Calibri" w:cs="Calibri" w:ascii="Calibri" w:hAnsi="Calibri"/>
                                <w:sz w:val="19"/>
                                <w:szCs w:val="19"/>
                              </w:rPr>
                            </w:r>
                          </w:p>
                          <w:p>
                            <w:pPr>
                              <w:pStyle w:val="Contedodoquadro"/>
                              <w:spacing w:lineRule="auto" w:line="240" w:before="120" w:after="0"/>
                              <w:rPr>
                                <w:rFonts w:ascii="Calibri" w:hAnsi="Calibri" w:eastAsia="Calibri" w:cs="Calibri"/>
                                <w:b/>
                                <w:sz w:val="19"/>
                                <w:szCs w:val="19"/>
                              </w:rPr>
                            </w:pPr>
                            <w:r>
                              <w:rPr>
                                <w:rFonts w:eastAsia="Calibri" w:cs="Calibri" w:ascii="Calibri" w:hAnsi="Calibri"/>
                                <w:b/>
                                <w:sz w:val="19"/>
                                <w:szCs w:val="19"/>
                              </w:rPr>
                              <w:t>Colaboração:</w:t>
                            </w:r>
                          </w:p>
                          <w:p>
                            <w:pPr>
                              <w:pStyle w:val="Contedodoquadro"/>
                              <w:spacing w:lineRule="auto" w:line="240" w:before="120" w:after="0"/>
                              <w:rPr>
                                <w:rFonts w:ascii="Calibri" w:hAnsi="Calibri" w:eastAsia="Calibri" w:cs="Calibri"/>
                                <w:bCs/>
                                <w:sz w:val="19"/>
                                <w:szCs w:val="19"/>
                              </w:rPr>
                            </w:pPr>
                            <w:r>
                              <w:rPr>
                                <w:rFonts w:eastAsia="Calibri" w:cs="Calibri" w:ascii="Calibri" w:hAnsi="Calibri"/>
                                <w:bCs/>
                                <w:sz w:val="19"/>
                                <w:szCs w:val="19"/>
                              </w:rPr>
                              <w:t>Rayén Heredia Peñaloza (Técnica)</w:t>
                            </w:r>
                          </w:p>
                          <w:p>
                            <w:pPr>
                              <w:pStyle w:val="Contedodoquadro"/>
                              <w:spacing w:lineRule="auto" w:line="240" w:before="120" w:after="0"/>
                              <w:rPr>
                                <w:u w:val="single"/>
                              </w:rPr>
                            </w:pPr>
                            <w:r>
                              <w:rPr/>
                            </w:r>
                          </w:p>
                        </w:txbxContent>
                      </wps:txbx>
                      <wps:bodyPr anchor="t" upright="1">
                        <a:noAutofit/>
                      </wps:bodyPr>
                    </wps:wsp>
                  </a:graphicData>
                </a:graphic>
              </wp:anchor>
            </w:drawing>
          </mc:Choice>
          <mc:Fallback>
            <w:pict>
              <v:rect id="shape_0" ID="Caixa de texto 8" path="m0,0l-2147483645,0l-2147483645,-2147483646l0,-2147483646xe" fillcolor="#e2efd9" stroked="f" o:allowincell="f" style="position:absolute;margin-left:265.65pt;margin-top:193.8pt;width:270.05pt;height:228.7pt;mso-wrap-style:square;v-text-anchor:top" wp14:anchorId="777F3042">
                <v:fill o:detectmouseclick="t" type="solid" color2="#1d1026"/>
                <v:stroke color="#3465a4" joinstyle="round" endcap="flat"/>
                <v:textbox>
                  <w:txbxContent>
                    <w:p>
                      <w:pPr>
                        <w:pStyle w:val="Contedodoquadro"/>
                        <w:spacing w:lineRule="auto" w:line="240" w:before="120" w:after="0"/>
                        <w:rPr>
                          <w:rFonts w:ascii="Calibri" w:hAnsi="Calibri" w:eastAsia="Calibri" w:cs="Calibri"/>
                          <w:b/>
                          <w:sz w:val="19"/>
                          <w:szCs w:val="19"/>
                        </w:rPr>
                      </w:pPr>
                      <w:r>
                        <w:rPr>
                          <w:rFonts w:eastAsia="Calibri" w:cs="Calibri" w:ascii="Calibri" w:hAnsi="Calibri"/>
                          <w:b/>
                          <w:sz w:val="19"/>
                          <w:szCs w:val="19"/>
                        </w:rPr>
                        <w:t>Elaboração:</w:t>
                      </w:r>
                    </w:p>
                    <w:p>
                      <w:pPr>
                        <w:pStyle w:val="Contedodoquadro"/>
                        <w:spacing w:lineRule="auto" w:line="240" w:before="120" w:after="0"/>
                        <w:rPr>
                          <w:rFonts w:ascii="Calibri" w:hAnsi="Calibri" w:eastAsia="Calibri" w:cs="Calibri"/>
                          <w:sz w:val="19"/>
                          <w:szCs w:val="19"/>
                        </w:rPr>
                      </w:pPr>
                      <w:r>
                        <w:rPr>
                          <w:rFonts w:eastAsia="Calibri" w:cs="Calibri" w:ascii="Calibri" w:hAnsi="Calibri"/>
                          <w:sz w:val="19"/>
                          <w:szCs w:val="19"/>
                        </w:rPr>
                        <w:t>João Victor Batista (Assessor Técnico)</w:t>
                      </w:r>
                    </w:p>
                    <w:p>
                      <w:pPr>
                        <w:pStyle w:val="Contedodoquadro"/>
                        <w:spacing w:lineRule="auto" w:line="240" w:before="120" w:after="0"/>
                        <w:rPr>
                          <w:rFonts w:ascii="Calibri" w:hAnsi="Calibri" w:eastAsia="Calibri" w:cs="Calibri"/>
                          <w:sz w:val="19"/>
                          <w:szCs w:val="19"/>
                        </w:rPr>
                      </w:pPr>
                      <w:r>
                        <w:rPr>
                          <w:rFonts w:eastAsia="Calibri" w:cs="Calibri" w:ascii="Calibri" w:hAnsi="Calibri"/>
                          <w:sz w:val="19"/>
                          <w:szCs w:val="19"/>
                        </w:rPr>
                      </w:r>
                    </w:p>
                    <w:p>
                      <w:pPr>
                        <w:pStyle w:val="Contedodoquadro"/>
                        <w:spacing w:lineRule="auto" w:line="240" w:before="120" w:after="0"/>
                        <w:rPr>
                          <w:rFonts w:ascii="Calibri" w:hAnsi="Calibri" w:eastAsia="Calibri" w:cs="Calibri"/>
                          <w:b/>
                          <w:sz w:val="19"/>
                          <w:szCs w:val="19"/>
                        </w:rPr>
                      </w:pPr>
                      <w:r>
                        <w:rPr>
                          <w:rFonts w:eastAsia="Calibri" w:cs="Calibri" w:ascii="Calibri" w:hAnsi="Calibri"/>
                          <w:b/>
                          <w:sz w:val="19"/>
                          <w:szCs w:val="19"/>
                        </w:rPr>
                        <w:t>Colaboração:</w:t>
                      </w:r>
                    </w:p>
                    <w:p>
                      <w:pPr>
                        <w:pStyle w:val="Contedodoquadro"/>
                        <w:spacing w:lineRule="auto" w:line="240" w:before="120" w:after="0"/>
                        <w:rPr>
                          <w:rFonts w:ascii="Calibri" w:hAnsi="Calibri" w:eastAsia="Calibri" w:cs="Calibri"/>
                          <w:bCs/>
                          <w:sz w:val="19"/>
                          <w:szCs w:val="19"/>
                        </w:rPr>
                      </w:pPr>
                      <w:r>
                        <w:rPr>
                          <w:rFonts w:eastAsia="Calibri" w:cs="Calibri" w:ascii="Calibri" w:hAnsi="Calibri"/>
                          <w:bCs/>
                          <w:sz w:val="19"/>
                          <w:szCs w:val="19"/>
                        </w:rPr>
                        <w:t>Rayén Heredia Peñaloza (Técnica)</w:t>
                      </w:r>
                    </w:p>
                    <w:p>
                      <w:pPr>
                        <w:pStyle w:val="Contedodoquadro"/>
                        <w:spacing w:lineRule="auto" w:line="240" w:before="120" w:after="0"/>
                        <w:rPr>
                          <w:u w:val="single"/>
                        </w:rPr>
                      </w:pPr>
                      <w:r>
                        <w:rPr/>
                      </w:r>
                    </w:p>
                  </w:txbxContent>
                </v:textbox>
                <w10:wrap type="none"/>
              </v:rect>
            </w:pict>
          </mc:Fallback>
        </mc:AlternateContent>
        <mc:AlternateContent>
          <mc:Choice Requires="wps">
            <w:drawing>
              <wp:anchor behindDoc="0" distT="0" distB="0" distL="0" distR="0" simplePos="0" locked="0" layoutInCell="1" allowOverlap="1" relativeHeight="24" wp14:anchorId="56BECDD1">
                <wp:simplePos x="0" y="0"/>
                <wp:positionH relativeFrom="column">
                  <wp:posOffset>3373755</wp:posOffset>
                </wp:positionH>
                <wp:positionV relativeFrom="paragraph">
                  <wp:posOffset>480060</wp:posOffset>
                </wp:positionV>
                <wp:extent cx="3430270" cy="1962150"/>
                <wp:effectExtent l="0" t="0" r="0" b="0"/>
                <wp:wrapNone/>
                <wp:docPr id="4" name="Caixa de texto 7"/>
                <a:graphic xmlns:a="http://schemas.openxmlformats.org/drawingml/2006/main">
                  <a:graphicData uri="http://schemas.microsoft.com/office/word/2010/wordprocessingShape">
                    <wps:wsp>
                      <wps:cNvSpPr/>
                      <wps:spPr>
                        <a:xfrm>
                          <a:off x="0" y="0"/>
                          <a:ext cx="3430440" cy="1962000"/>
                        </a:xfrm>
                        <a:prstGeom prst="rect">
                          <a:avLst/>
                        </a:prstGeom>
                        <a:solidFill>
                          <a:srgbClr val="e2efd9"/>
                        </a:solidFill>
                        <a:ln w="0">
                          <a:noFill/>
                        </a:ln>
                      </wps:spPr>
                      <wps:style>
                        <a:lnRef idx="0"/>
                        <a:fillRef idx="0"/>
                        <a:effectRef idx="0"/>
                        <a:fontRef idx="minor"/>
                      </wps:style>
                      <wps:txbx>
                        <w:txbxContent>
                          <w:p>
                            <w:pPr>
                              <w:pStyle w:val="Contedodoquadro"/>
                              <w:spacing w:lineRule="auto" w:line="276" w:before="0" w:after="0"/>
                              <w:jc w:val="both"/>
                              <w:rPr>
                                <w:rFonts w:ascii="Calibri" w:hAnsi="Calibri" w:eastAsia="Calibri" w:cs="Calibri"/>
                                <w:b/>
                                <w:sz w:val="19"/>
                                <w:szCs w:val="19"/>
                              </w:rPr>
                            </w:pPr>
                            <w:r>
                              <w:rPr>
                                <w:rFonts w:eastAsia="Calibri" w:cs="Calibri" w:ascii="Calibri" w:hAnsi="Calibri"/>
                                <w:b/>
                                <w:sz w:val="19"/>
                                <w:szCs w:val="19"/>
                              </w:rPr>
                              <w:t>ENFOQUE ECONÔMICO – Nº 200 – Janeiro/2026</w:t>
                            </w:r>
                          </w:p>
                          <w:p>
                            <w:pPr>
                              <w:pStyle w:val="Contedodoquadro"/>
                              <w:spacing w:lineRule="auto" w:line="276" w:before="0" w:after="0"/>
                              <w:rPr>
                                <w:rFonts w:ascii="Calibri" w:hAnsi="Calibri" w:eastAsia="Calibri" w:cs="Calibri"/>
                                <w:b/>
                                <w:bCs/>
                                <w:sz w:val="19"/>
                                <w:szCs w:val="19"/>
                              </w:rPr>
                            </w:pPr>
                            <w:r>
                              <w:rPr>
                                <w:rFonts w:eastAsia="Calibri" w:cs="Calibri" w:ascii="Calibri" w:hAnsi="Calibri"/>
                                <w:b/>
                                <w:bCs/>
                                <w:sz w:val="19"/>
                                <w:szCs w:val="19"/>
                              </w:rPr>
                            </w:r>
                          </w:p>
                          <w:p>
                            <w:pPr>
                              <w:pStyle w:val="Contedodoquadro"/>
                              <w:spacing w:lineRule="auto" w:line="276" w:before="0" w:after="0"/>
                              <w:rPr>
                                <w:rFonts w:ascii="Calibri" w:hAnsi="Calibri" w:eastAsia="Calibri" w:cs="Calibri"/>
                                <w:b/>
                                <w:bCs/>
                                <w:sz w:val="19"/>
                                <w:szCs w:val="19"/>
                              </w:rPr>
                            </w:pPr>
                            <w:r>
                              <w:rPr>
                                <w:rFonts w:eastAsia="Calibri" w:cs="Calibri" w:ascii="Calibri" w:hAnsi="Calibri"/>
                                <w:b/>
                                <w:bCs/>
                                <w:sz w:val="19"/>
                                <w:szCs w:val="19"/>
                              </w:rPr>
                              <w:t xml:space="preserve">DIRETORIA RESPONSÁVEL: </w:t>
                            </w:r>
                          </w:p>
                          <w:p>
                            <w:pPr>
                              <w:pStyle w:val="Contedodoquadro"/>
                              <w:spacing w:lineRule="auto" w:line="276" w:before="0" w:after="0"/>
                              <w:rPr>
                                <w:rFonts w:ascii="Calibri" w:hAnsi="Calibri" w:eastAsia="Calibri" w:cs="Calibri"/>
                                <w:bCs/>
                                <w:sz w:val="19"/>
                                <w:szCs w:val="19"/>
                              </w:rPr>
                            </w:pPr>
                            <w:r>
                              <w:rPr>
                                <w:rFonts w:eastAsia="Calibri" w:cs="Calibri" w:ascii="Calibri" w:hAnsi="Calibri"/>
                                <w:bCs/>
                                <w:sz w:val="19"/>
                                <w:szCs w:val="19"/>
                              </w:rPr>
                              <w:t>Diretoria de Estudos Sociais– DISOC</w:t>
                            </w:r>
                          </w:p>
                          <w:p>
                            <w:pPr>
                              <w:pStyle w:val="Contedodoquadro"/>
                              <w:spacing w:lineRule="auto" w:line="240" w:before="120" w:after="0"/>
                              <w:rPr>
                                <w:rFonts w:ascii="Calibri" w:hAnsi="Calibri" w:eastAsia="Calibri" w:cs="Calibri"/>
                                <w:b/>
                                <w:sz w:val="19"/>
                                <w:szCs w:val="19"/>
                              </w:rPr>
                            </w:pPr>
                            <w:r>
                              <w:rPr>
                                <w:rFonts w:eastAsia="Calibri" w:cs="Calibri" w:ascii="Calibri" w:hAnsi="Calibri"/>
                                <w:b/>
                                <w:sz w:val="19"/>
                                <w:szCs w:val="19"/>
                              </w:rPr>
                              <w:t>Título: (Caixa alta e baixa)</w:t>
                            </w:r>
                          </w:p>
                          <w:p>
                            <w:pPr>
                              <w:pStyle w:val="Contedodoquadro"/>
                              <w:spacing w:lineRule="auto" w:line="240" w:before="120" w:after="0"/>
                              <w:rPr>
                                <w:rFonts w:ascii="Calibri" w:hAnsi="Calibri" w:eastAsia="Calibri" w:cs="Calibri"/>
                                <w:sz w:val="19"/>
                                <w:szCs w:val="19"/>
                              </w:rPr>
                            </w:pPr>
                            <w:r>
                              <w:rPr>
                                <w:rFonts w:eastAsia="Calibri" w:cs="Calibri" w:ascii="Calibri" w:hAnsi="Calibri"/>
                                <w:sz w:val="19"/>
                                <w:szCs w:val="19"/>
                              </w:rPr>
                              <w:t>Xxxxxxxxxxxxxxxxxxxxxxxxxxxxxxxxxxxxxxxxxxxxxxxxxxxxxxxxxxxxxxxxxxxxxxxxxxxxxxxxxxxxxxxxxxxxxxxxxxxxxxxxxxxxxxxxxxxxxxxxxxxxxxxxxxxxxxxxxxxxxxxxxxxxxxxxxxxxxxxxxxxxxxxxxxxxxxxxxxxxxxxxx</w:t>
                            </w:r>
                          </w:p>
                          <w:p>
                            <w:pPr>
                              <w:pStyle w:val="Contedodoquadro"/>
                              <w:spacing w:lineRule="auto" w:line="240" w:before="120" w:after="0"/>
                              <w:rPr>
                                <w:rFonts w:ascii="Calibri" w:hAnsi="Calibri" w:eastAsia="Calibri" w:cs="Calibri"/>
                                <w:b/>
                                <w:sz w:val="19"/>
                                <w:szCs w:val="19"/>
                              </w:rPr>
                            </w:pPr>
                            <w:r>
                              <w:rPr>
                                <w:rFonts w:eastAsia="Calibri" w:cs="Calibri" w:ascii="Calibri" w:hAnsi="Calibri"/>
                                <w:b/>
                                <w:sz w:val="19"/>
                                <w:szCs w:val="19"/>
                              </w:rPr>
                            </w:r>
                          </w:p>
                          <w:p>
                            <w:pPr>
                              <w:pStyle w:val="Contedodoquadro"/>
                              <w:spacing w:lineRule="auto" w:line="276" w:before="0" w:after="0"/>
                              <w:jc w:val="both"/>
                              <w:rPr/>
                            </w:pPr>
                            <w:r>
                              <w:rPr/>
                            </w:r>
                          </w:p>
                        </w:txbxContent>
                      </wps:txbx>
                      <wps:bodyPr anchor="t" upright="1">
                        <a:noAutofit/>
                      </wps:bodyPr>
                    </wps:wsp>
                  </a:graphicData>
                </a:graphic>
              </wp:anchor>
            </w:drawing>
          </mc:Choice>
          <mc:Fallback>
            <w:pict>
              <v:rect id="shape_0" ID="Caixa de texto 7" path="m0,0l-2147483645,0l-2147483645,-2147483646l0,-2147483646xe" fillcolor="#e2efd9" stroked="f" o:allowincell="f" style="position:absolute;margin-left:265.65pt;margin-top:37.8pt;width:270.05pt;height:154.45pt;mso-wrap-style:square;v-text-anchor:top" wp14:anchorId="56BECDD1">
                <v:fill o:detectmouseclick="t" type="solid" color2="#1d1026"/>
                <v:stroke color="#3465a4" joinstyle="round" endcap="flat"/>
                <v:textbox>
                  <w:txbxContent>
                    <w:p>
                      <w:pPr>
                        <w:pStyle w:val="Contedodoquadro"/>
                        <w:spacing w:lineRule="auto" w:line="276" w:before="0" w:after="0"/>
                        <w:jc w:val="both"/>
                        <w:rPr>
                          <w:rFonts w:ascii="Calibri" w:hAnsi="Calibri" w:eastAsia="Calibri" w:cs="Calibri"/>
                          <w:b/>
                          <w:sz w:val="19"/>
                          <w:szCs w:val="19"/>
                        </w:rPr>
                      </w:pPr>
                      <w:r>
                        <w:rPr>
                          <w:rFonts w:eastAsia="Calibri" w:cs="Calibri" w:ascii="Calibri" w:hAnsi="Calibri"/>
                          <w:b/>
                          <w:sz w:val="19"/>
                          <w:szCs w:val="19"/>
                        </w:rPr>
                        <w:t>ENFOQUE ECONÔMICO – Nº 200 – Janeiro/2026</w:t>
                      </w:r>
                    </w:p>
                    <w:p>
                      <w:pPr>
                        <w:pStyle w:val="Contedodoquadro"/>
                        <w:spacing w:lineRule="auto" w:line="276" w:before="0" w:after="0"/>
                        <w:rPr>
                          <w:rFonts w:ascii="Calibri" w:hAnsi="Calibri" w:eastAsia="Calibri" w:cs="Calibri"/>
                          <w:b/>
                          <w:bCs/>
                          <w:sz w:val="19"/>
                          <w:szCs w:val="19"/>
                        </w:rPr>
                      </w:pPr>
                      <w:r>
                        <w:rPr>
                          <w:rFonts w:eastAsia="Calibri" w:cs="Calibri" w:ascii="Calibri" w:hAnsi="Calibri"/>
                          <w:b/>
                          <w:bCs/>
                          <w:sz w:val="19"/>
                          <w:szCs w:val="19"/>
                        </w:rPr>
                      </w:r>
                    </w:p>
                    <w:p>
                      <w:pPr>
                        <w:pStyle w:val="Contedodoquadro"/>
                        <w:spacing w:lineRule="auto" w:line="276" w:before="0" w:after="0"/>
                        <w:rPr>
                          <w:rFonts w:ascii="Calibri" w:hAnsi="Calibri" w:eastAsia="Calibri" w:cs="Calibri"/>
                          <w:b/>
                          <w:bCs/>
                          <w:sz w:val="19"/>
                          <w:szCs w:val="19"/>
                        </w:rPr>
                      </w:pPr>
                      <w:r>
                        <w:rPr>
                          <w:rFonts w:eastAsia="Calibri" w:cs="Calibri" w:ascii="Calibri" w:hAnsi="Calibri"/>
                          <w:b/>
                          <w:bCs/>
                          <w:sz w:val="19"/>
                          <w:szCs w:val="19"/>
                        </w:rPr>
                        <w:t xml:space="preserve">DIRETORIA RESPONSÁVEL: </w:t>
                      </w:r>
                    </w:p>
                    <w:p>
                      <w:pPr>
                        <w:pStyle w:val="Contedodoquadro"/>
                        <w:spacing w:lineRule="auto" w:line="276" w:before="0" w:after="0"/>
                        <w:rPr>
                          <w:rFonts w:ascii="Calibri" w:hAnsi="Calibri" w:eastAsia="Calibri" w:cs="Calibri"/>
                          <w:bCs/>
                          <w:sz w:val="19"/>
                          <w:szCs w:val="19"/>
                        </w:rPr>
                      </w:pPr>
                      <w:r>
                        <w:rPr>
                          <w:rFonts w:eastAsia="Calibri" w:cs="Calibri" w:ascii="Calibri" w:hAnsi="Calibri"/>
                          <w:bCs/>
                          <w:sz w:val="19"/>
                          <w:szCs w:val="19"/>
                        </w:rPr>
                        <w:t>Diretoria de Estudos Sociais– DISOC</w:t>
                      </w:r>
                    </w:p>
                    <w:p>
                      <w:pPr>
                        <w:pStyle w:val="Contedodoquadro"/>
                        <w:spacing w:lineRule="auto" w:line="240" w:before="120" w:after="0"/>
                        <w:rPr>
                          <w:rFonts w:ascii="Calibri" w:hAnsi="Calibri" w:eastAsia="Calibri" w:cs="Calibri"/>
                          <w:b/>
                          <w:sz w:val="19"/>
                          <w:szCs w:val="19"/>
                        </w:rPr>
                      </w:pPr>
                      <w:r>
                        <w:rPr>
                          <w:rFonts w:eastAsia="Calibri" w:cs="Calibri" w:ascii="Calibri" w:hAnsi="Calibri"/>
                          <w:b/>
                          <w:sz w:val="19"/>
                          <w:szCs w:val="19"/>
                        </w:rPr>
                        <w:t>Título: (Caixa alta e baixa)</w:t>
                      </w:r>
                    </w:p>
                    <w:p>
                      <w:pPr>
                        <w:pStyle w:val="Contedodoquadro"/>
                        <w:spacing w:lineRule="auto" w:line="240" w:before="120" w:after="0"/>
                        <w:rPr>
                          <w:rFonts w:ascii="Calibri" w:hAnsi="Calibri" w:eastAsia="Calibri" w:cs="Calibri"/>
                          <w:sz w:val="19"/>
                          <w:szCs w:val="19"/>
                        </w:rPr>
                      </w:pPr>
                      <w:r>
                        <w:rPr>
                          <w:rFonts w:eastAsia="Calibri" w:cs="Calibri" w:ascii="Calibri" w:hAnsi="Calibri"/>
                          <w:sz w:val="19"/>
                          <w:szCs w:val="19"/>
                        </w:rPr>
                        <w:t>Xxxxxxxxxxxxxxxxxxxxxxxxxxxxxxxxxxxxxxxxxxxxxxxxxxxxxxxxxxxxxxxxxxxxxxxxxxxxxxxxxxxxxxxxxxxxxxxxxxxxxxxxxxxxxxxxxxxxxxxxxxxxxxxxxxxxxxxxxxxxxxxxxxxxxxxxxxxxxxxxxxxxxxxxxxxxxxxxxxxxxxxxx</w:t>
                      </w:r>
                    </w:p>
                    <w:p>
                      <w:pPr>
                        <w:pStyle w:val="Contedodoquadro"/>
                        <w:spacing w:lineRule="auto" w:line="240" w:before="120" w:after="0"/>
                        <w:rPr>
                          <w:rFonts w:ascii="Calibri" w:hAnsi="Calibri" w:eastAsia="Calibri" w:cs="Calibri"/>
                          <w:b/>
                          <w:sz w:val="19"/>
                          <w:szCs w:val="19"/>
                        </w:rPr>
                      </w:pPr>
                      <w:r>
                        <w:rPr>
                          <w:rFonts w:eastAsia="Calibri" w:cs="Calibri" w:ascii="Calibri" w:hAnsi="Calibri"/>
                          <w:b/>
                          <w:sz w:val="19"/>
                          <w:szCs w:val="19"/>
                        </w:rPr>
                      </w:r>
                    </w:p>
                    <w:p>
                      <w:pPr>
                        <w:pStyle w:val="Contedodoquadro"/>
                        <w:spacing w:lineRule="auto" w:line="276" w:before="0" w:after="0"/>
                        <w:jc w:val="both"/>
                        <w:rPr/>
                      </w:pPr>
                      <w:r>
                        <w:rPr/>
                      </w:r>
                    </w:p>
                  </w:txbxContent>
                </v:textbox>
                <w10:wrap type="none"/>
              </v:rect>
            </w:pict>
          </mc:Fallback>
        </mc:AlternateContent>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1906" w:h="16838"/>
      <w:pgMar w:left="567" w:right="567" w:gutter="0" w:header="850" w:top="907" w:footer="567" w:bottom="6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Segoe UI">
    <w:charset w:val="00"/>
    <w:family w:val="swiss"/>
    <w:pitch w:val="variable"/>
  </w:font>
  <w:font w:name="Liberation Sans">
    <w:altName w:val="Arial"/>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97586579"/>
    </w:sdtPr>
    <w:sdtContent>
      <w:p>
        <w:pPr>
          <w:pStyle w:val="Footer"/>
          <w:jc w:val="right"/>
          <w:rPr/>
        </w:pPr>
        <w:r>
          <w:rPr/>
          <w:fldChar w:fldCharType="begin"/>
        </w:r>
        <w:r>
          <w:rPr/>
          <w:instrText xml:space="preserve"> PAGE </w:instrText>
        </w:r>
        <w:r>
          <w:rPr/>
          <w:fldChar w:fldCharType="separate"/>
        </w:r>
        <w:r>
          <w:rPr/>
          <w:t>4</w:t>
        </w:r>
        <w:r>
          <w:rPr/>
          <w:fldChar w:fldCharType="end"/>
        </w:r>
      </w:p>
    </w:sdtContent>
  </w:sdt>
  <w:p>
    <w:pPr>
      <w:pStyle w:val="Footer"/>
      <w:jc w:val="right"/>
      <w:rPr>
        <w:rFonts w:ascii="Times New Roman" w:hAnsi="Times New Roman" w:cs="Times New Roman"/>
        <w:sz w:val="20"/>
        <w:szCs w:val="20"/>
      </w:rPr>
    </w:pPr>
    <w:r>
      <w:rPr>
        <w:rFonts w:cs="Times New Roman" w:ascii="Times New Roman" w:hAnsi="Times New Roman"/>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97586579"/>
    </w:sdtPr>
    <w:sdtContent>
      <w:p>
        <w:pPr>
          <w:pStyle w:val="Footer"/>
          <w:jc w:val="right"/>
          <w:rPr/>
        </w:pPr>
        <w:r>
          <w:rPr/>
          <w:fldChar w:fldCharType="begin"/>
        </w:r>
        <w:r>
          <w:rPr/>
          <w:instrText xml:space="preserve"> PAGE </w:instrText>
        </w:r>
        <w:r>
          <w:rPr/>
          <w:fldChar w:fldCharType="separate"/>
        </w:r>
        <w:r>
          <w:rPr/>
          <w:t>4</w:t>
        </w:r>
        <w:r>
          <w:rPr/>
          <w:fldChar w:fldCharType="end"/>
        </w:r>
      </w:p>
    </w:sdtContent>
  </w:sdt>
  <w:p>
    <w:pPr>
      <w:pStyle w:val="Footer"/>
      <w:jc w:val="right"/>
      <w:rPr>
        <w:rFonts w:ascii="Times New Roman" w:hAnsi="Times New Roman" w:cs="Times New Roman"/>
        <w:sz w:val="20"/>
        <w:szCs w:val="20"/>
      </w:rPr>
    </w:pPr>
    <w:r>
      <w:rPr>
        <w:rFonts w:cs="Times New Roman" w:ascii="Times New Roman" w:hAnsi="Times New Roman"/>
        <w:sz w:val="20"/>
        <w:szCs w:val="2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Caracteresdenotaderodap"/>
        </w:rPr>
        <w:footnoteRef/>
      </w:r>
      <w:r>
        <w:rPr/>
        <w:t xml:space="preserve"> </w:t>
      </w:r>
      <w:r>
        <w:rPr/>
        <w:t>https://www.planalto.gov.br/ccivil_03/leis/lcp/lcp128.htm</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lang w:eastAsia="pt-BR"/>
      </w:rPr>
      <w:drawing>
        <wp:anchor behindDoc="1" distT="0" distB="0" distL="0" distR="0" simplePos="0" locked="0" layoutInCell="1" allowOverlap="1" relativeHeight="13">
          <wp:simplePos x="0" y="0"/>
          <wp:positionH relativeFrom="column">
            <wp:posOffset>2164080</wp:posOffset>
          </wp:positionH>
          <wp:positionV relativeFrom="paragraph">
            <wp:posOffset>555625</wp:posOffset>
          </wp:positionV>
          <wp:extent cx="2428875" cy="337185"/>
          <wp:effectExtent l="0" t="0" r="0" b="0"/>
          <wp:wrapNone/>
          <wp:docPr id="5" name="Imagem 6"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6" descr="Logotipo&#10;&#10;O conteúdo gerado por IA pode estar incorreto."/>
                  <pic:cNvPicPr>
                    <a:picLocks noChangeAspect="1" noChangeArrowheads="1"/>
                  </pic:cNvPicPr>
                </pic:nvPicPr>
                <pic:blipFill>
                  <a:blip r:embed="rId1"/>
                  <a:stretch>
                    <a:fillRect/>
                  </a:stretch>
                </pic:blipFill>
                <pic:spPr bwMode="auto">
                  <a:xfrm>
                    <a:off x="0" y="0"/>
                    <a:ext cx="2428875" cy="337185"/>
                  </a:xfrm>
                  <a:prstGeom prst="rect">
                    <a:avLst/>
                  </a:prstGeom>
                  <a:noFill/>
                </pic:spPr>
              </pic:pic>
            </a:graphicData>
          </a:graphic>
        </wp:anchor>
      </w:drawing>
      <w:drawing>
        <wp:anchor behindDoc="0" distT="0" distB="0" distL="114300" distR="114300" simplePos="0" locked="0" layoutInCell="0" allowOverlap="1" relativeHeight="19">
          <wp:simplePos x="0" y="0"/>
          <wp:positionH relativeFrom="margin">
            <wp:posOffset>5715</wp:posOffset>
          </wp:positionH>
          <wp:positionV relativeFrom="paragraph">
            <wp:posOffset>-209550</wp:posOffset>
          </wp:positionV>
          <wp:extent cx="6839585" cy="1165225"/>
          <wp:effectExtent l="0" t="0" r="0" b="0"/>
          <wp:wrapThrough wrapText="bothSides">
            <wp:wrapPolygon edited="0">
              <wp:start x="-17" y="0"/>
              <wp:lineTo x="-17" y="21092"/>
              <wp:lineTo x="21542" y="21092"/>
              <wp:lineTo x="21542" y="0"/>
              <wp:lineTo x="-17" y="0"/>
            </wp:wrapPolygon>
          </wp:wrapThrough>
          <wp:docPr id="6" name="Imagem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9" descr=""/>
                  <pic:cNvPicPr>
                    <a:picLocks noChangeAspect="1" noChangeArrowheads="1"/>
                  </pic:cNvPicPr>
                </pic:nvPicPr>
                <pic:blipFill>
                  <a:blip r:embed="rId2"/>
                  <a:srcRect l="0" t="948" r="0" b="948"/>
                  <a:stretch>
                    <a:fillRect/>
                  </a:stretch>
                </pic:blipFill>
                <pic:spPr bwMode="auto">
                  <a:xfrm>
                    <a:off x="0" y="0"/>
                    <a:ext cx="6839585" cy="1165225"/>
                  </a:xfrm>
                  <a:prstGeom prst="rect">
                    <a:avLst/>
                  </a:prstGeom>
                  <a:noFill/>
                </pic:spPr>
              </pic:pic>
            </a:graphicData>
          </a:graphic>
        </wp:anchor>
      </w:drawing>
      <mc:AlternateContent>
        <mc:Choice Requires="wps">
          <w:drawing>
            <wp:anchor behindDoc="1" distT="40640" distB="55245" distL="108585" distR="128270" simplePos="0" locked="0" layoutInCell="0" allowOverlap="1" relativeHeight="8" wp14:anchorId="075C5B45">
              <wp:simplePos x="0" y="0"/>
              <wp:positionH relativeFrom="column">
                <wp:posOffset>5715</wp:posOffset>
              </wp:positionH>
              <wp:positionV relativeFrom="paragraph">
                <wp:posOffset>953770</wp:posOffset>
              </wp:positionV>
              <wp:extent cx="6839585" cy="289560"/>
              <wp:effectExtent l="5715" t="5080" r="4445" b="5080"/>
              <wp:wrapSquare wrapText="bothSides"/>
              <wp:docPr id="7" name="Caixa de Texto 2"/>
              <a:graphic xmlns:a="http://schemas.openxmlformats.org/drawingml/2006/main">
                <a:graphicData uri="http://schemas.microsoft.com/office/word/2010/wordprocessingShape">
                  <wps:wsp>
                    <wps:cNvSpPr/>
                    <wps:spPr>
                      <a:xfrm>
                        <a:off x="0" y="0"/>
                        <a:ext cx="6839640" cy="289440"/>
                      </a:xfrm>
                      <a:prstGeom prst="rect">
                        <a:avLst/>
                      </a:prstGeom>
                      <a:solidFill>
                        <a:schemeClr val="tx1"/>
                      </a:solidFill>
                      <a:ln w="9525">
                        <a:solidFill>
                          <a:srgbClr val="000000"/>
                        </a:solidFill>
                        <a:miter/>
                      </a:ln>
                    </wps:spPr>
                    <wps:style>
                      <a:lnRef idx="0"/>
                      <a:fillRef idx="0"/>
                      <a:effectRef idx="0"/>
                      <a:fontRef idx="minor"/>
                    </wps:style>
                    <wps:txbx>
                      <w:txbxContent>
                        <w:p>
                          <w:pPr>
                            <w:pStyle w:val="Contedodoquadro"/>
                            <w:spacing w:before="0" w:after="0"/>
                            <w:rPr>
                              <w:b/>
                            </w:rPr>
                          </w:pPr>
                          <w:r>
                            <w:rPr>
                              <w:b/>
                            </w:rPr>
                            <w:t>Nº 200 - Título do Enfoque Econômico</w:t>
                          </w:r>
                        </w:p>
                      </w:txbxContent>
                    </wps:txbx>
                    <wps:bodyPr anchor="t">
                      <a:noAutofit/>
                    </wps:bodyPr>
                  </wps:wsp>
                </a:graphicData>
              </a:graphic>
            </wp:anchor>
          </w:drawing>
        </mc:Choice>
        <mc:Fallback>
          <w:pict>
            <v:rect id="shape_0" ID="Caixa de Texto 2" path="m0,0l-2147483645,0l-2147483645,-2147483646l0,-2147483646xe" fillcolor="black" stroked="t" o:allowincell="f" style="position:absolute;margin-left:0.45pt;margin-top:75.1pt;width:538.5pt;height:22.75pt;mso-wrap-style:square;v-text-anchor:top" wp14:anchorId="075C5B45">
              <v:fill o:detectmouseclick="t" type="solid" color2="white"/>
              <v:stroke color="black" weight="9360" joinstyle="miter" endcap="flat"/>
              <v:textbox>
                <w:txbxContent>
                  <w:p>
                    <w:pPr>
                      <w:pStyle w:val="Contedodoquadro"/>
                      <w:spacing w:before="0" w:after="0"/>
                      <w:rPr>
                        <w:b/>
                      </w:rPr>
                    </w:pPr>
                    <w:r>
                      <w:rPr>
                        <w:b/>
                      </w:rPr>
                      <w:t>Nº 200 - Título do Enfoque Econômico</w:t>
                    </w:r>
                  </w:p>
                </w:txbxContent>
              </v:textbox>
              <w10:wrap type="square"/>
            </v:rect>
          </w:pict>
        </mc:Fallback>
      </mc:AlternateContent>
    </w:r>
    <w:r>
      <w:rPr>
        <w:lang w:eastAsia="pt-BR"/>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lang w:eastAsia="pt-BR"/>
      </w:rPr>
      <w:drawing>
        <wp:anchor behindDoc="1" distT="0" distB="0" distL="0" distR="0" simplePos="0" locked="0" layoutInCell="1" allowOverlap="1" relativeHeight="13">
          <wp:simplePos x="0" y="0"/>
          <wp:positionH relativeFrom="column">
            <wp:posOffset>2164080</wp:posOffset>
          </wp:positionH>
          <wp:positionV relativeFrom="paragraph">
            <wp:posOffset>555625</wp:posOffset>
          </wp:positionV>
          <wp:extent cx="2428875" cy="337185"/>
          <wp:effectExtent l="0" t="0" r="0" b="0"/>
          <wp:wrapNone/>
          <wp:docPr id="8" name="Imagem 6"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6" descr="Logotipo&#10;&#10;O conteúdo gerado por IA pode estar incorreto."/>
                  <pic:cNvPicPr>
                    <a:picLocks noChangeAspect="1" noChangeArrowheads="1"/>
                  </pic:cNvPicPr>
                </pic:nvPicPr>
                <pic:blipFill>
                  <a:blip r:embed="rId1"/>
                  <a:stretch>
                    <a:fillRect/>
                  </a:stretch>
                </pic:blipFill>
                <pic:spPr bwMode="auto">
                  <a:xfrm>
                    <a:off x="0" y="0"/>
                    <a:ext cx="2428875" cy="337185"/>
                  </a:xfrm>
                  <a:prstGeom prst="rect">
                    <a:avLst/>
                  </a:prstGeom>
                  <a:noFill/>
                </pic:spPr>
              </pic:pic>
            </a:graphicData>
          </a:graphic>
        </wp:anchor>
      </w:drawing>
      <w:drawing>
        <wp:anchor behindDoc="0" distT="0" distB="0" distL="114300" distR="114300" simplePos="0" locked="0" layoutInCell="0" allowOverlap="1" relativeHeight="19">
          <wp:simplePos x="0" y="0"/>
          <wp:positionH relativeFrom="margin">
            <wp:posOffset>5715</wp:posOffset>
          </wp:positionH>
          <wp:positionV relativeFrom="paragraph">
            <wp:posOffset>-209550</wp:posOffset>
          </wp:positionV>
          <wp:extent cx="6839585" cy="1165225"/>
          <wp:effectExtent l="0" t="0" r="0" b="0"/>
          <wp:wrapThrough wrapText="bothSides">
            <wp:wrapPolygon edited="0">
              <wp:start x="-17" y="0"/>
              <wp:lineTo x="-17" y="21092"/>
              <wp:lineTo x="21542" y="21092"/>
              <wp:lineTo x="21542" y="0"/>
              <wp:lineTo x="-17" y="0"/>
            </wp:wrapPolygon>
          </wp:wrapThrough>
          <wp:docPr id="9" name="Imagem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
                  <pic:cNvPicPr>
                    <a:picLocks noChangeAspect="1" noChangeArrowheads="1"/>
                  </pic:cNvPicPr>
                </pic:nvPicPr>
                <pic:blipFill>
                  <a:blip r:embed="rId2"/>
                  <a:srcRect l="0" t="948" r="0" b="948"/>
                  <a:stretch>
                    <a:fillRect/>
                  </a:stretch>
                </pic:blipFill>
                <pic:spPr bwMode="auto">
                  <a:xfrm>
                    <a:off x="0" y="0"/>
                    <a:ext cx="6839585" cy="1165225"/>
                  </a:xfrm>
                  <a:prstGeom prst="rect">
                    <a:avLst/>
                  </a:prstGeom>
                  <a:noFill/>
                </pic:spPr>
              </pic:pic>
            </a:graphicData>
          </a:graphic>
        </wp:anchor>
      </w:drawing>
      <mc:AlternateContent>
        <mc:Choice Requires="wps">
          <w:drawing>
            <wp:anchor behindDoc="1" distT="40640" distB="55245" distL="108585" distR="128270" simplePos="0" locked="0" layoutInCell="0" allowOverlap="1" relativeHeight="8" wp14:anchorId="075C5B45">
              <wp:simplePos x="0" y="0"/>
              <wp:positionH relativeFrom="column">
                <wp:posOffset>5715</wp:posOffset>
              </wp:positionH>
              <wp:positionV relativeFrom="paragraph">
                <wp:posOffset>953770</wp:posOffset>
              </wp:positionV>
              <wp:extent cx="6839585" cy="289560"/>
              <wp:effectExtent l="5715" t="5080" r="4445" b="5080"/>
              <wp:wrapSquare wrapText="bothSides"/>
              <wp:docPr id="10" name="Caixa de Texto 2"/>
              <a:graphic xmlns:a="http://schemas.openxmlformats.org/drawingml/2006/main">
                <a:graphicData uri="http://schemas.microsoft.com/office/word/2010/wordprocessingShape">
                  <wps:wsp>
                    <wps:cNvSpPr/>
                    <wps:spPr>
                      <a:xfrm>
                        <a:off x="0" y="0"/>
                        <a:ext cx="6839640" cy="289440"/>
                      </a:xfrm>
                      <a:prstGeom prst="rect">
                        <a:avLst/>
                      </a:prstGeom>
                      <a:solidFill>
                        <a:schemeClr val="tx1"/>
                      </a:solidFill>
                      <a:ln w="9525">
                        <a:solidFill>
                          <a:srgbClr val="000000"/>
                        </a:solidFill>
                        <a:miter/>
                      </a:ln>
                    </wps:spPr>
                    <wps:style>
                      <a:lnRef idx="0"/>
                      <a:fillRef idx="0"/>
                      <a:effectRef idx="0"/>
                      <a:fontRef idx="minor"/>
                    </wps:style>
                    <wps:txbx>
                      <w:txbxContent>
                        <w:p>
                          <w:pPr>
                            <w:pStyle w:val="Contedodoquadro"/>
                            <w:spacing w:before="0" w:after="0"/>
                            <w:rPr>
                              <w:b/>
                            </w:rPr>
                          </w:pPr>
                          <w:r>
                            <w:rPr>
                              <w:b/>
                            </w:rPr>
                            <w:t>Nº 200 - Título do Enfoque Econômico</w:t>
                          </w:r>
                        </w:p>
                      </w:txbxContent>
                    </wps:txbx>
                    <wps:bodyPr anchor="t">
                      <a:noAutofit/>
                    </wps:bodyPr>
                  </wps:wsp>
                </a:graphicData>
              </a:graphic>
            </wp:anchor>
          </w:drawing>
        </mc:Choice>
        <mc:Fallback>
          <w:pict>
            <v:rect id="shape_0" ID="Caixa de Texto 2" path="m0,0l-2147483645,0l-2147483645,-2147483646l0,-2147483646xe" fillcolor="black" stroked="t" o:allowincell="f" style="position:absolute;margin-left:0.45pt;margin-top:75.1pt;width:538.5pt;height:22.75pt;mso-wrap-style:square;v-text-anchor:top" wp14:anchorId="075C5B45">
              <v:fill o:detectmouseclick="t" type="solid" color2="white"/>
              <v:stroke color="black" weight="9360" joinstyle="miter" endcap="flat"/>
              <v:textbox>
                <w:txbxContent>
                  <w:p>
                    <w:pPr>
                      <w:pStyle w:val="Contedodoquadro"/>
                      <w:spacing w:before="0" w:after="0"/>
                      <w:rPr>
                        <w:b/>
                      </w:rPr>
                    </w:pPr>
                    <w:r>
                      <w:rPr>
                        <w:b/>
                      </w:rPr>
                      <w:t>Nº 200 - Título do Enfoque Econômico</w:t>
                    </w:r>
                  </w:p>
                </w:txbxContent>
              </v:textbox>
              <w10:wrap type="square"/>
            </v:rect>
          </w:pict>
        </mc:Fallback>
      </mc:AlternateContent>
    </w:r>
    <w:r>
      <w:rPr>
        <w:lang w:eastAsia="pt-BR"/>
      </w:rPr>
      <w:t xml:space="preserve"> </w:t>
    </w:r>
  </w:p>
</w:hdr>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Heading3">
    <w:name w:val="heading 3"/>
    <w:basedOn w:val="Normal"/>
    <w:next w:val="Normal"/>
    <w:link w:val="Ttulo3Char"/>
    <w:unhideWhenUsed/>
    <w:qFormat/>
    <w:rsid w:val="000b1b47"/>
    <w:pPr>
      <w:keepNext w:val="true"/>
      <w:spacing w:lineRule="auto" w:line="240" w:before="240" w:after="60"/>
      <w:outlineLvl w:val="2"/>
    </w:pPr>
    <w:rPr>
      <w:rFonts w:ascii="Calibri Light" w:hAnsi="Calibri Light" w:eastAsia="" w:cs="" w:asciiTheme="majorHAnsi" w:cstheme="majorBidi" w:eastAsiaTheme="majorEastAsia" w:hAnsiTheme="majorHAnsi"/>
      <w:b/>
      <w:bCs/>
      <w:sz w:val="26"/>
      <w:szCs w:val="26"/>
      <w:lang w:eastAsia="pt-BR"/>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0b1b47"/>
    <w:rPr/>
  </w:style>
  <w:style w:type="character" w:styleId="RodapChar" w:customStyle="1">
    <w:name w:val="Rodapé Char"/>
    <w:basedOn w:val="DefaultParagraphFont"/>
    <w:uiPriority w:val="99"/>
    <w:qFormat/>
    <w:rsid w:val="000b1b47"/>
    <w:rPr/>
  </w:style>
  <w:style w:type="character" w:styleId="Ttulo3Char" w:customStyle="1">
    <w:name w:val="Título 3 Char"/>
    <w:basedOn w:val="DefaultParagraphFont"/>
    <w:qFormat/>
    <w:rsid w:val="000b1b47"/>
    <w:rPr>
      <w:rFonts w:ascii="Calibri Light" w:hAnsi="Calibri Light" w:eastAsia="" w:cs="" w:asciiTheme="majorHAnsi" w:cstheme="majorBidi" w:eastAsiaTheme="majorEastAsia" w:hAnsiTheme="majorHAnsi"/>
      <w:b/>
      <w:bCs/>
      <w:sz w:val="26"/>
      <w:szCs w:val="26"/>
      <w:lang w:eastAsia="pt-BR"/>
    </w:rPr>
  </w:style>
  <w:style w:type="character" w:styleId="TextodebaloChar" w:customStyle="1">
    <w:name w:val="Texto de balão Char"/>
    <w:basedOn w:val="DefaultParagraphFont"/>
    <w:link w:val="BalloonText"/>
    <w:uiPriority w:val="99"/>
    <w:semiHidden/>
    <w:qFormat/>
    <w:rsid w:val="00994f3f"/>
    <w:rPr>
      <w:rFonts w:ascii="Segoe UI" w:hAnsi="Segoe UI" w:cs="Segoe UI"/>
      <w:sz w:val="18"/>
      <w:szCs w:val="18"/>
    </w:rPr>
  </w:style>
  <w:style w:type="character" w:styleId="TextodenotaderodapChar" w:customStyle="1">
    <w:name w:val="Texto de nota de rodapé Char"/>
    <w:basedOn w:val="DefaultParagraphFont"/>
    <w:uiPriority w:val="99"/>
    <w:semiHidden/>
    <w:qFormat/>
    <w:rsid w:val="00ef1f98"/>
    <w:rPr>
      <w:sz w:val="20"/>
      <w:szCs w:val="20"/>
    </w:rPr>
  </w:style>
  <w:style w:type="character" w:styleId="Caracteresdenotaderodap">
    <w:name w:val="Caracteres de nota de rodapé"/>
    <w:basedOn w:val="DefaultParagraphFont"/>
    <w:uiPriority w:val="99"/>
    <w:semiHidden/>
    <w:unhideWhenUsed/>
    <w:qFormat/>
    <w:rsid w:val="00ef1f98"/>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Caracteresdenotadefim">
    <w:name w:val="Caracteres de nota de fim"/>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bealhoerodap">
    <w:name w:val="Cabeçalho e rodapé"/>
    <w:basedOn w:val="Normal"/>
    <w:qFormat/>
    <w:pPr/>
    <w:rPr/>
  </w:style>
  <w:style w:type="paragraph" w:styleId="Header">
    <w:name w:val="header"/>
    <w:basedOn w:val="Normal"/>
    <w:link w:val="CabealhoChar"/>
    <w:uiPriority w:val="99"/>
    <w:unhideWhenUsed/>
    <w:rsid w:val="000b1b47"/>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0b1b47"/>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unhideWhenUsed/>
    <w:qFormat/>
    <w:rsid w:val="000b1b47"/>
    <w:pPr>
      <w:spacing w:lineRule="auto" w:line="240" w:beforeAutospacing="1" w:afterAutospacing="1"/>
    </w:pPr>
    <w:rPr>
      <w:rFonts w:ascii="Times New Roman" w:hAnsi="Times New Roman" w:eastAsia="Times New Roman" w:cs="Times New Roman"/>
      <w:sz w:val="24"/>
      <w:szCs w:val="24"/>
      <w:lang w:eastAsia="pt-BR"/>
    </w:rPr>
  </w:style>
  <w:style w:type="paragraph" w:styleId="BalloonText">
    <w:name w:val="Balloon Text"/>
    <w:basedOn w:val="Normal"/>
    <w:link w:val="TextodebaloChar"/>
    <w:uiPriority w:val="99"/>
    <w:semiHidden/>
    <w:unhideWhenUsed/>
    <w:qFormat/>
    <w:rsid w:val="00994f3f"/>
    <w:pPr>
      <w:spacing w:lineRule="auto" w:line="240" w:before="0" w:after="0"/>
    </w:pPr>
    <w:rPr>
      <w:rFonts w:ascii="Segoe UI" w:hAnsi="Segoe UI" w:cs="Segoe UI"/>
      <w:sz w:val="18"/>
      <w:szCs w:val="18"/>
    </w:rPr>
  </w:style>
  <w:style w:type="paragraph" w:styleId="FootnoteText">
    <w:name w:val="footnote text"/>
    <w:basedOn w:val="Normal"/>
    <w:link w:val="TextodenotaderodapChar"/>
    <w:uiPriority w:val="99"/>
    <w:semiHidden/>
    <w:unhideWhenUsed/>
    <w:rsid w:val="00ef1f98"/>
    <w:pPr>
      <w:spacing w:lineRule="auto" w:line="240" w:before="0" w:after="0"/>
    </w:pPr>
    <w:rPr>
      <w:sz w:val="20"/>
      <w:szCs w:val="20"/>
    </w:rPr>
  </w:style>
  <w:style w:type="paragraph" w:styleId="Contedodoquadro">
    <w:name w:val="Conteúdo do quadro"/>
    <w:basedOn w:val="Normal"/>
    <w:qFormat/>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B7D5F-8083-4C71-8970-F58230ED8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1574</TotalTime>
  <Application>LibreOffice/25.2.7.2$Windows_X86_64 LibreOffice_project/5cbfd1ab6520636bb5f7b99185aa69bd7456825d</Application>
  <AppVersion>15.0000</AppVersion>
  <Pages>4</Pages>
  <Words>1337</Words>
  <Characters>8251</Characters>
  <CharactersWithSpaces>9450</CharactersWithSpaces>
  <Paragraphs>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2017-11-29T19:20:00Z</dcterms:created>
  <dc:creator>IPECEDSK0063</dc:creator>
  <dc:description/>
  <dc:language>pt-BR</dc:language>
  <cp:lastModifiedBy/>
  <cp:lastPrinted>2017-11-16T18:05:00Z</cp:lastPrinted>
  <dcterms:modified xsi:type="dcterms:W3CDTF">2026-01-26T16:07:30Z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2b3cf99b-fc4a-41f1-986e-e71c561ef2cf</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2024-04-11T14:22:39Z</vt:lpwstr>
  </property>
  <property fmtid="{D5CDD505-2E9C-101B-9397-08002B2CF9AE}" pid="8" name="MSIP_Label_defa4170-0d19-0005-0004-bc88714345d2_SiteId">
    <vt:lpwstr>a281075a-ef05-4955-af75-185e0173842a</vt:lpwstr>
  </property>
</Properties>
</file>