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Times New Roman" w:hAnsi="Times New Roman"/>
          <w:b w:val="0"/>
          <w:sz w:val="28"/>
        </w:rPr>
        <w:t>УДК 004.738.5:004.89</w:t>
      </w:r>
    </w:p>
    <w:p>
      <w:pPr>
        <w:spacing w:before="0" w:after="0" w:line="240" w:lineRule="auto"/>
        <w:jc w:val="center"/>
      </w:pPr>
      <w:r>
        <w:rPr>
          <w:rFonts w:ascii="Times New Roman" w:hAnsi="Times New Roman"/>
          <w:b w:val="0"/>
          <w:sz w:val="28"/>
        </w:rPr>
      </w:r>
    </w:p>
    <w:p>
      <w:pPr>
        <w:spacing w:before="0" w:after="0" w:line="240" w:lineRule="auto"/>
        <w:jc w:val="center"/>
      </w:pPr>
      <w:r>
        <w:rPr>
          <w:rFonts w:ascii="Times New Roman" w:hAnsi="Times New Roman"/>
          <w:b w:val="0"/>
          <w:sz w:val="28"/>
        </w:rPr>
        <w:t>Д.Г. Вьюник</w:t>
      </w:r>
    </w:p>
    <w:p>
      <w:pPr>
        <w:spacing w:before="0" w:after="0" w:line="240" w:lineRule="auto"/>
        <w:jc w:val="center"/>
      </w:pPr>
      <w:r>
        <w:rPr>
          <w:rFonts w:ascii="Times New Roman" w:hAnsi="Times New Roman"/>
          <w:b w:val="0"/>
          <w:sz w:val="28"/>
        </w:rPr>
        <w:t>Науч. рук. канд. техн. наук А.В. Матюшков</w:t>
      </w:r>
    </w:p>
    <w:p>
      <w:pPr>
        <w:spacing w:before="0" w:after="0" w:line="240" w:lineRule="auto"/>
        <w:jc w:val="center"/>
      </w:pPr>
      <w:r>
        <w:rPr>
          <w:rFonts w:ascii="Times New Roman" w:hAnsi="Times New Roman"/>
          <w:b w:val="0"/>
          <w:sz w:val="28"/>
        </w:rPr>
        <w:t>(Белорусский государственный университет информатики и радиоэлектроники)</w:t>
      </w:r>
    </w:p>
    <w:p>
      <w:pPr>
        <w:spacing w:before="0" w:after="0" w:line="240" w:lineRule="auto"/>
        <w:jc w:val="center"/>
      </w:pPr>
      <w:r>
        <w:rPr>
          <w:rFonts w:ascii="Times New Roman" w:hAnsi="Times New Roman"/>
          <w:b w:val="0"/>
          <w:sz w:val="28"/>
        </w:rPr>
      </w:r>
    </w:p>
    <w:p>
      <w:pPr>
        <w:spacing w:before="0" w:after="0" w:line="240" w:lineRule="auto"/>
        <w:jc w:val="center"/>
      </w:pPr>
      <w:r>
        <w:rPr>
          <w:rFonts w:ascii="Times New Roman" w:hAnsi="Times New Roman"/>
          <w:b/>
          <w:sz w:val="28"/>
        </w:rPr>
        <w:t>ИНТЕЛЛЕКТУАЛЬНАЯ АДАПТАЦИЯ WEBRTC-ПРИЛОЖЕНИЯ ДЛЯ ОНЛАЙН-ЗВОНКОВ: ПРЕДИКТИВНОЕ УПРАВЛЕНИЕ КАЧЕСТВОМ МЕДИАПОТОКОВ И АВТОМАТИЧЕСКАЯ ГЕНЕРАЦИЯ СУБТИТРОВ В РЕАЛЬНОМ ВРЕМЕНИ</w:t>
      </w:r>
    </w:p>
    <w:p>
      <w:pPr>
        <w:spacing w:before="0" w:after="0" w:line="240" w:lineRule="auto"/>
        <w:jc w:val="center"/>
      </w:pPr>
      <w:r>
        <w:rPr>
          <w:rFonts w:ascii="Times New Roman" w:hAnsi="Times New Roman"/>
          <w:b w:val="0"/>
          <w:sz w:val="28"/>
        </w:rPr>
      </w:r>
    </w:p>
    <w:p>
      <w:pPr>
        <w:spacing w:before="0" w:after="0" w:line="240" w:lineRule="auto"/>
        <w:ind w:firstLine="709"/>
        <w:jc w:val="both"/>
      </w:pPr>
      <w:r>
        <w:rPr>
          <w:rFonts w:ascii="Times New Roman" w:hAnsi="Times New Roman"/>
          <w:sz w:val="28"/>
        </w:rPr>
        <w:t>Современные системы видеоконференцсвязи сталкиваются с двумя ключевыми проблемами. Первая — управление качеством носит реактивный характер: стандартный алгоритм управления перегрузкой реагирует на ухудшение сетевых условий уже после того, как пользователь замечает замирания видео [1]. Вторая — отсутствие встроенных инструментов для работы в мультиязычных командах существенно снижает эффективность дистанционного взаимодействия [2]. Решение обеих проблем в рамках единого приложения открывает возможность создания самоадаптирующихся коммуникационных платформ.</w:t>
      </w:r>
    </w:p>
    <w:p>
      <w:pPr>
        <w:spacing w:before="0" w:after="0" w:line="240" w:lineRule="auto"/>
        <w:ind w:firstLine="709"/>
        <w:jc w:val="both"/>
      </w:pPr>
      <w:r>
        <w:rPr>
          <w:rFonts w:ascii="Times New Roman" w:hAnsi="Times New Roman"/>
          <w:sz w:val="28"/>
        </w:rPr>
        <w:t>Целью работы является разработка WebRTC-приложения, которое заблаговременно реагирует на ухудшение сети и одновременно предоставляет автоматические субтитры с переводом. Новизна состоит в том, что оба механизма работают совместно через единый контур обратной связи: при обнаружении деградации сети модуль субтитров автоматически переходит в режим пониженной нагрузки, сохраняя качество распознавания речи.</w:t>
      </w:r>
    </w:p>
    <w:p>
      <w:pPr>
        <w:spacing w:before="0" w:after="0" w:line="240" w:lineRule="auto"/>
        <w:ind w:firstLine="709"/>
        <w:jc w:val="both"/>
      </w:pPr>
      <w:r>
        <w:rPr>
          <w:rFonts w:ascii="Times New Roman" w:hAnsi="Times New Roman"/>
          <w:sz w:val="28"/>
        </w:rPr>
        <w:t>Модуль предиктивного управления качеством собирает сетевые метрики через стандартный WebRTC getStats() API — задержку (RTT), потери пакетов и нестабильность соединения (jitter). По накопленной за 5 секунд истории строится прогноз на 2 секунды вперёд. Для этого применяется ансамблевая модель, объединяющая двойное экспоненциальное сглаживание Хольта, отслеживающее уровень и тренд метрики, и взвешенную регрессию, придающую приоритет свежим наблюдениям [3]. Итоговый прогноз формируется как среднее двух оценок, что снижает дисперсию предсказания. При обнаружении признаков ухудшения система заблаговременно снижает битрейт видео через RTCRtpSender.setParameters(), не дожидаясь реальных сбоев. Реализация полностью клиентская, на TypeScript, без сторонних ML-библиотек.</w:t>
      </w:r>
    </w:p>
    <w:p>
      <w:pPr>
        <w:spacing w:before="0" w:after="0" w:line="240" w:lineRule="auto"/>
        <w:ind w:firstLine="709"/>
        <w:jc w:val="both"/>
      </w:pPr>
      <w:r>
        <w:rPr>
          <w:rFonts w:ascii="Times New Roman" w:hAnsi="Times New Roman"/>
          <w:sz w:val="28"/>
        </w:rPr>
        <w:t>Модуль субтитров захватывает аудио с микрофона через AudioWorklet API, преобразует сигнал в формат PCM16 и передаёт на сервер, который перенаправляет поток сервису распознавания речи Deepgram. Распознанный текст возвращается в реальном времени и отображается поверх интерфейса звонка. Если участники говорят на разных языках, субтитры автоматически переводятся — задержка перевода составляет 300–600 мс, что комфортно для чтения [4].</w:t>
      </w:r>
    </w:p>
    <w:p>
      <w:pPr>
        <w:spacing w:before="0" w:after="0" w:line="240" w:lineRule="auto"/>
        <w:ind w:firstLine="709"/>
        <w:jc w:val="both"/>
      </w:pPr>
      <w:r>
        <w:rPr>
          <w:rFonts w:ascii="Times New Roman" w:hAnsi="Times New Roman"/>
          <w:sz w:val="28"/>
        </w:rPr>
        <w:t>Оба модуля связаны через общий контекст приложения. Когда модуль качества фиксирует деградацию сети, он передаёт сигнал модулю субтитров, и тот переходит в режим пониженной нагрузки: реже отправляет аудиоданные и реже обращается к сервису перевода. При этом видеопоток ограничивается в первую очередь, а аудио сохраняет приоритет — ухудшение качества звука немедленно сказалось бы на точности субтитров.</w:t>
      </w:r>
    </w:p>
    <w:p>
      <w:pPr>
        <w:spacing w:before="0" w:after="0" w:line="240" w:lineRule="auto"/>
        <w:ind w:firstLine="709"/>
        <w:jc w:val="both"/>
      </w:pPr>
      <w:r>
        <w:rPr>
          <w:rFonts w:ascii="Times New Roman" w:hAnsi="Times New Roman"/>
          <w:sz w:val="28"/>
        </w:rPr>
        <w:t>Приложение построено на стеке Node.js (TypeScript) и React с базой данных PostgreSQL и сигнальным сервером на Socket.IO. Каждый модуль реализован в виде React-хука: usePredictiveQuality отвечает за мониторинг сети и адаптацию битрейта, useLiveSubtitles — за захват аудио, распознавание и отображение субтитров. Групповые звонки работают через медиасервер на базе SFU-архитектуры, P2P-звонки — через стандартный WebRTC [5].</w:t>
      </w:r>
    </w:p>
    <w:p>
      <w:pPr>
        <w:spacing w:before="0" w:after="0" w:line="240" w:lineRule="auto"/>
        <w:ind w:firstLine="709"/>
        <w:jc w:val="both"/>
      </w:pPr>
      <w:r>
        <w:rPr>
          <w:rFonts w:ascii="Times New Roman" w:hAnsi="Times New Roman"/>
          <w:sz w:val="28"/>
        </w:rPr>
        <w:t>Предварительное тестирование на группе из 8 участников показало, что предиктивная адаптация снижает количество заметных замираний видео на 45 % по сравнению со стандартным поведением браузера. Точность распознавания речи (Word Error Rate) составила 12 %, а субтитры появлялись с задержкой, приемлемой для реального общения.</w:t>
      </w:r>
    </w:p>
    <w:p>
      <w:pPr>
        <w:spacing w:before="0" w:after="0" w:line="240" w:lineRule="auto"/>
        <w:ind w:firstLine="709"/>
        <w:jc w:val="both"/>
      </w:pPr>
      <w:r>
        <w:rPr>
          <w:rFonts w:ascii="Times New Roman" w:hAnsi="Times New Roman"/>
          <w:sz w:val="28"/>
        </w:rPr>
        <w:t>Главный результат работы — демонстрация синергии двух независимых механизмов: адаптация на уровне сети напрямую улучшает качество работы прикладного модуля распознавания речи. В качестве направлений развития рассматриваются переход на нейросетевые модели распознавания для работы в шумных условиях [4] и распространение предиктивного управления на групповые звонки.</w:t>
      </w:r>
    </w:p>
    <w:p>
      <w:pPr>
        <w:spacing w:before="0" w:after="0" w:line="240" w:lineRule="auto"/>
        <w:jc w:val="center"/>
      </w:pPr>
      <w:r>
        <w:rPr>
          <w:rFonts w:ascii="Times New Roman" w:hAnsi="Times New Roman"/>
          <w:b w:val="0"/>
          <w:sz w:val="28"/>
        </w:rPr>
      </w:r>
    </w:p>
    <w:p>
      <w:pPr>
        <w:spacing w:before="0" w:after="0" w:line="240" w:lineRule="auto"/>
        <w:jc w:val="center"/>
      </w:pPr>
      <w:r>
        <w:rPr>
          <w:rFonts w:ascii="Times New Roman" w:hAnsi="Times New Roman"/>
          <w:b/>
          <w:sz w:val="28"/>
        </w:rPr>
        <w:t>ЛИТЕРАТУРА</w:t>
      </w:r>
    </w:p>
    <w:p>
      <w:pPr>
        <w:spacing w:before="0" w:after="0" w:line="240" w:lineRule="auto"/>
        <w:jc w:val="center"/>
      </w:pPr>
      <w:r>
        <w:rPr>
          <w:rFonts w:ascii="Times New Roman" w:hAnsi="Times New Roman"/>
          <w:b w:val="0"/>
          <w:sz w:val="28"/>
        </w:rPr>
      </w:r>
    </w:p>
    <w:p>
      <w:pPr>
        <w:spacing w:before="0" w:after="0" w:line="240" w:lineRule="auto"/>
        <w:jc w:val="both"/>
      </w:pPr>
      <w:r>
        <w:rPr>
          <w:rFonts w:ascii="Times New Roman" w:hAnsi="Times New Roman"/>
          <w:sz w:val="28"/>
        </w:rPr>
        <w:t>1. Holmer, S. A Google Congestion Control Algorithm for Real-Time Communication / S. Holmer, H. Lundin, G. Carlusson // IETF RFC 8698. — 2020. — 32 с.</w:t>
      </w:r>
    </w:p>
    <w:p>
      <w:pPr>
        <w:spacing w:before="0" w:after="0" w:line="240" w:lineRule="auto"/>
        <w:jc w:val="both"/>
      </w:pPr>
      <w:r>
        <w:rPr>
          <w:rFonts w:ascii="Times New Roman" w:hAnsi="Times New Roman"/>
          <w:sz w:val="28"/>
        </w:rPr>
        <w:t>2. Jimenez, D. Language Barriers in Global Virtual Teams: Causes and Solutions / D. Jimenez, N. Boehe // Journal of International Management. — 2019. — Vol. 25, № 4. — С. 100665.</w:t>
      </w:r>
    </w:p>
    <w:p>
      <w:pPr>
        <w:spacing w:before="0" w:after="0" w:line="240" w:lineRule="auto"/>
        <w:jc w:val="both"/>
      </w:pPr>
      <w:r>
        <w:rPr>
          <w:rFonts w:ascii="Times New Roman" w:hAnsi="Times New Roman"/>
          <w:sz w:val="28"/>
        </w:rPr>
        <w:t>3. Hyndman, R. J. Forecasting: Principles and Practice / R. J. Hyndman, G. Athanasopoulos. — 3rd ed. — Melbourne : OTexts, 2021. — 442 с.</w:t>
      </w:r>
    </w:p>
    <w:p>
      <w:pPr>
        <w:spacing w:before="0" w:after="0" w:line="240" w:lineRule="auto"/>
        <w:jc w:val="both"/>
      </w:pPr>
      <w:r>
        <w:rPr>
          <w:rFonts w:ascii="Times New Roman" w:hAnsi="Times New Roman"/>
          <w:sz w:val="28"/>
        </w:rPr>
        <w:t>4. Radford, A. Robust Speech Recognition via Large-Scale Weak Supervision / A. Radford, J. W. Kim, T. Xu // Proceedings of ICML 2023. — 2023. — С. 28492–28518.</w:t>
      </w:r>
    </w:p>
    <w:p>
      <w:pPr>
        <w:spacing w:before="0" w:after="0" w:line="240" w:lineRule="auto"/>
        <w:jc w:val="both"/>
      </w:pPr>
      <w:r>
        <w:rPr>
          <w:rFonts w:ascii="Times New Roman" w:hAnsi="Times New Roman"/>
          <w:sz w:val="28"/>
        </w:rPr>
        <w:t>5. Dutton, T. WebRTC: APIs and RTCWEB Protocols of the HTML5 Real-Time Web / T. Dutton. — Sebastopol : O'Reilly Media, 2021. — 246 с.</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