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Override PartName="/word/media/rId67.png" ContentType="image/png"/>
  <Override PartName="/word/media/rId88.png" ContentType="image/png"/>
  <Override PartName="/word/media/rId72.png" ContentType="image/png"/>
  <Override PartName="/word/media/rId100.png" ContentType="image/png"/>
  <Override PartName="/word/media/rId77.png" ContentType="image/png"/>
  <Override PartName="/word/media/rId83.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eclaration"/>
    <w:p>
      <w:pPr>
        <w:pStyle w:val="Heading1"/>
      </w:pPr>
      <w:r>
        <w:t xml:space="preserve">Declaration</w:t>
      </w:r>
    </w:p>
    <w:p>
      <w:pPr>
        <w:pStyle w:val="FirstParagraph"/>
      </w:pPr>
      <w:r>
        <w:t xml:space="preserve">I,</w:t>
      </w:r>
      <w:r>
        <w:t xml:space="preserve"> </w:t>
      </w:r>
      <w:r>
        <w:rPr>
          <w:b/>
          <w:bCs/>
        </w:rPr>
        <w:t xml:space="preserve">Nasibu Y. Isaka</w:t>
      </w:r>
      <w:r>
        <w:t xml:space="preserve">, registration number</w:t>
      </w:r>
      <w:r>
        <w:t xml:space="preserve"> </w:t>
      </w:r>
      <w:r>
        <w:rPr>
          <w:b/>
          <w:bCs/>
        </w:rPr>
        <w:t xml:space="preserve">2106307225519</w:t>
      </w:r>
      <w:r>
        <w:t xml:space="preserve">, declare that this</w:t>
      </w:r>
      <w:r>
        <w:t xml:space="preserve"> </w:t>
      </w:r>
      <w:r>
        <w:t xml:space="preserve">report is my own original work and that it has not been presented, and will not</w:t>
      </w:r>
      <w:r>
        <w:t xml:space="preserve"> </w:t>
      </w:r>
      <w:r>
        <w:t xml:space="preserve">be presented, to any other institution for a similar or any other award.</w:t>
      </w:r>
    </w:p>
    <w:bookmarkEnd w:id="9"/>
    <w:bookmarkStart w:id="10" w:name="certification"/>
    <w:p>
      <w:pPr>
        <w:pStyle w:val="Heading1"/>
      </w:pPr>
      <w:r>
        <w:t xml:space="preserve">Certification</w:t>
      </w:r>
    </w:p>
    <w:p>
      <w:pPr>
        <w:pStyle w:val="FirstParagraph"/>
      </w:pPr>
      <w:r>
        <w:t xml:space="preserve">The undersigned certifies that he has read and hereby recommends for acceptance</w:t>
      </w:r>
      <w:r>
        <w:t xml:space="preserve"> </w:t>
      </w:r>
      <w:r>
        <w:t xml:space="preserve">by the Dar es Salaam Institute of Technology a project report titled</w:t>
      </w:r>
      <w:r>
        <w:t xml:space="preserve"> </w:t>
      </w:r>
      <w:r>
        <w:rPr>
          <w:b/>
          <w:bCs/>
        </w:rPr>
        <w:t xml:space="preserve">Blockchain-Based NGO Donation Management System</w:t>
      </w:r>
      <w:r>
        <w:t xml:space="preserve">, submitted in partial</w:t>
      </w:r>
      <w:r>
        <w:t xml:space="preserve"> </w:t>
      </w:r>
      <w:r>
        <w:t xml:space="preserve">fulfilment of the requirements for the award of NTA Level 8 in the Department of</w:t>
      </w:r>
      <w:r>
        <w:t xml:space="preserve"> </w:t>
      </w:r>
      <w:r>
        <w:t xml:space="preserve">Computer Studies.</w:t>
      </w:r>
    </w:p>
    <w:bookmarkEnd w:id="10"/>
    <w:bookmarkStart w:id="11" w:name="dedication"/>
    <w:p>
      <w:pPr>
        <w:pStyle w:val="Heading1"/>
      </w:pPr>
      <w:r>
        <w:t xml:space="preserve">Dedication</w:t>
      </w:r>
    </w:p>
    <w:p>
      <w:pPr>
        <w:pStyle w:val="FirstParagraph"/>
      </w:pPr>
      <w:r>
        <w:t xml:space="preserve">This work is dedicated to my family, mentors and all people working to make charitable support more transparent and accountable.</w:t>
      </w:r>
    </w:p>
    <w:bookmarkEnd w:id="11"/>
    <w:bookmarkStart w:id="12" w:name="acknowledgements"/>
    <w:p>
      <w:pPr>
        <w:pStyle w:val="Heading1"/>
      </w:pPr>
      <w:r>
        <w:t xml:space="preserve">Acknowledgements</w:t>
      </w:r>
    </w:p>
    <w:p>
      <w:pPr>
        <w:pStyle w:val="FirstParagraph"/>
      </w:pPr>
      <w:r>
        <w:t xml:space="preserve">I sincerely thank my supervisor, Dr Gustaph Sanga, for guidance throughout this project. I also appreciate the Department of Computer Studies, the people who contributed early questionnaire feedback, and my family and colleagues for their support during design, implementation and testing.</w:t>
      </w:r>
    </w:p>
    <w:bookmarkEnd w:id="12"/>
    <w:bookmarkStart w:id="13" w:name="abstract"/>
    <w:p>
      <w:pPr>
        <w:pStyle w:val="Heading1"/>
      </w:pPr>
      <w:r>
        <w:t xml:space="preserve">Abstract</w:t>
      </w:r>
    </w:p>
    <w:p>
      <w:pPr>
        <w:pStyle w:val="FirstParagraph"/>
      </w:pPr>
      <w:r>
        <w:t xml:space="preserve">NGO donation systems need to make contribution and fund-release records more visible without making ordinary donors adopt cryptocurrency. This project designed and implemented ChangiaTanzania, a blockchain-based NGO donation management system that combines familiar web and local-payment workflows with privacy-preserving Ethereum proof recording. An iterative Agile approach was used, informed by retained questionnaire themes, document review, source inspection and technical testing. The system implements donor, fundraiser and administrator roles; campaign management; beneficiary verification; payment-session handling; idempotent payment callback finalisation; receipts; donation history; notifications; dashboards; audit logs; exports; controlled disbursements; and public receipt verification. PostgreSQL is the operational source of truth. After a verified payment or completed disbursement, the backend records a deterministic proof hash through a smart contract, while public verification omits donor identity and payment references. The implementation demonstrates that blockchain can serve as a narrow tamper-evident proof layer alongside conventional application controls rather than replacing payment or operational systems. Tests cover key authentication, payment, proof, campaign-review, beneficiary and disbursement-control scenarios. The response-level questionnaire export was unavailable; consequently, the report reports documented themes without quantitative claims. The completed implementation provides a transparent and accountable NGO donation-management system for the stated project scope.</w:t>
      </w:r>
    </w:p>
    <w:bookmarkEnd w:id="13"/>
    <w:bookmarkStart w:id="14"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CSV</w:t>
            </w:r>
          </w:p>
        </w:tc>
        <w:tc>
          <w:tcPr/>
          <w:p>
            <w:pPr>
              <w:pStyle w:val="Compact"/>
            </w:pPr>
            <w:r>
              <w:t xml:space="preserve">Comma Separated Values</w:t>
            </w:r>
          </w:p>
        </w:tc>
      </w:tr>
      <w:tr>
        <w:tc>
          <w:tcPr/>
          <w:p>
            <w:pPr>
              <w:pStyle w:val="Compact"/>
            </w:pPr>
            <w:r>
              <w:t xml:space="preserve">DFD</w:t>
            </w:r>
          </w:p>
        </w:tc>
        <w:tc>
          <w:tcPr/>
          <w:p>
            <w:pPr>
              <w:pStyle w:val="Compact"/>
            </w:pPr>
            <w:r>
              <w:t xml:space="preserve">Data Flow Diagram</w:t>
            </w:r>
          </w:p>
        </w:tc>
      </w:tr>
      <w:tr>
        <w:tc>
          <w:tcPr/>
          <w:p>
            <w:pPr>
              <w:pStyle w:val="Compact"/>
            </w:pPr>
            <w:r>
              <w:t xml:space="preserve">DIT</w:t>
            </w:r>
          </w:p>
        </w:tc>
        <w:tc>
          <w:tcPr/>
          <w:p>
            <w:pPr>
              <w:pStyle w:val="Compact"/>
            </w:pPr>
            <w:r>
              <w:t xml:space="preserve">Dar es Salaam Institute of Technology</w:t>
            </w:r>
          </w:p>
        </w:tc>
      </w:tr>
      <w:tr>
        <w:tc>
          <w:tcPr/>
          <w:p>
            <w:pPr>
              <w:pStyle w:val="Compact"/>
            </w:pPr>
            <w:r>
              <w:t xml:space="preserve">ERD</w:t>
            </w:r>
          </w:p>
        </w:tc>
        <w:tc>
          <w:tcPr/>
          <w:p>
            <w:pPr>
              <w:pStyle w:val="Compact"/>
            </w:pPr>
            <w:r>
              <w:t xml:space="preserve">Entity Relationship Diagram</w:t>
            </w:r>
          </w:p>
        </w:tc>
      </w:tr>
      <w:tr>
        <w:tc>
          <w:tcPr/>
          <w:p>
            <w:pPr>
              <w:pStyle w:val="Compact"/>
            </w:pPr>
            <w:r>
              <w:t xml:space="preserve">FR</w:t>
            </w:r>
          </w:p>
        </w:tc>
        <w:tc>
          <w:tcPr/>
          <w:p>
            <w:pPr>
              <w:pStyle w:val="Compact"/>
            </w:pPr>
            <w:r>
              <w:t xml:space="preserve">Functional Requirement</w:t>
            </w:r>
          </w:p>
        </w:tc>
      </w:tr>
      <w:tr>
        <w:tc>
          <w:tcPr/>
          <w:p>
            <w:pPr>
              <w:pStyle w:val="Compact"/>
            </w:pPr>
            <w:r>
              <w:t xml:space="preserve">JWT</w:t>
            </w:r>
          </w:p>
        </w:tc>
        <w:tc>
          <w:tcPr/>
          <w:p>
            <w:pPr>
              <w:pStyle w:val="Compact"/>
            </w:pPr>
            <w:r>
              <w:t xml:space="preserve">JSON Web Token</w:t>
            </w:r>
          </w:p>
        </w:tc>
      </w:tr>
      <w:tr>
        <w:tc>
          <w:tcPr/>
          <w:p>
            <w:pPr>
              <w:pStyle w:val="Compact"/>
            </w:pPr>
            <w:r>
              <w:t xml:space="preserve">NFR</w:t>
            </w:r>
          </w:p>
        </w:tc>
        <w:tc>
          <w:tcPr/>
          <w:p>
            <w:pPr>
              <w:pStyle w:val="Compact"/>
            </w:pPr>
            <w:r>
              <w:t xml:space="preserve">Non-functional Requirement</w:t>
            </w:r>
          </w:p>
        </w:tc>
      </w:tr>
      <w:tr>
        <w:tc>
          <w:tcPr/>
          <w:p>
            <w:pPr>
              <w:pStyle w:val="Compact"/>
            </w:pPr>
            <w:r>
              <w:t xml:space="preserve">NGO</w:t>
            </w:r>
          </w:p>
        </w:tc>
        <w:tc>
          <w:tcPr/>
          <w:p>
            <w:pPr>
              <w:pStyle w:val="Compact"/>
            </w:pPr>
            <w:r>
              <w:t xml:space="preserve">Non-Governmental Organization</w:t>
            </w:r>
          </w:p>
        </w:tc>
      </w:tr>
      <w:tr>
        <w:tc>
          <w:tcPr/>
          <w:p>
            <w:pPr>
              <w:pStyle w:val="Compact"/>
            </w:pPr>
            <w:r>
              <w:t xml:space="preserve">NTA</w:t>
            </w:r>
          </w:p>
        </w:tc>
        <w:tc>
          <w:tcPr/>
          <w:p>
            <w:pPr>
              <w:pStyle w:val="Compact"/>
            </w:pPr>
            <w:r>
              <w:t xml:space="preserve">National Technical Award</w:t>
            </w:r>
          </w:p>
        </w:tc>
      </w:tr>
      <w:tr>
        <w:tc>
          <w:tcPr/>
          <w:p>
            <w:pPr>
              <w:pStyle w:val="Compact"/>
            </w:pPr>
            <w:r>
              <w:t xml:space="preserve">ORM</w:t>
            </w:r>
          </w:p>
        </w:tc>
        <w:tc>
          <w:tcPr/>
          <w:p>
            <w:pPr>
              <w:pStyle w:val="Compact"/>
            </w:pPr>
            <w:r>
              <w:t xml:space="preserve">Object Relational Mapping</w:t>
            </w:r>
          </w:p>
        </w:tc>
      </w:tr>
      <w:tr>
        <w:tc>
          <w:tcPr/>
          <w:p>
            <w:pPr>
              <w:pStyle w:val="Compact"/>
            </w:pPr>
            <w:r>
              <w:t xml:space="preserve">RBAC</w:t>
            </w:r>
          </w:p>
        </w:tc>
        <w:tc>
          <w:tcPr/>
          <w:p>
            <w:pPr>
              <w:pStyle w:val="Compact"/>
            </w:pPr>
            <w:r>
              <w:t xml:space="preserve">Role Based Access Control</w:t>
            </w:r>
          </w:p>
        </w:tc>
      </w:tr>
      <w:tr>
        <w:tc>
          <w:tcPr/>
          <w:p>
            <w:pPr>
              <w:pStyle w:val="Compact"/>
            </w:pPr>
            <w:r>
              <w:t xml:space="preserve">RPC</w:t>
            </w:r>
          </w:p>
        </w:tc>
        <w:tc>
          <w:tcPr/>
          <w:p>
            <w:pPr>
              <w:pStyle w:val="Compact"/>
            </w:pPr>
            <w:r>
              <w:t xml:space="preserve">Remote Procedure Call</w:t>
            </w:r>
          </w:p>
        </w:tc>
      </w:tr>
      <w:tr>
        <w:tc>
          <w:tcPr/>
          <w:p>
            <w:pPr>
              <w:pStyle w:val="Compact"/>
            </w:pPr>
            <w:r>
              <w:t xml:space="preserve">SDLC</w:t>
            </w:r>
          </w:p>
        </w:tc>
        <w:tc>
          <w:tcPr/>
          <w:p>
            <w:pPr>
              <w:pStyle w:val="Compact"/>
            </w:pPr>
            <w:r>
              <w:t xml:space="preserve">Software Development Life Cycle</w:t>
            </w:r>
          </w:p>
        </w:tc>
      </w:tr>
      <w:tr>
        <w:tc>
          <w:tcPr/>
          <w:p>
            <w:pPr>
              <w:pStyle w:val="Compact"/>
            </w:pPr>
            <w:r>
              <w:t xml:space="preserve">SRS</w:t>
            </w:r>
          </w:p>
        </w:tc>
        <w:tc>
          <w:tcPr/>
          <w:p>
            <w:pPr>
              <w:pStyle w:val="Compact"/>
            </w:pPr>
            <w:r>
              <w:t xml:space="preserve">Software Requirement Specification</w:t>
            </w:r>
          </w:p>
        </w:tc>
      </w:tr>
      <w:tr>
        <w:tc>
          <w:tcPr/>
          <w:p>
            <w:pPr>
              <w:pStyle w:val="Compact"/>
            </w:pPr>
            <w:r>
              <w:t xml:space="preserve">TZS</w:t>
            </w:r>
          </w:p>
        </w:tc>
        <w:tc>
          <w:tcPr/>
          <w:p>
            <w:pPr>
              <w:pStyle w:val="Compact"/>
            </w:pPr>
            <w:r>
              <w:t xml:space="preserve">Tanzanian Shilling</w:t>
            </w:r>
          </w:p>
        </w:tc>
      </w:tr>
      <w:tr>
        <w:tc>
          <w:tcPr/>
          <w:p>
            <w:pPr>
              <w:pStyle w:val="Compact"/>
            </w:pPr>
            <w:r>
              <w:t xml:space="preserve">UAT</w:t>
            </w:r>
          </w:p>
        </w:tc>
        <w:tc>
          <w:tcPr/>
          <w:p>
            <w:pPr>
              <w:pStyle w:val="Compact"/>
            </w:pPr>
            <w:r>
              <w:t xml:space="preserve">User Acceptance Testing</w:t>
            </w:r>
          </w:p>
        </w:tc>
      </w:tr>
      <w:tr>
        <w:tc>
          <w:tcPr/>
          <w:p>
            <w:pPr>
              <w:pStyle w:val="Compact"/>
            </w:pPr>
            <w:r>
              <w:t xml:space="preserve">UML</w:t>
            </w:r>
          </w:p>
        </w:tc>
        <w:tc>
          <w:tcPr/>
          <w:p>
            <w:pPr>
              <w:pStyle w:val="Compact"/>
            </w:pPr>
            <w:r>
              <w:t xml:space="preserve">Unified Modeling Language</w:t>
            </w:r>
          </w:p>
        </w:tc>
      </w:tr>
    </w:tbl>
    <w:bookmarkEnd w:id="14"/>
    <w:bookmarkStart w:id="15" w:name="list-of-appendices"/>
    <w:p>
      <w:pPr>
        <w:pStyle w:val="Heading1"/>
      </w:pPr>
      <w:r>
        <w:t xml:space="preserve">List of Appendices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Appendix</w:t>
            </w:r>
          </w:p>
        </w:tc>
        <w:tc>
          <w:tcPr/>
          <w:p>
            <w:pPr>
              <w:pStyle w:val="Compact"/>
            </w:pPr>
            <w:r>
              <w:t xml:space="preserve">Title</w:t>
            </w:r>
          </w:p>
        </w:tc>
      </w:tr>
      <w:tr>
        <w:tc>
          <w:tcPr/>
          <w:p>
            <w:pPr>
              <w:pStyle w:val="Compact"/>
            </w:pPr>
            <w:r>
              <w:t xml:space="preserve">A</w:t>
            </w:r>
          </w:p>
        </w:tc>
        <w:tc>
          <w:tcPr/>
          <w:p>
            <w:pPr>
              <w:pStyle w:val="Compact"/>
            </w:pPr>
            <w:r>
              <w:t xml:space="preserve">Questionnaire</w:t>
            </w:r>
          </w:p>
        </w:tc>
      </w:tr>
      <w:tr>
        <w:tc>
          <w:tcPr/>
          <w:p>
            <w:pPr>
              <w:pStyle w:val="Compact"/>
            </w:pPr>
            <w:r>
              <w:t xml:space="preserve">B</w:t>
            </w:r>
          </w:p>
        </w:tc>
        <w:tc>
          <w:tcPr/>
          <w:p>
            <w:pPr>
              <w:pStyle w:val="Compact"/>
            </w:pPr>
            <w:r>
              <w:t xml:space="preserve">Document Review Matrix</w:t>
            </w:r>
          </w:p>
        </w:tc>
      </w:tr>
      <w:tr>
        <w:tc>
          <w:tcPr/>
          <w:p>
            <w:pPr>
              <w:pStyle w:val="Compact"/>
            </w:pPr>
            <w:r>
              <w:t xml:space="preserve">C</w:t>
            </w:r>
          </w:p>
        </w:tc>
        <w:tc>
          <w:tcPr/>
          <w:p>
            <w:pPr>
              <w:pStyle w:val="Compact"/>
            </w:pPr>
            <w:r>
              <w:t xml:space="preserve">Source Code (selected excerpts)</w:t>
            </w:r>
          </w:p>
        </w:tc>
      </w:tr>
      <w:tr>
        <w:tc>
          <w:tcPr/>
          <w:p>
            <w:pPr>
              <w:pStyle w:val="Compact"/>
            </w:pPr>
            <w:r>
              <w:t xml:space="preserve">D</w:t>
            </w:r>
          </w:p>
        </w:tc>
        <w:tc>
          <w:tcPr/>
          <w:p>
            <w:pPr>
              <w:pStyle w:val="Compact"/>
            </w:pPr>
            <w:r>
              <w:t xml:space="preserve">User Manual</w:t>
            </w:r>
          </w:p>
        </w:tc>
      </w:tr>
      <w:tr>
        <w:tc>
          <w:tcPr/>
          <w:p>
            <w:pPr>
              <w:pStyle w:val="Compact"/>
            </w:pPr>
            <w:r>
              <w:t xml:space="preserve">E</w:t>
            </w:r>
          </w:p>
        </w:tc>
        <w:tc>
          <w:tcPr/>
          <w:p>
            <w:pPr>
              <w:pStyle w:val="Compact"/>
            </w:pPr>
            <w:r>
              <w:t xml:space="preserve">Installation Guide</w:t>
            </w:r>
          </w:p>
        </w:tc>
      </w:tr>
      <w:tr>
        <w:tc>
          <w:tcPr/>
          <w:p>
            <w:pPr>
              <w:pStyle w:val="Compact"/>
            </w:pPr>
            <w:r>
              <w:t xml:space="preserve">F</w:t>
            </w:r>
          </w:p>
        </w:tc>
        <w:tc>
          <w:tcPr/>
          <w:p>
            <w:pPr>
              <w:pStyle w:val="Compact"/>
            </w:pPr>
            <w:r>
              <w:t xml:space="preserve">Test Cases</w:t>
            </w:r>
          </w:p>
        </w:tc>
      </w:tr>
      <w:tr>
        <w:tc>
          <w:tcPr/>
          <w:p>
            <w:pPr>
              <w:pStyle w:val="Compact"/>
            </w:pPr>
            <w:r>
              <w:t xml:space="preserve">G</w:t>
            </w:r>
          </w:p>
        </w:tc>
        <w:tc>
          <w:tcPr/>
          <w:p>
            <w:pPr>
              <w:pStyle w:val="Compact"/>
            </w:pPr>
            <w:r>
              <w:t xml:space="preserve">Gantt Chart</w:t>
            </w:r>
          </w:p>
        </w:tc>
      </w:tr>
      <w:tr>
        <w:tc>
          <w:tcPr/>
          <w:p>
            <w:pPr>
              <w:pStyle w:val="Compact"/>
            </w:pPr>
            <w:r>
              <w:t xml:space="preserve">H</w:t>
            </w:r>
          </w:p>
        </w:tc>
        <w:tc>
          <w:tcPr/>
          <w:p>
            <w:pPr>
              <w:pStyle w:val="Compact"/>
            </w:pPr>
            <w:r>
              <w:t xml:space="preserve">Budget</w:t>
            </w:r>
          </w:p>
        </w:tc>
      </w:tr>
      <w:tr>
        <w:tc>
          <w:tcPr/>
          <w:p>
            <w:pPr>
              <w:pStyle w:val="Compact"/>
            </w:pPr>
            <w:r>
              <w:t xml:space="preserve">I</w:t>
            </w:r>
          </w:p>
        </w:tc>
        <w:tc>
          <w:tcPr/>
          <w:p>
            <w:pPr>
              <w:pStyle w:val="Compact"/>
            </w:pPr>
            <w:r>
              <w:t xml:space="preserve">Additional Screenshots</w:t>
            </w:r>
          </w:p>
        </w:tc>
      </w:tr>
      <w:tr>
        <w:tc>
          <w:tcPr/>
          <w:p>
            <w:pPr>
              <w:pStyle w:val="Compact"/>
            </w:pPr>
            <w:r>
              <w:t xml:space="preserve">J</w:t>
            </w:r>
          </w:p>
        </w:tc>
        <w:tc>
          <w:tcPr/>
          <w:p>
            <w:pPr>
              <w:pStyle w:val="Compact"/>
            </w:pPr>
            <w:r>
              <w:t xml:space="preserve">Full Entity Relationship Diagram</w:t>
            </w:r>
          </w:p>
        </w:tc>
      </w:tr>
    </w:tbl>
    <w:bookmarkEnd w:id="15"/>
    <w:bookmarkStart w:id="23" w:name="chapter-one-introduction"/>
    <w:p>
      <w:pPr>
        <w:pStyle w:val="Heading1"/>
      </w:pPr>
      <w:r>
        <w:t xml:space="preserve">CHAPTER ONE: INTRODUCTION</w:t>
      </w:r>
    </w:p>
    <w:bookmarkStart w:id="16" w:name="background-of-the-study"/>
    <w:p>
      <w:pPr>
        <w:pStyle w:val="Heading2"/>
      </w:pPr>
      <w:r>
        <w:t xml:space="preserve">1.1 Background of the Study</w:t>
      </w:r>
    </w:p>
    <w:p>
      <w:pPr>
        <w:pStyle w:val="FirstParagraph"/>
      </w:pPr>
      <w:r>
        <w:t xml:space="preserve">NGOs depend on credible stewardship of donations. Digital payment confirmation does not, by itself, show a donor whether a contribution was recorded correctly or whether later disbursement followed agreed controls. Tanzania is an appropriate setting for a locally usable solution because mobile money has expanded access to financial services</w:t>
      </w:r>
      <w:r>
        <w:t xml:space="preserve"> </w:t>
      </w:r>
      <w:r>
        <w:t xml:space="preserve">(</w:t>
      </w:r>
      <w:hyperlink w:anchor="ref-worldbank2017">
        <w:r>
          <w:rPr>
            <w:rStyle w:val="Hyperlink"/>
          </w:rPr>
          <w:t xml:space="preserve">World Bank, 2017</w:t>
        </w:r>
      </w:hyperlink>
      <w:r>
        <w:t xml:space="preserve">)</w:t>
      </w:r>
      <w:r>
        <w:t xml:space="preserve">. Blockchain can preserve a verifiable record of material events, although it does not remove governance and privacy responsibilities</w:t>
      </w:r>
      <w:r>
        <w:t xml:space="preserve"> </w:t>
      </w:r>
      <w:r>
        <w:t xml:space="preserve">(</w:t>
      </w:r>
      <w:hyperlink w:anchor="ref-howson2021">
        <w:r>
          <w:rPr>
            <w:rStyle w:val="Hyperlink"/>
          </w:rPr>
          <w:t xml:space="preserve">Howson, 2021</w:t>
        </w:r>
      </w:hyperlink>
      <w:r>
        <w:t xml:space="preserve">;</w:t>
      </w:r>
      <w:r>
        <w:t xml:space="preserve"> </w:t>
      </w:r>
      <w:hyperlink w:anchor="ref-sung2023">
        <w:r>
          <w:rPr>
            <w:rStyle w:val="Hyperlink"/>
          </w:rPr>
          <w:t xml:space="preserve">Sung et al., 2023</w:t>
        </w:r>
      </w:hyperlink>
      <w:r>
        <w:t xml:space="preserve">)</w:t>
      </w:r>
      <w:r>
        <w:t xml:space="preserve">.</w:t>
      </w:r>
    </w:p>
    <w:p>
      <w:pPr>
        <w:pStyle w:val="BodyText"/>
      </w:pPr>
      <w:r>
        <w:t xml:space="preserve">ChangiaTanzania is a web-based donation management system. PostgreSQL is the operational source of truth; Ethereum stores minimal cryptographic proofs after verified payment or completed disbursement. Donors need no cryptocurrency wallet. The system supports donors, verified fundraisers and administrators, with campaign review, beneficiary verification, controlled disbursements, public receipt verification, reporting, notifications and audit records.</w:t>
      </w:r>
    </w:p>
    <w:bookmarkEnd w:id="16"/>
    <w:bookmarkStart w:id="17" w:name="problem-statement"/>
    <w:p>
      <w:pPr>
        <w:pStyle w:val="Heading2"/>
      </w:pPr>
      <w:r>
        <w:t xml:space="preserve">1.2 Problem Statement</w:t>
      </w:r>
    </w:p>
    <w:p>
      <w:pPr>
        <w:pStyle w:val="FirstParagraph"/>
      </w:pPr>
      <w:r>
        <w:t xml:space="preserve">Conventional donation workflows often separate payment collection, campaign administration and utilisation reporting. A donor may receive an acknowledgement but lack an independent way to check the integrity of a later record or trace a completed disbursement. Cryptocurrency-first charity platforms can improve traceability but do not suit users who normally use local mobile-money services. The problem addressed is the absence of a practical, role-controlled platform that combines familiar Tanzanian payment rails with privacy-preserving, verifiable transaction proofs.</w:t>
      </w:r>
    </w:p>
    <w:bookmarkEnd w:id="17"/>
    <w:bookmarkStart w:id="18" w:name="aim-of-the-project"/>
    <w:p>
      <w:pPr>
        <w:pStyle w:val="Heading2"/>
      </w:pPr>
      <w:r>
        <w:t xml:space="preserve">1.3 Aim of the Project</w:t>
      </w:r>
    </w:p>
    <w:p>
      <w:pPr>
        <w:pStyle w:val="FirstParagraph"/>
      </w:pPr>
      <w:r>
        <w:t xml:space="preserve">To design and implement a blockchain-based NGO donation management system that improves transparency, accountability and secure administration of campaigns, donations and beneficiary disbursements while retaining familiar local payment workflows.</w:t>
      </w:r>
    </w:p>
    <w:bookmarkEnd w:id="18"/>
    <w:bookmarkStart w:id="19" w:name="specific-objectives"/>
    <w:p>
      <w:pPr>
        <w:pStyle w:val="Heading2"/>
      </w:pPr>
      <w:r>
        <w:t xml:space="preserve">1.4 Specific Objectives</w:t>
      </w:r>
    </w:p>
    <w:p>
      <w:pPr>
        <w:pStyle w:val="Compact"/>
        <w:numPr>
          <w:ilvl w:val="0"/>
          <w:numId w:val="1001"/>
        </w:numPr>
      </w:pPr>
      <w:r>
        <w:t xml:space="preserve">To implement secure role-based access for donors, fundraisers and administrators.</w:t>
      </w:r>
    </w:p>
    <w:p>
      <w:pPr>
        <w:pStyle w:val="Compact"/>
        <w:numPr>
          <w:ilvl w:val="0"/>
          <w:numId w:val="1001"/>
        </w:numPr>
      </w:pPr>
      <w:r>
        <w:t xml:space="preserve">To implement campaign, beneficiary and donation management with payment confirmation and downloadable receipts.</w:t>
      </w:r>
    </w:p>
    <w:p>
      <w:pPr>
        <w:pStyle w:val="Compact"/>
        <w:numPr>
          <w:ilvl w:val="0"/>
          <w:numId w:val="1001"/>
        </w:numPr>
      </w:pPr>
      <w:r>
        <w:t xml:space="preserve">To record privacy-preserving proofs of completed donations and disbursements on Ethereum and provide public receipt verification.</w:t>
      </w:r>
    </w:p>
    <w:p>
      <w:pPr>
        <w:pStyle w:val="Compact"/>
        <w:numPr>
          <w:ilvl w:val="0"/>
          <w:numId w:val="1001"/>
        </w:numPr>
      </w:pPr>
      <w:r>
        <w:t xml:space="preserve">To implement accountable fund release through beneficiary verification, balance checks, separation of duties, audit logging and reporting.</w:t>
      </w:r>
    </w:p>
    <w:p>
      <w:pPr>
        <w:pStyle w:val="Compact"/>
        <w:numPr>
          <w:ilvl w:val="0"/>
          <w:numId w:val="1001"/>
        </w:numPr>
      </w:pPr>
      <w:r>
        <w:t xml:space="preserve">To implement decision support through explainable risk assessment, review queues, notifications and dashboards.</w:t>
      </w:r>
    </w:p>
    <w:bookmarkEnd w:id="19"/>
    <w:bookmarkStart w:id="20" w:name="scope-of-the-project"/>
    <w:p>
      <w:pPr>
        <w:pStyle w:val="Heading2"/>
      </w:pPr>
      <w:r>
        <w:t xml:space="preserve">1.6 Scope of the Project</w:t>
      </w:r>
    </w:p>
    <w:p>
      <w:pPr>
        <w:pStyle w:val="FirstParagraph"/>
      </w:pPr>
      <w:r>
        <w:t xml:space="preserve">The project delivers a responsive web system for registered NGOs and community fundraisers: account security, campaigns, beneficiaries, donations, payment-provider abstraction, receipts, notifications, reports, audit logs and public blockchain-proof lookup. The system does not process cryptocurrency payments or store PII on-chain.</w:t>
      </w:r>
    </w:p>
    <w:bookmarkEnd w:id="20"/>
    <w:bookmarkStart w:id="21" w:name="significance-of-the-project"/>
    <w:p>
      <w:pPr>
        <w:pStyle w:val="Heading2"/>
      </w:pPr>
      <w:r>
        <w:t xml:space="preserve">1.7 Significance of the Project</w:t>
      </w:r>
    </w:p>
    <w:p>
      <w:pPr>
        <w:pStyle w:val="FirstParagraph"/>
      </w:pPr>
      <w:r>
        <w:t xml:space="preserve">Donors receive receipts, a personal history and a public verification route that reveals no donor identity. NGOs and fundraisers receive structured campaign, beneficiary and reporting workflows. Administrators receive separation-of-duties controls, audit records and exports. The work demonstrates a practical integration of conventional payment services, a relational application and public-chain proof without forcing users to understand wallets or digital assets.</w:t>
      </w:r>
    </w:p>
    <w:bookmarkEnd w:id="21"/>
    <w:bookmarkStart w:id="22" w:name="limitations"/>
    <w:p>
      <w:pPr>
        <w:pStyle w:val="Heading2"/>
      </w:pPr>
      <w:r>
        <w:t xml:space="preserve">1.8 Limitations</w:t>
      </w:r>
    </w:p>
    <w:p>
      <w:pPr>
        <w:pStyle w:val="FirstParagraph"/>
      </w:pPr>
      <w:r>
        <w:t xml:space="preserve">The current public-chain configuration is a test environment; live merchant credentials and production chain custody are outside this report. Local uploads should be replaced by durable object storage before production. Cloud free-tier cold starts can affect initial latency. The response-level questionnaire export is unavailable, so this report presents only its documented themes and does not invent quantitative results.</w:t>
      </w:r>
    </w:p>
    <w:bookmarkEnd w:id="22"/>
    <w:bookmarkEnd w:id="23"/>
    <w:bookmarkStart w:id="32" w:name="chapter-two-literature-review"/>
    <w:p>
      <w:pPr>
        <w:pStyle w:val="Heading1"/>
      </w:pPr>
      <w:r>
        <w:t xml:space="preserve">CHAPTER TWO: LITERATURE REVIEW</w:t>
      </w:r>
    </w:p>
    <w:bookmarkStart w:id="24" w:name="introduction"/>
    <w:p>
      <w:pPr>
        <w:pStyle w:val="Heading2"/>
      </w:pPr>
      <w:r>
        <w:t xml:space="preserve">2.1 Introduction</w:t>
      </w:r>
    </w:p>
    <w:p>
      <w:pPr>
        <w:pStyle w:val="FirstParagraph"/>
      </w:pPr>
      <w:r>
        <w:t xml:space="preserve">This chapter reviews the concepts and prior systems that inform ChangiaTanzania, distinguishing a blockchain proof ledger from the operational database.</w:t>
      </w:r>
    </w:p>
    <w:bookmarkEnd w:id="24"/>
    <w:bookmarkStart w:id="25" w:name="theoretical-literature-review"/>
    <w:p>
      <w:pPr>
        <w:pStyle w:val="Heading2"/>
      </w:pPr>
      <w:r>
        <w:t xml:space="preserve">2.2 Theoretical Literature Review</w:t>
      </w:r>
    </w:p>
    <w:p>
      <w:pPr>
        <w:pStyle w:val="FirstParagraph"/>
      </w:pPr>
      <w:r>
        <w:t xml:space="preserve">Blockchain is a replicated ledger whose records are cryptographically linked. In this project its role is deliberately narrow: a hash of a completed event can later be reconciled without publishing personal data. Donation-traceability research identifies immutable event records and end-to-end traceability as a response to uncertainty over charitable funds</w:t>
      </w:r>
      <w:r>
        <w:t xml:space="preserve"> </w:t>
      </w:r>
      <w:r>
        <w:t xml:space="preserve">(</w:t>
      </w:r>
      <w:hyperlink w:anchor="ref-alabdulkarim2022">
        <w:r>
          <w:rPr>
            <w:rStyle w:val="Hyperlink"/>
          </w:rPr>
          <w:t xml:space="preserve">Alabdulkarim et al.</w:t>
        </w:r>
        <w:r>
          <w:rPr>
            <w:rStyle w:val="Hyperlink"/>
          </w:rPr>
          <w:t xml:space="preserve">, 2022</w:t>
        </w:r>
      </w:hyperlink>
      <w:r>
        <w:t xml:space="preserve">)</w:t>
      </w:r>
      <w:r>
        <w:t xml:space="preserve">. Sung et al. found that transparency, immutability and efficiency features of a blockchain donation system improved perceived nonprofit trustworthiness</w:t>
      </w:r>
      <w:r>
        <w:t xml:space="preserve"> </w:t>
      </w:r>
      <w:r>
        <w:t xml:space="preserve">(</w:t>
      </w:r>
      <w:hyperlink w:anchor="ref-sung2023">
        <w:r>
          <w:rPr>
            <w:rStyle w:val="Hyperlink"/>
          </w:rPr>
          <w:t xml:space="preserve">Sung et al., 2023</w:t>
        </w:r>
      </w:hyperlink>
      <w:r>
        <w:t xml:space="preserve">)</w:t>
      </w:r>
      <w:r>
        <w:t xml:space="preserve">.</w:t>
      </w:r>
    </w:p>
    <w:p>
      <w:pPr>
        <w:pStyle w:val="BodyText"/>
      </w:pPr>
      <w:r>
        <w:t xml:space="preserve">Technology is not a substitute for governance. Howson identifies trade-offs between transparency, power and beneficiary interests in crypto-giving</w:t>
      </w:r>
      <w:r>
        <w:t xml:space="preserve"> </w:t>
      </w:r>
      <w:r>
        <w:t xml:space="preserve">(</w:t>
      </w:r>
      <w:hyperlink w:anchor="ref-howson2021">
        <w:r>
          <w:rPr>
            <w:rStyle w:val="Hyperlink"/>
          </w:rPr>
          <w:t xml:space="preserve">Howson, 2021</w:t>
        </w:r>
      </w:hyperlink>
      <w:r>
        <w:t xml:space="preserve">)</w:t>
      </w:r>
      <w:r>
        <w:t xml:space="preserve">. ChangiaTanzania therefore holds personal and operational data off-chain, exposes only a restricted verification result, and uses role separation and audit logs for governance.</w:t>
      </w:r>
    </w:p>
    <w:bookmarkEnd w:id="25"/>
    <w:bookmarkStart w:id="26" w:name="empirical-literature-review"/>
    <w:p>
      <w:pPr>
        <w:pStyle w:val="Heading2"/>
      </w:pPr>
      <w:r>
        <w:t xml:space="preserve">2.3 Empirical Literature Review</w:t>
      </w:r>
    </w:p>
    <w:p>
      <w:pPr>
        <w:pStyle w:val="FirstParagraph"/>
      </w:pPr>
      <w:r>
        <w:t xml:space="preserve">Charity frameworks commonly emphasise traceability, notification and auditable histories</w:t>
      </w:r>
      <w:r>
        <w:t xml:space="preserve"> </w:t>
      </w:r>
      <w:r>
        <w:t xml:space="preserve">(</w:t>
      </w:r>
      <w:hyperlink w:anchor="ref-alabdulkarim2022">
        <w:r>
          <w:rPr>
            <w:rStyle w:val="Hyperlink"/>
          </w:rPr>
          <w:t xml:space="preserve">Alabdulkarim et al.</w:t>
        </w:r>
        <w:r>
          <w:rPr>
            <w:rStyle w:val="Hyperlink"/>
          </w:rPr>
          <w:t xml:space="preserve">, 2022</w:t>
        </w:r>
      </w:hyperlink>
      <w:r>
        <w:t xml:space="preserve">;</w:t>
      </w:r>
      <w:r>
        <w:t xml:space="preserve"> </w:t>
      </w:r>
      <w:hyperlink w:anchor="ref-muneeb2020">
        <w:r>
          <w:rPr>
            <w:rStyle w:val="Hyperlink"/>
          </w:rPr>
          <w:t xml:space="preserve">Muneeb et al.</w:t>
        </w:r>
        <w:r>
          <w:rPr>
            <w:rStyle w:val="Hyperlink"/>
          </w:rPr>
          <w:t xml:space="preserve">, 2020</w:t>
        </w:r>
      </w:hyperlink>
      <w:r>
        <w:t xml:space="preserve">)</w:t>
      </w:r>
      <w:r>
        <w:t xml:space="preserve">. Their cryptocurrency orientation creates an adoption mismatch for a mobile-money context. World Bank analysis describes Tanzania’s mobile-money expansion as a major contributor to financial inclusion</w:t>
      </w:r>
      <w:r>
        <w:t xml:space="preserve"> </w:t>
      </w:r>
      <w:r>
        <w:t xml:space="preserve">(</w:t>
      </w:r>
      <w:hyperlink w:anchor="ref-worldbank2017">
        <w:r>
          <w:rPr>
            <w:rStyle w:val="Hyperlink"/>
          </w:rPr>
          <w:t xml:space="preserve">World Bank, 2017</w:t>
        </w:r>
      </w:hyperlink>
      <w:r>
        <w:t xml:space="preserve">)</w:t>
      </w:r>
      <w:r>
        <w:t xml:space="preserve">. ChangiaTanzania consequently verifies a fiat payment first, then creates a database donation and records its proof asynchronously.</w:t>
      </w:r>
    </w:p>
    <w:bookmarkEnd w:id="26"/>
    <w:bookmarkStart w:id="27" w:name="existing-systems-review"/>
    <w:p>
      <w:pPr>
        <w:pStyle w:val="Heading2"/>
      </w:pPr>
      <w:r>
        <w:t xml:space="preserve">2.4 Existing Systems Review</w:t>
      </w:r>
    </w:p>
    <w:p>
      <w:pPr>
        <w:pStyle w:val="FirstParagraph"/>
      </w:pPr>
      <w:r>
        <w:t xml:space="preserve">Generic crowdfunding platforms demonstrate campaign pages, online collection and receipts, but their operational controls are not necessarily visible to an individual donor. Blockchain charity frameworks offer stronger traceability but frequently assume cryptocurrency payment and wallet use</w:t>
      </w:r>
      <w:r>
        <w:t xml:space="preserve"> </w:t>
      </w:r>
      <w:r>
        <w:t xml:space="preserve">(</w:t>
      </w:r>
      <w:hyperlink w:anchor="ref-muneeb2020">
        <w:r>
          <w:rPr>
            <w:rStyle w:val="Hyperlink"/>
          </w:rPr>
          <w:t xml:space="preserve">Muneeb et al.</w:t>
        </w:r>
        <w:r>
          <w:rPr>
            <w:rStyle w:val="Hyperlink"/>
          </w:rPr>
          <w:t xml:space="preserve">, 2020</w:t>
        </w:r>
      </w:hyperlink>
      <w:r>
        <w:t xml:space="preserve">)</w:t>
      </w:r>
      <w:r>
        <w:t xml:space="preserve">. Neither pattern alone combines local fiat-payment abstraction, beneficiary verification, campaign-owner controls, cumulative self-release limits and privacy-preserving public proof lookup.</w:t>
      </w:r>
    </w:p>
    <w:bookmarkEnd w:id="27"/>
    <w:bookmarkStart w:id="28" w:name="project-research-gap"/>
    <w:p>
      <w:pPr>
        <w:pStyle w:val="Heading2"/>
      </w:pPr>
      <w:r>
        <w:t xml:space="preserve">2.5 Project Research Gap</w:t>
      </w:r>
    </w:p>
    <w:p>
      <w:pPr>
        <w:pStyle w:val="FirstParagraph"/>
      </w:pPr>
      <w:r>
        <w:t xml:space="preserve">The gap is an implementable accountability workflow that does not move ordinary donors into cryptocurrency. ChangiaTanzania keeps donation value off-chain, makes PostgreSQL the authoritative operational record, and anchors a deterministic proof hash only after verified completion. Its fund-release workflow adds governance that a proof alone cannot supply.</w:t>
      </w:r>
    </w:p>
    <w:bookmarkEnd w:id="28"/>
    <w:bookmarkStart w:id="29" w:name="proposed-system"/>
    <w:p>
      <w:pPr>
        <w:pStyle w:val="Heading2"/>
      </w:pPr>
      <w:r>
        <w:t xml:space="preserve">2.6 Proposed System</w:t>
      </w:r>
    </w:p>
    <w:p>
      <w:pPr>
        <w:pStyle w:val="FirstParagraph"/>
      </w:pPr>
      <w:r>
        <w:t xml:space="preserve">A donor browses an active campaign, starts a payment session and receives a receipt after a verified callback. The transaction is committed atomically, totals are updated and an asynchronous service records proof. Fundraisers own their campaigns but cannot publish without approval; beneficiaries remain administrator-verified; disbursements are constrained by available balance and approval rules.</w:t>
      </w:r>
    </w:p>
    <w:bookmarkEnd w:id="29"/>
    <w:bookmarkStart w:id="30" w:name="conceptual-framework"/>
    <w:p>
      <w:pPr>
        <w:pStyle w:val="Heading2"/>
      </w:pPr>
      <w:r>
        <w:t xml:space="preserve">2.7 Conceptual Framework</w:t>
      </w:r>
    </w:p>
    <w:p>
      <w:pPr>
        <w:pStyle w:val="FirstParagraph"/>
      </w:pPr>
      <w:r>
        <w:t xml:space="preserve">Inputs are credentials, campaign data, payment callbacks and payout requests. Processing validates input, applies roles and business rules, writes PostgreSQL transactions, produces notifications and queues proof recording. Outputs are receipts, dashboards, exports, audit entries and verification results. Public verification, administrative reviews and risk assessments form the feedback loop.</w:t>
      </w:r>
    </w:p>
    <w:bookmarkEnd w:id="30"/>
    <w:bookmarkStart w:id="31" w:name="strengths-of-the-proposed-system"/>
    <w:p>
      <w:pPr>
        <w:pStyle w:val="Heading2"/>
      </w:pPr>
      <w:r>
        <w:t xml:space="preserve">2.8 Strengths of the Proposed System</w:t>
      </w:r>
    </w:p>
    <w:p>
      <w:pPr>
        <w:pStyle w:val="FirstParagraph"/>
      </w:pPr>
      <w:r>
        <w:t xml:space="preserve">Key strengths are familiar payment journeys, operational data separated from immutable proof data, role-based governance, idempotent payment finalisation, public verification without PII disclosure and provider abstraction. A pending chain write never blocks a successfully verified payment and can later be reconciled.</w:t>
      </w:r>
    </w:p>
    <w:bookmarkEnd w:id="31"/>
    <w:bookmarkEnd w:id="32"/>
    <w:bookmarkStart w:id="46" w:name="X727c4927f04e6f300de63581dd24e8e14931ce9"/>
    <w:p>
      <w:pPr>
        <w:pStyle w:val="Heading1"/>
      </w:pPr>
      <w:r>
        <w:t xml:space="preserve">CHAPTER THREE: PROJECT RESEARCH METHODOLOGY</w:t>
      </w:r>
    </w:p>
    <w:bookmarkStart w:id="33" w:name="introduction-1"/>
    <w:p>
      <w:pPr>
        <w:pStyle w:val="Heading2"/>
      </w:pPr>
      <w:r>
        <w:t xml:space="preserve">3.1 Introduction</w:t>
      </w:r>
    </w:p>
    <w:p>
      <w:pPr>
        <w:pStyle w:val="FirstParagraph"/>
      </w:pPr>
      <w:r>
        <w:t xml:space="preserve">The project used applied systems development: early user-problem evidence was translated into requirements, then delivered through iterative implementation and technical verification.</w:t>
      </w:r>
    </w:p>
    <w:bookmarkEnd w:id="33"/>
    <w:bookmarkStart w:id="34" w:name="research-design"/>
    <w:p>
      <w:pPr>
        <w:pStyle w:val="Heading2"/>
      </w:pPr>
      <w:r>
        <w:t xml:space="preserve">3.2 Research Design</w:t>
      </w:r>
    </w:p>
    <w:p>
      <w:pPr>
        <w:pStyle w:val="FirstParagraph"/>
      </w:pPr>
      <w:r>
        <w:t xml:space="preserve">An iterative Agile approach was used. The system was built in vertical stages: public campaigns, authentication, donations, blockchain proof, administration, community fundraising and payment/deployment improvements. A Google Forms questionnaire provided problem and preference themes; document review and observation supplemented it.</w:t>
      </w:r>
    </w:p>
    <w:bookmarkEnd w:id="34"/>
    <w:bookmarkStart w:id="35" w:name="study-area"/>
    <w:p>
      <w:pPr>
        <w:pStyle w:val="Heading2"/>
      </w:pPr>
      <w:r>
        <w:t xml:space="preserve">3.3 Study Area</w:t>
      </w:r>
    </w:p>
    <w:p>
      <w:pPr>
        <w:pStyle w:val="FirstParagraph"/>
      </w:pPr>
      <w:r>
        <w:t xml:space="preserve">The context was Tanzania. The questionnaire was shared through Tanzania Red Cross Society cooperation chat groups and among students, focusing on donation trust, tracking and payment preferences.</w:t>
      </w:r>
    </w:p>
    <w:bookmarkEnd w:id="35"/>
    <w:bookmarkStart w:id="36" w:name="target-population-and-their-categories"/>
    <w:p>
      <w:pPr>
        <w:pStyle w:val="Heading2"/>
      </w:pPr>
      <w:r>
        <w:t xml:space="preserve">3.4 Target Population and their Categories</w:t>
      </w:r>
    </w:p>
    <w:p>
      <w:pPr>
        <w:pStyle w:val="FirstParagraph"/>
      </w:pPr>
      <w:r>
        <w:t xml:space="preserve">The intended population was potential donors, NGO stakeholders and students. Administrative workflows were analysed from the perspectives of a neutral NGO operator and a community fundraiser.</w:t>
      </w:r>
    </w:p>
    <w:bookmarkEnd w:id="36"/>
    <w:bookmarkStart w:id="37" w:name="sample-size"/>
    <w:p>
      <w:pPr>
        <w:pStyle w:val="Heading2"/>
      </w:pPr>
      <w:r>
        <w:t xml:space="preserve">3.6 Sample Size</w:t>
      </w:r>
    </w:p>
    <w:p>
      <w:pPr>
        <w:pStyle w:val="FirstParagraph"/>
      </w:pPr>
      <w:r>
        <w:t xml:space="preserve">The response export and collection dates were not retained with the repository. This report therefore does not claim a numerical sample size or inferential findings.</w:t>
      </w:r>
    </w:p>
    <w:bookmarkEnd w:id="37"/>
    <w:bookmarkStart w:id="38" w:name="data-collection-methods"/>
    <w:p>
      <w:pPr>
        <w:pStyle w:val="Heading2"/>
      </w:pPr>
      <w:r>
        <w:t xml:space="preserve">3.7 Data Collection Methods</w:t>
      </w:r>
    </w:p>
    <w:p>
      <w:pPr>
        <w:pStyle w:val="FirstParagraph"/>
      </w:pPr>
      <w:r>
        <w:t xml:space="preserve">The questionnaire collected early user views. Document review examined requirements, platform documentation and donation-control literature. Observation examined expected platform behaviour and the developed application. Interviews were not used within the available project time.</w:t>
      </w:r>
    </w:p>
    <w:bookmarkEnd w:id="38"/>
    <w:bookmarkStart w:id="39" w:name="data-collection-instruments"/>
    <w:p>
      <w:pPr>
        <w:pStyle w:val="Heading2"/>
      </w:pPr>
      <w:r>
        <w:t xml:space="preserve">3.8 Data Collection Instruments</w:t>
      </w:r>
    </w:p>
    <w:p>
      <w:pPr>
        <w:pStyle w:val="FirstParagraph"/>
      </w:pPr>
      <w:r>
        <w:t xml:space="preserve">The instruments were a structured Google Forms questionnaire and document-review matrix. Questionnaire themes concerned trust, tracking, transparency, blockchain verification and donation management.</w:t>
      </w:r>
    </w:p>
    <w:bookmarkEnd w:id="39"/>
    <w:bookmarkStart w:id="40" w:name="data-required-for-each-objective"/>
    <w:p>
      <w:pPr>
        <w:pStyle w:val="Heading2"/>
      </w:pPr>
      <w:r>
        <w:t xml:space="preserve">3.9 Data Required for Each Objective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Evidence</w:t>
            </w:r>
          </w:p>
        </w:tc>
        <w:tc>
          <w:tcPr/>
          <w:p>
            <w:pPr>
              <w:pStyle w:val="Compact"/>
            </w:pPr>
            <w:r>
              <w:t xml:space="preserve">Method</w:t>
            </w:r>
          </w:p>
        </w:tc>
      </w:tr>
      <w:tr>
        <w:tc>
          <w:tcPr/>
          <w:p>
            <w:pPr>
              <w:pStyle w:val="Compact"/>
            </w:pPr>
            <w:r>
              <w:t xml:space="preserve">Secure access</w:t>
            </w:r>
          </w:p>
        </w:tc>
        <w:tc>
          <w:tcPr/>
          <w:p>
            <w:pPr>
              <w:pStyle w:val="Compact"/>
            </w:pPr>
            <w:r>
              <w:t xml:space="preserve">roles, sessions and access rules</w:t>
            </w:r>
          </w:p>
        </w:tc>
        <w:tc>
          <w:tcPr/>
          <w:p>
            <w:pPr>
              <w:pStyle w:val="Compact"/>
            </w:pPr>
            <w:r>
              <w:t xml:space="preserve">source review and API tests</w:t>
            </w:r>
          </w:p>
        </w:tc>
      </w:tr>
      <w:tr>
        <w:tc>
          <w:tcPr/>
          <w:p>
            <w:pPr>
              <w:pStyle w:val="Compact"/>
            </w:pPr>
            <w:r>
              <w:t xml:space="preserve">Donation workflow</w:t>
            </w:r>
          </w:p>
        </w:tc>
        <w:tc>
          <w:tcPr/>
          <w:p>
            <w:pPr>
              <w:pStyle w:val="Compact"/>
            </w:pPr>
            <w:r>
              <w:t xml:space="preserve">payment, receipt and history</w:t>
            </w:r>
          </w:p>
        </w:tc>
        <w:tc>
          <w:tcPr/>
          <w:p>
            <w:pPr>
              <w:pStyle w:val="Compact"/>
            </w:pPr>
            <w:r>
              <w:t xml:space="preserve">E2E tests</w:t>
            </w:r>
          </w:p>
        </w:tc>
      </w:tr>
      <w:tr>
        <w:tc>
          <w:tcPr/>
          <w:p>
            <w:pPr>
              <w:pStyle w:val="Compact"/>
            </w:pPr>
            <w:r>
              <w:t xml:space="preserve">Proof</w:t>
            </w:r>
          </w:p>
        </w:tc>
        <w:tc>
          <w:tcPr/>
          <w:p>
            <w:pPr>
              <w:pStyle w:val="Compact"/>
            </w:pPr>
            <w:r>
              <w:t xml:space="preserve">hash, transaction and lookup</w:t>
            </w:r>
          </w:p>
        </w:tc>
        <w:tc>
          <w:tcPr/>
          <w:p>
            <w:pPr>
              <w:pStyle w:val="Compact"/>
            </w:pPr>
            <w:r>
              <w:t xml:space="preserve">contract/API tests</w:t>
            </w:r>
          </w:p>
        </w:tc>
      </w:tr>
      <w:tr>
        <w:tc>
          <w:tcPr/>
          <w:p>
            <w:pPr>
              <w:pStyle w:val="Compact"/>
            </w:pPr>
            <w:r>
              <w:t xml:space="preserve">Accountable payout</w:t>
            </w:r>
          </w:p>
        </w:tc>
        <w:tc>
          <w:tcPr/>
          <w:p>
            <w:pPr>
              <w:pStyle w:val="Compact"/>
            </w:pPr>
            <w:r>
              <w:t xml:space="preserve">beneficiary, balance and approval controls</w:t>
            </w:r>
          </w:p>
        </w:tc>
        <w:tc>
          <w:tcPr/>
          <w:p>
            <w:pPr>
              <w:pStyle w:val="Compact"/>
            </w:pPr>
            <w:r>
              <w:t xml:space="preserve">business rules and E2E tests</w:t>
            </w:r>
          </w:p>
        </w:tc>
      </w:tr>
      <w:tr>
        <w:tc>
          <w:tcPr/>
          <w:p>
            <w:pPr>
              <w:pStyle w:val="Compact"/>
            </w:pPr>
            <w:r>
              <w:t xml:space="preserve">Administration</w:t>
            </w:r>
          </w:p>
        </w:tc>
        <w:tc>
          <w:tcPr/>
          <w:p>
            <w:pPr>
              <w:pStyle w:val="Compact"/>
            </w:pPr>
            <w:r>
              <w:t xml:space="preserve">reports, notifications and audit trail</w:t>
            </w:r>
          </w:p>
        </w:tc>
        <w:tc>
          <w:tcPr/>
          <w:p>
            <w:pPr>
              <w:pStyle w:val="Compact"/>
            </w:pPr>
            <w:r>
              <w:t xml:space="preserve">source review and E2E tests</w:t>
            </w:r>
          </w:p>
        </w:tc>
      </w:tr>
    </w:tbl>
    <w:bookmarkEnd w:id="40"/>
    <w:bookmarkStart w:id="41" w:name="ethical-considerations"/>
    <w:p>
      <w:pPr>
        <w:pStyle w:val="Heading2"/>
      </w:pPr>
      <w:r>
        <w:t xml:space="preserve">3.10 Ethical Considerations</w:t>
      </w:r>
    </w:p>
    <w:p>
      <w:pPr>
        <w:pStyle w:val="FirstParagraph"/>
      </w:pPr>
      <w:r>
        <w:t xml:space="preserve">Participation was voluntary and findings are reported only as aggregate themes. Public verification returns campaign, amount, date and transaction reference but no donor identity, email or payment reference. On-chain data is a proof hash rather than personal data.</w:t>
      </w:r>
    </w:p>
    <w:bookmarkEnd w:id="41"/>
    <w:bookmarkStart w:id="42" w:name="data-analysis-methods"/>
    <w:p>
      <w:pPr>
        <w:pStyle w:val="Heading2"/>
      </w:pPr>
      <w:r>
        <w:t xml:space="preserve">3.11 Data Analysis Methods</w:t>
      </w:r>
    </w:p>
    <w:p>
      <w:pPr>
        <w:pStyle w:val="FirstParagraph"/>
      </w:pPr>
      <w:r>
        <w:t xml:space="preserve">The retained questionnaire findings were analysed thematically. Technical evidence was analysed through requirements traceability, source inspection, automated test results and manual workflow verification. No quantitative result is presented without its source data.</w:t>
      </w:r>
    </w:p>
    <w:bookmarkEnd w:id="42"/>
    <w:bookmarkStart w:id="43" w:name="development-methodology"/>
    <w:p>
      <w:pPr>
        <w:pStyle w:val="Heading2"/>
      </w:pPr>
      <w:r>
        <w:t xml:space="preserve">3.12 Development Methodology</w:t>
      </w:r>
    </w:p>
    <w:p>
      <w:pPr>
        <w:pStyle w:val="FirstParagraph"/>
      </w:pPr>
      <w:r>
        <w:t xml:space="preserve">Agile development was appropriate because payments, blockchain and role controls have interdependencies. Each stage added a usable capability and was checked through linting, type checking, builds and targeted end-to-end tests. Git history preserves the iteration record.</w:t>
      </w:r>
    </w:p>
    <w:bookmarkEnd w:id="43"/>
    <w:bookmarkStart w:id="44" w:name="software-and-hardware-used"/>
    <w:p>
      <w:pPr>
        <w:pStyle w:val="Heading2"/>
      </w:pPr>
      <w:r>
        <w:t xml:space="preserve">3.13 Software and Hardware Used</w:t>
      </w:r>
    </w:p>
    <w:p>
      <w:pPr>
        <w:pStyle w:val="FirstParagraph"/>
      </w:pPr>
      <w:r>
        <w:t xml:space="preserve">React, TypeScript, Vite and Tailwind CSS implement the client. Node.js, Express, Drizzle ORM and PostgreSQL implement the server. Solidity, Hardhat and Ethers implement blockchain proof. Development used Windows 11, VS Code, PowerShell, Git and npm; deployment targets are Vercel, Render and Neon PostgreSQL.</w:t>
      </w:r>
    </w:p>
    <w:bookmarkEnd w:id="44"/>
    <w:bookmarkStart w:id="45" w:name="summary"/>
    <w:p>
      <w:pPr>
        <w:pStyle w:val="Heading2"/>
      </w:pPr>
      <w:r>
        <w:t xml:space="preserve">3.14 Summary</w:t>
      </w:r>
    </w:p>
    <w:p>
      <w:pPr>
        <w:pStyle w:val="FirstParagraph"/>
      </w:pPr>
      <w:r>
        <w:t xml:space="preserve">The methodology combines user-problem themes with iterative implementation and reproducible technical verification, while explicitly acknowledging missing response-level survey data.</w:t>
      </w:r>
    </w:p>
    <w:bookmarkEnd w:id="45"/>
    <w:bookmarkEnd w:id="46"/>
    <w:bookmarkStart w:id="55" w:name="chapter-four-data-analysis"/>
    <w:p>
      <w:pPr>
        <w:pStyle w:val="Heading1"/>
      </w:pPr>
      <w:r>
        <w:t xml:space="preserve">CHAPTER FOUR: DATA ANALYSIS</w:t>
      </w:r>
    </w:p>
    <w:bookmarkStart w:id="47" w:name="introduction-2"/>
    <w:p>
      <w:pPr>
        <w:pStyle w:val="Heading2"/>
      </w:pPr>
      <w:r>
        <w:t xml:space="preserve">4.1 Introduction</w:t>
      </w:r>
    </w:p>
    <w:p>
      <w:pPr>
        <w:pStyle w:val="FirstParagraph"/>
      </w:pPr>
      <w:r>
        <w:t xml:space="preserve">This chapter reports evidence available without overstating it: retained questionnaire themes, requirements analysis and reproducible technical tests.</w:t>
      </w:r>
    </w:p>
    <w:bookmarkEnd w:id="47"/>
    <w:bookmarkStart w:id="48" w:name="respondent-demographics"/>
    <w:p>
      <w:pPr>
        <w:pStyle w:val="Heading2"/>
      </w:pPr>
      <w:r>
        <w:t xml:space="preserve">4.2 Respondent Demographics</w:t>
      </w:r>
    </w:p>
    <w:p>
      <w:pPr>
        <w:pStyle w:val="FirstParagraph"/>
      </w:pPr>
      <w:r>
        <w:t xml:space="preserve">The questionnaire was shared through Tanzania Red Cross Society cooperation chat groups and a student population. The original report did not retain individual demographic fields or the response export. Demographic totals and percentages are therefore not reproduced.</w:t>
      </w:r>
    </w:p>
    <w:bookmarkEnd w:id="48"/>
    <w:bookmarkStart w:id="49" w:name="analysis-of-collected-data"/>
    <w:p>
      <w:pPr>
        <w:pStyle w:val="Heading2"/>
      </w:pPr>
      <w:r>
        <w:t xml:space="preserve">4.3 Analysis of Collected Data</w:t>
      </w:r>
    </w:p>
    <w:p>
      <w:pPr>
        <w:pStyle w:val="FirstParagraph"/>
      </w:pPr>
      <w:r>
        <w:t xml:space="preserve">The retained questionnaire summary identified uncertain trust in existing NGO donation systems, difficulty tracking a donation after payment, demand for transparent tracking, support for blockchain-backed records, preference for mobile money, and demand for improved donation management. These are design inputs, not generalisable statistical estimates.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Finding</w:t>
            </w:r>
          </w:p>
        </w:tc>
        <w:tc>
          <w:tcPr/>
          <w:p>
            <w:pPr>
              <w:pStyle w:val="Compact"/>
            </w:pPr>
            <w:r>
              <w:t xml:space="preserve">ChangiaTanzania response</w:t>
            </w:r>
          </w:p>
        </w:tc>
      </w:tr>
      <w:tr>
        <w:tc>
          <w:tcPr/>
          <w:p>
            <w:pPr>
              <w:pStyle w:val="Compact"/>
            </w:pPr>
            <w:r>
              <w:t xml:space="preserve">Uncertain trust</w:t>
            </w:r>
          </w:p>
        </w:tc>
        <w:tc>
          <w:tcPr/>
          <w:p>
            <w:pPr>
              <w:pStyle w:val="Compact"/>
            </w:pPr>
            <w:r>
              <w:t xml:space="preserve">Public receipt verification and audit records</w:t>
            </w:r>
          </w:p>
        </w:tc>
      </w:tr>
      <w:tr>
        <w:tc>
          <w:tcPr/>
          <w:p>
            <w:pPr>
              <w:pStyle w:val="Compact"/>
            </w:pPr>
            <w:r>
              <w:t xml:space="preserve">Tracking is difficult</w:t>
            </w:r>
          </w:p>
        </w:tc>
        <w:tc>
          <w:tcPr/>
          <w:p>
            <w:pPr>
              <w:pStyle w:val="Compact"/>
            </w:pPr>
            <w:r>
              <w:t xml:space="preserve">Receipt, history, campaign progress and proof status</w:t>
            </w:r>
          </w:p>
        </w:tc>
      </w:tr>
      <w:tr>
        <w:tc>
          <w:tcPr/>
          <w:p>
            <w:pPr>
              <w:pStyle w:val="Compact"/>
            </w:pPr>
            <w:r>
              <w:t xml:space="preserve">Transparency is expected</w:t>
            </w:r>
          </w:p>
        </w:tc>
        <w:tc>
          <w:tcPr/>
          <w:p>
            <w:pPr>
              <w:pStyle w:val="Compact"/>
            </w:pPr>
            <w:r>
              <w:t xml:space="preserve">Verifiable donation and disbursement proofs</w:t>
            </w:r>
          </w:p>
        </w:tc>
      </w:tr>
      <w:tr>
        <w:tc>
          <w:tcPr/>
          <w:p>
            <w:pPr>
              <w:pStyle w:val="Compact"/>
            </w:pPr>
            <w:r>
              <w:t xml:space="preserve">Local payment is preferred</w:t>
            </w:r>
          </w:p>
        </w:tc>
        <w:tc>
          <w:tcPr/>
          <w:p>
            <w:pPr>
              <w:pStyle w:val="Compact"/>
            </w:pPr>
            <w:r>
              <w:t xml:space="preserve">Tanzanian payment-provider abstraction</w:t>
            </w:r>
          </w:p>
        </w:tc>
      </w:tr>
      <w:tr>
        <w:tc>
          <w:tcPr/>
          <w:p>
            <w:pPr>
              <w:pStyle w:val="Compact"/>
            </w:pPr>
            <w:r>
              <w:t xml:space="preserve">Management needs improvement</w:t>
            </w:r>
          </w:p>
        </w:tc>
        <w:tc>
          <w:tcPr/>
          <w:p>
            <w:pPr>
              <w:pStyle w:val="Compact"/>
            </w:pPr>
            <w:r>
              <w:t xml:space="preserve">Campaign, beneficiary, payout and reporting modules</w:t>
            </w:r>
          </w:p>
        </w:tc>
      </w:tr>
    </w:tbl>
    <w:bookmarkEnd w:id="49"/>
    <w:bookmarkStart w:id="50" w:name="interpretation-of-findings"/>
    <w:p>
      <w:pPr>
        <w:pStyle w:val="Heading2"/>
      </w:pPr>
      <w:r>
        <w:t xml:space="preserve">4.4 Interpretation of Findings</w:t>
      </w:r>
    </w:p>
    <w:p>
      <w:pPr>
        <w:pStyle w:val="FirstParagraph"/>
      </w:pPr>
      <w:r>
        <w:t xml:space="preserve">The evidence supports an accountability architecture rather than a payment page alone. It explains the system’s payment-to-proof workflow, limited public verification view, and administrative controls around beneficiaries and payouts. It does not establish that blockchain itself causes trust.</w:t>
      </w:r>
    </w:p>
    <w:bookmarkEnd w:id="50"/>
    <w:bookmarkStart w:id="51" w:name="identified-problems"/>
    <w:p>
      <w:pPr>
        <w:pStyle w:val="Heading2"/>
      </w:pPr>
      <w:r>
        <w:t xml:space="preserve">4.5 Identified Problems</w:t>
      </w:r>
    </w:p>
    <w:p>
      <w:pPr>
        <w:pStyle w:val="FirstParagraph"/>
      </w:pPr>
      <w:r>
        <w:t xml:space="preserve">The analysis identified insufficient post-donation visibility, limited traceability of fund use, reliance on privileged administration and mismatch between cryptocurrency-first platforms and local payment habits.</w:t>
      </w:r>
    </w:p>
    <w:bookmarkEnd w:id="51"/>
    <w:bookmarkStart w:id="52" w:name="functional-requirements-identified"/>
    <w:p>
      <w:pPr>
        <w:pStyle w:val="Heading2"/>
      </w:pPr>
      <w:r>
        <w:t xml:space="preserve">4.6 Functional Requirements Identified</w:t>
      </w:r>
    </w:p>
    <w:p>
      <w:pPr>
        <w:pStyle w:val="FirstParagraph"/>
      </w:pPr>
      <w:r>
        <w:t xml:space="preserve">The resulting functional requirements are specified and traced in Section 5.4: access, campaigns, payments, history, proofs, beneficiaries, disbursements, reports, notifications and risk review.</w:t>
      </w:r>
    </w:p>
    <w:bookmarkEnd w:id="52"/>
    <w:bookmarkStart w:id="53" w:name="non-functional-requirements-identified"/>
    <w:p>
      <w:pPr>
        <w:pStyle w:val="Heading2"/>
      </w:pPr>
      <w:r>
        <w:t xml:space="preserve">4.7 Non-functional Requirements Identified</w:t>
      </w:r>
    </w:p>
    <w:p>
      <w:pPr>
        <w:pStyle w:val="FirstParagraph"/>
      </w:pPr>
      <w:r>
        <w:t xml:space="preserve">Security, reliability, usability, maintainability, availability and scalability were identified as essential qualities. Section 5.5 converts them into testable acceptance targets.</w:t>
      </w:r>
    </w:p>
    <w:bookmarkEnd w:id="53"/>
    <w:bookmarkStart w:id="54" w:name="summary-1"/>
    <w:p>
      <w:pPr>
        <w:pStyle w:val="Heading2"/>
      </w:pPr>
      <w:r>
        <w:t xml:space="preserve">4.8 Summary</w:t>
      </w:r>
    </w:p>
    <w:p>
      <w:pPr>
        <w:pStyle w:val="FirstParagraph"/>
      </w:pPr>
      <w:r>
        <w:t xml:space="preserve">The available evidence supports a transparent, mobile-money-compatible workflow. Absence of raw survey data limits quantitative claims but does not prevent requirements tracing and technical evaluation.</w:t>
      </w:r>
    </w:p>
    <w:bookmarkEnd w:id="54"/>
    <w:bookmarkEnd w:id="55"/>
    <w:bookmarkStart w:id="65" w:name="X79fc336c671538905a832457480c052e782efe1"/>
    <w:p>
      <w:pPr>
        <w:pStyle w:val="Heading1"/>
      </w:pPr>
      <w:r>
        <w:t xml:space="preserve">CHAPTER FIVE: SYSTEM REQUIREMENT SPECIFICATION</w:t>
      </w:r>
    </w:p>
    <w:bookmarkStart w:id="56" w:name="introduction-3"/>
    <w:p>
      <w:pPr>
        <w:pStyle w:val="Heading2"/>
      </w:pPr>
      <w:r>
        <w:t xml:space="preserve">5.1 Introduction</w:t>
      </w:r>
    </w:p>
    <w:p>
      <w:pPr>
        <w:pStyle w:val="FirstParagraph"/>
      </w:pPr>
      <w:r>
        <w:t xml:space="preserve">This chapter specifies what ChangiaTanzania must do and its operational constraints.</w:t>
      </w:r>
    </w:p>
    <w:bookmarkEnd w:id="56"/>
    <w:bookmarkStart w:id="57" w:name="existing-system-analysis"/>
    <w:p>
      <w:pPr>
        <w:pStyle w:val="Heading2"/>
      </w:pPr>
      <w:r>
        <w:t xml:space="preserve">5.2 Existing System Analysis</w:t>
      </w:r>
    </w:p>
    <w:p>
      <w:pPr>
        <w:pStyle w:val="FirstParagraph"/>
      </w:pPr>
      <w:r>
        <w:t xml:space="preserve">Manual records and generic online fundraising leave a weak link between payment acknowledgement, fund use and independently checkable evidence. Centralised data also needs governance controls to prevent a single user from creating and approving exceptional payouts.</w:t>
      </w:r>
    </w:p>
    <w:bookmarkEnd w:id="57"/>
    <w:bookmarkStart w:id="58" w:name="proposed-system-1"/>
    <w:p>
      <w:pPr>
        <w:pStyle w:val="Heading2"/>
      </w:pPr>
      <w:r>
        <w:t xml:space="preserve">5.3 Proposed System</w:t>
      </w:r>
    </w:p>
    <w:p>
      <w:pPr>
        <w:pStyle w:val="FirstParagraph"/>
      </w:pPr>
      <w:r>
        <w:t xml:space="preserve">The proposed system combines a public interface, protected role workspaces, payment-provider adapters, PostgreSQL operations, Ethereum proof recording and report exports. It addresses visibility with receipts and proof lookup, and governance with beneficiary verification, approval rules and immutable audit logs.</w:t>
      </w:r>
    </w:p>
    <w:bookmarkEnd w:id="58"/>
    <w:bookmarkStart w:id="59" w:name="functional-requirements"/>
    <w:p>
      <w:pPr>
        <w:pStyle w:val="Heading2"/>
      </w:pPr>
      <w:r>
        <w:t xml:space="preserve">5.4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The system shall</w:t>
            </w:r>
          </w:p>
        </w:tc>
        <w:tc>
          <w:tcPr/>
          <w:p>
            <w:pPr>
              <w:pStyle w:val="Compact"/>
            </w:pPr>
            <w:r>
              <w:t xml:space="preserve">Priority</w:t>
            </w:r>
          </w:p>
        </w:tc>
      </w:tr>
      <w:tr>
        <w:tc>
          <w:tcPr/>
          <w:p>
            <w:pPr>
              <w:pStyle w:val="Compact"/>
            </w:pPr>
            <w:r>
              <w:t xml:space="preserve">FR-01</w:t>
            </w:r>
          </w:p>
        </w:tc>
        <w:tc>
          <w:tcPr/>
          <w:p>
            <w:pPr>
              <w:pStyle w:val="Compact"/>
            </w:pPr>
            <w:r>
              <w:t xml:space="preserve">register, authenticate and manage secure user sessions</w:t>
            </w:r>
          </w:p>
        </w:tc>
        <w:tc>
          <w:tcPr/>
          <w:p>
            <w:pPr>
              <w:pStyle w:val="Compact"/>
            </w:pPr>
            <w:r>
              <w:t xml:space="preserve">High</w:t>
            </w:r>
          </w:p>
        </w:tc>
      </w:tr>
      <w:tr>
        <w:tc>
          <w:tcPr/>
          <w:p>
            <w:pPr>
              <w:pStyle w:val="Compact"/>
            </w:pPr>
            <w:r>
              <w:t xml:space="preserve">FR-02</w:t>
            </w:r>
          </w:p>
        </w:tc>
        <w:tc>
          <w:tcPr/>
          <w:p>
            <w:pPr>
              <w:pStyle w:val="Compact"/>
            </w:pPr>
            <w:r>
              <w:t xml:space="preserve">enforce donor, fundraiser and administrator permissions</w:t>
            </w:r>
          </w:p>
        </w:tc>
        <w:tc>
          <w:tcPr/>
          <w:p>
            <w:pPr>
              <w:pStyle w:val="Compact"/>
            </w:pPr>
            <w:r>
              <w:t xml:space="preserve">High</w:t>
            </w:r>
          </w:p>
        </w:tc>
      </w:tr>
      <w:tr>
        <w:tc>
          <w:tcPr/>
          <w:p>
            <w:pPr>
              <w:pStyle w:val="Compact"/>
            </w:pPr>
            <w:r>
              <w:t xml:space="preserve">FR-03</w:t>
            </w:r>
          </w:p>
        </w:tc>
        <w:tc>
          <w:tcPr/>
          <w:p>
            <w:pPr>
              <w:pStyle w:val="Compact"/>
            </w:pPr>
            <w:r>
              <w:t xml:space="preserve">list, search and display active campaigns</w:t>
            </w:r>
          </w:p>
        </w:tc>
        <w:tc>
          <w:tcPr/>
          <w:p>
            <w:pPr>
              <w:pStyle w:val="Compact"/>
            </w:pPr>
            <w:r>
              <w:t xml:space="preserve">High</w:t>
            </w:r>
          </w:p>
        </w:tc>
      </w:tr>
      <w:tr>
        <w:tc>
          <w:tcPr/>
          <w:p>
            <w:pPr>
              <w:pStyle w:val="Compact"/>
            </w:pPr>
            <w:r>
              <w:t xml:space="preserve">FR-04</w:t>
            </w:r>
          </w:p>
        </w:tc>
        <w:tc>
          <w:tcPr/>
          <w:p>
            <w:pPr>
              <w:pStyle w:val="Compact"/>
            </w:pPr>
            <w:r>
              <w:t xml:space="preserve">let authorised owners create, edit, submit and archive campaigns</w:t>
            </w:r>
          </w:p>
        </w:tc>
        <w:tc>
          <w:tcPr/>
          <w:p>
            <w:pPr>
              <w:pStyle w:val="Compact"/>
            </w:pPr>
            <w:r>
              <w:t xml:space="preserve">High</w:t>
            </w:r>
          </w:p>
        </w:tc>
      </w:tr>
      <w:tr>
        <w:tc>
          <w:tcPr/>
          <w:p>
            <w:pPr>
              <w:pStyle w:val="Compact"/>
            </w:pPr>
            <w:r>
              <w:t xml:space="preserve">FR-05</w:t>
            </w:r>
          </w:p>
        </w:tc>
        <w:tc>
          <w:tcPr/>
          <w:p>
            <w:pPr>
              <w:pStyle w:val="Compact"/>
            </w:pPr>
            <w:r>
              <w:t xml:space="preserve">create payment sessions and finalise verified callbacks idempotently</w:t>
            </w:r>
          </w:p>
        </w:tc>
        <w:tc>
          <w:tcPr/>
          <w:p>
            <w:pPr>
              <w:pStyle w:val="Compact"/>
            </w:pPr>
            <w:r>
              <w:t xml:space="preserve">High</w:t>
            </w:r>
          </w:p>
        </w:tc>
      </w:tr>
      <w:tr>
        <w:tc>
          <w:tcPr/>
          <w:p>
            <w:pPr>
              <w:pStyle w:val="Compact"/>
            </w:pPr>
            <w:r>
              <w:t xml:space="preserve">FR-06</w:t>
            </w:r>
          </w:p>
        </w:tc>
        <w:tc>
          <w:tcPr/>
          <w:p>
            <w:pPr>
              <w:pStyle w:val="Compact"/>
            </w:pPr>
            <w:r>
              <w:t xml:space="preserve">issue receipts and show each donor’s donation history</w:t>
            </w:r>
          </w:p>
        </w:tc>
        <w:tc>
          <w:tcPr/>
          <w:p>
            <w:pPr>
              <w:pStyle w:val="Compact"/>
            </w:pPr>
            <w:r>
              <w:t xml:space="preserve">High</w:t>
            </w:r>
          </w:p>
        </w:tc>
      </w:tr>
      <w:tr>
        <w:tc>
          <w:tcPr/>
          <w:p>
            <w:pPr>
              <w:pStyle w:val="Compact"/>
            </w:pPr>
            <w:r>
              <w:t xml:space="preserve">FR-07</w:t>
            </w:r>
          </w:p>
        </w:tc>
        <w:tc>
          <w:tcPr/>
          <w:p>
            <w:pPr>
              <w:pStyle w:val="Compact"/>
            </w:pPr>
            <w:r>
              <w:t xml:space="preserve">create and publicly verify donation and disbursement proofs</w:t>
            </w:r>
          </w:p>
        </w:tc>
        <w:tc>
          <w:tcPr/>
          <w:p>
            <w:pPr>
              <w:pStyle w:val="Compact"/>
            </w:pPr>
            <w:r>
              <w:t xml:space="preserve">High</w:t>
            </w:r>
          </w:p>
        </w:tc>
      </w:tr>
      <w:tr>
        <w:tc>
          <w:tcPr/>
          <w:p>
            <w:pPr>
              <w:pStyle w:val="Compact"/>
            </w:pPr>
            <w:r>
              <w:t xml:space="preserve">FR-08</w:t>
            </w:r>
          </w:p>
        </w:tc>
        <w:tc>
          <w:tcPr/>
          <w:p>
            <w:pPr>
              <w:pStyle w:val="Compact"/>
            </w:pPr>
            <w:r>
              <w:t xml:space="preserve">manage beneficiaries and restrict payouts to verified beneficiaries</w:t>
            </w:r>
          </w:p>
        </w:tc>
        <w:tc>
          <w:tcPr/>
          <w:p>
            <w:pPr>
              <w:pStyle w:val="Compact"/>
            </w:pPr>
            <w:r>
              <w:t xml:space="preserve">High</w:t>
            </w:r>
          </w:p>
        </w:tc>
      </w:tr>
      <w:tr>
        <w:tc>
          <w:tcPr/>
          <w:p>
            <w:pPr>
              <w:pStyle w:val="Compact"/>
            </w:pPr>
            <w:r>
              <w:t xml:space="preserve">FR-09</w:t>
            </w:r>
          </w:p>
        </w:tc>
        <w:tc>
          <w:tcPr/>
          <w:p>
            <w:pPr>
              <w:pStyle w:val="Compact"/>
            </w:pPr>
            <w:r>
              <w:t xml:space="preserve">enforce balance, threshold and self-approval rules for disbursements</w:t>
            </w:r>
          </w:p>
        </w:tc>
        <w:tc>
          <w:tcPr/>
          <w:p>
            <w:pPr>
              <w:pStyle w:val="Compact"/>
            </w:pPr>
            <w:r>
              <w:t xml:space="preserve">High</w:t>
            </w:r>
          </w:p>
        </w:tc>
      </w:tr>
      <w:tr>
        <w:tc>
          <w:tcPr/>
          <w:p>
            <w:pPr>
              <w:pStyle w:val="Compact"/>
            </w:pPr>
            <w:r>
              <w:t xml:space="preserve">FR-10</w:t>
            </w:r>
          </w:p>
        </w:tc>
        <w:tc>
          <w:tcPr/>
          <w:p>
            <w:pPr>
              <w:pStyle w:val="Compact"/>
            </w:pPr>
            <w:r>
              <w:t xml:space="preserve">notify users and provide dashboards, audit records and exports</w:t>
            </w:r>
          </w:p>
        </w:tc>
        <w:tc>
          <w:tcPr/>
          <w:p>
            <w:pPr>
              <w:pStyle w:val="Compact"/>
            </w:pPr>
            <w:r>
              <w:t xml:space="preserve">Medium</w:t>
            </w:r>
          </w:p>
        </w:tc>
      </w:tr>
    </w:tbl>
    <w:bookmarkEnd w:id="59"/>
    <w:bookmarkStart w:id="60" w:name="non-functional-requirements"/>
    <w:p>
      <w:pPr>
        <w:pStyle w:val="Heading2"/>
      </w:pPr>
      <w:r>
        <w:t xml:space="preserve">5.5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Quality</w:t>
            </w:r>
          </w:p>
        </w:tc>
        <w:tc>
          <w:tcPr/>
          <w:p>
            <w:pPr>
              <w:pStyle w:val="Compact"/>
            </w:pPr>
            <w:r>
              <w:t xml:space="preserve">Acceptance target / evidence</w:t>
            </w:r>
          </w:p>
        </w:tc>
      </w:tr>
      <w:tr>
        <w:tc>
          <w:tcPr/>
          <w:p>
            <w:pPr>
              <w:pStyle w:val="Compact"/>
            </w:pPr>
            <w:r>
              <w:t xml:space="preserve">Security</w:t>
            </w:r>
          </w:p>
        </w:tc>
        <w:tc>
          <w:tcPr/>
          <w:p>
            <w:pPr>
              <w:pStyle w:val="Compact"/>
            </w:pPr>
            <w:r>
              <w:t xml:space="preserve">bcrypt passwords, JWT access, rotating httpOnly refresh token, RBAC, validation and rate limits</w:t>
            </w:r>
          </w:p>
        </w:tc>
      </w:tr>
      <w:tr>
        <w:tc>
          <w:tcPr/>
          <w:p>
            <w:pPr>
              <w:pStyle w:val="Compact"/>
            </w:pPr>
            <w:r>
              <w:t xml:space="preserve">Reliability</w:t>
            </w:r>
          </w:p>
        </w:tc>
        <w:tc>
          <w:tcPr/>
          <w:p>
            <w:pPr>
              <w:pStyle w:val="Compact"/>
            </w:pPr>
            <w:r>
              <w:t xml:space="preserve">one atomic payment finalisation; duplicate callbacks do not double-credit</w:t>
            </w:r>
          </w:p>
        </w:tc>
      </w:tr>
      <w:tr>
        <w:tc>
          <w:tcPr/>
          <w:p>
            <w:pPr>
              <w:pStyle w:val="Compact"/>
            </w:pPr>
            <w:r>
              <w:t xml:space="preserve">Privacy</w:t>
            </w:r>
          </w:p>
        </w:tc>
        <w:tc>
          <w:tcPr/>
          <w:p>
            <w:pPr>
              <w:pStyle w:val="Compact"/>
            </w:pPr>
            <w:r>
              <w:t xml:space="preserve">public lookup exposes no donor PII or payment reference; no PII on-chain</w:t>
            </w:r>
          </w:p>
        </w:tc>
      </w:tr>
      <w:tr>
        <w:tc>
          <w:tcPr/>
          <w:p>
            <w:pPr>
              <w:pStyle w:val="Compact"/>
            </w:pPr>
            <w:r>
              <w:t xml:space="preserve">Maintainability</w:t>
            </w:r>
          </w:p>
        </w:tc>
        <w:tc>
          <w:tcPr/>
          <w:p>
            <w:pPr>
              <w:pStyle w:val="Compact"/>
            </w:pPr>
            <w:r>
              <w:t xml:space="preserve">strict TypeScript, layered API and provider interfaces</w:t>
            </w:r>
          </w:p>
        </w:tc>
      </w:tr>
      <w:tr>
        <w:tc>
          <w:tcPr/>
          <w:p>
            <w:pPr>
              <w:pStyle w:val="Compact"/>
            </w:pPr>
            <w:r>
              <w:t xml:space="preserve">Usability</w:t>
            </w:r>
          </w:p>
        </w:tc>
        <w:tc>
          <w:tcPr/>
          <w:p>
            <w:pPr>
              <w:pStyle w:val="Compact"/>
            </w:pPr>
            <w:r>
              <w:t xml:space="preserve">responsive client with loading, empty, error and success states</w:t>
            </w:r>
          </w:p>
        </w:tc>
      </w:tr>
      <w:tr>
        <w:tc>
          <w:tcPr/>
          <w:p>
            <w:pPr>
              <w:pStyle w:val="Compact"/>
            </w:pPr>
            <w:r>
              <w:t xml:space="preserve">Availability</w:t>
            </w:r>
          </w:p>
        </w:tc>
        <w:tc>
          <w:tcPr/>
          <w:p>
            <w:pPr>
              <w:pStyle w:val="Compact"/>
            </w:pPr>
            <w:r>
              <w:t xml:space="preserve">a proof-write failure does not discard a verified payment</w:t>
            </w:r>
          </w:p>
        </w:tc>
      </w:tr>
      <w:tr>
        <w:tc>
          <w:tcPr/>
          <w:p>
            <w:pPr>
              <w:pStyle w:val="Compact"/>
            </w:pPr>
            <w:r>
              <w:t xml:space="preserve">Scalability</w:t>
            </w:r>
          </w:p>
        </w:tc>
        <w:tc>
          <w:tcPr/>
          <w:p>
            <w:pPr>
              <w:pStyle w:val="Compact"/>
            </w:pPr>
            <w:r>
              <w:t xml:space="preserve">PostgreSQL pagination and constraints</w:t>
            </w:r>
          </w:p>
        </w:tc>
      </w:tr>
    </w:tbl>
    <w:bookmarkEnd w:id="60"/>
    <w:bookmarkStart w:id="61" w:name="user-requirements"/>
    <w:p>
      <w:pPr>
        <w:pStyle w:val="Heading2"/>
      </w:pPr>
      <w:r>
        <w:t xml:space="preserve">5.6 User Requirements</w:t>
      </w:r>
    </w:p>
    <w:p>
      <w:pPr>
        <w:pStyle w:val="FirstParagraph"/>
      </w:pPr>
      <w:r>
        <w:t xml:space="preserve">Donors need browsing, donation, receipts, history and verification. Fundraisers need controlled ownership of campaigns, beneficiaries and permitted payouts. Administrators need oversight, review, verification, reports, audit logs and user controls.</w:t>
      </w:r>
    </w:p>
    <w:bookmarkEnd w:id="61"/>
    <w:bookmarkStart w:id="62" w:name="system-requirements"/>
    <w:p>
      <w:pPr>
        <w:pStyle w:val="Heading2"/>
      </w:pPr>
      <w:r>
        <w:t xml:space="preserve">5.7 System Requirements</w:t>
      </w:r>
    </w:p>
    <w:p>
      <w:pPr>
        <w:pStyle w:val="FirstParagraph"/>
      </w:pPr>
      <w:r>
        <w:t xml:space="preserve">The client requires a modern browser and internet connection. Server deployment requires Node.js 20+, PostgreSQL and protected secrets. Blockchain proof requires an Ethereum RPC endpoint, backend wallet and contract address. Development uses React, Vite, Express, Drizzle, Hardhat and Solidity.</w:t>
      </w:r>
    </w:p>
    <w:bookmarkEnd w:id="62"/>
    <w:bookmarkStart w:id="63" w:name="feasibility-study"/>
    <w:p>
      <w:pPr>
        <w:pStyle w:val="Heading2"/>
      </w:pPr>
      <w:r>
        <w:t xml:space="preserve">5.8 Feasibility Study</w:t>
      </w:r>
    </w:p>
    <w:p>
      <w:pPr>
        <w:pStyle w:val="FirstParagraph"/>
      </w:pPr>
      <w:r>
        <w:t xml:space="preserve">The solution uses mature tooling and preserves familiar fiat payments. Development and test deployment can use low-cost tiers and test ETH, but production must budget for gateway fees, storage, monitoring and gas. A production NGO must meet applicable payment, data-protection and charity regulations. The staged Git history demonstrates schedule feasibility.</w:t>
      </w:r>
    </w:p>
    <w:bookmarkEnd w:id="63"/>
    <w:bookmarkStart w:id="64" w:name="software-requirement-specification"/>
    <w:p>
      <w:pPr>
        <w:pStyle w:val="Heading2"/>
      </w:pPr>
      <w:r>
        <w:t xml:space="preserve">5.9 Software Requirement Specification</w:t>
      </w:r>
    </w:p>
    <w:p>
      <w:pPr>
        <w:pStyle w:val="FirstParagraph"/>
      </w:pPr>
      <w:r>
        <w:t xml:space="preserve">The human actors are Donor, Fundraiser and Administrator; the payment provider and Ethereum network are external systems. The functional requirements above are the formal SRS baseline and are traced in Chapter Seven.</w:t>
      </w:r>
    </w:p>
    <w:bookmarkEnd w:id="64"/>
    <w:bookmarkEnd w:id="65"/>
    <w:bookmarkStart w:id="111" w:name="chapter-six-system-design"/>
    <w:p>
      <w:pPr>
        <w:pStyle w:val="Heading1"/>
      </w:pPr>
      <w:r>
        <w:t xml:space="preserve">CHAPTER SIX: SYSTEM DESIGN</w:t>
      </w:r>
    </w:p>
    <w:bookmarkStart w:id="66" w:name="introduction-4"/>
    <w:p>
      <w:pPr>
        <w:pStyle w:val="Heading2"/>
      </w:pPr>
      <w:r>
        <w:t xml:space="preserve">6.1 Introduction</w:t>
      </w:r>
    </w:p>
    <w:p>
      <w:pPr>
        <w:pStyle w:val="FirstParagraph"/>
      </w:pPr>
      <w:r>
        <w:t xml:space="preserve">Chapter Five states what the system must do; this chapter explains how it is structured to do it. The design uses a layered web architecture, relational data model, Ethereum proof registry and documented process controls.</w:t>
      </w:r>
    </w:p>
    <w:bookmarkEnd w:id="66"/>
    <w:bookmarkStart w:id="71" w:name="system-architecture"/>
    <w:p>
      <w:pPr>
        <w:pStyle w:val="Heading2"/>
      </w:pPr>
      <w:r>
        <w:t xml:space="preserve">6.2 System Architecture</w:t>
      </w:r>
    </w:p>
    <w:p>
      <w:pPr>
        <w:pStyle w:val="FirstParagraph"/>
      </w:pPr>
      <w:r>
        <w:t xml:space="preserve">The React client communicates with the Express API. Routes delegate to controllers, services and repositories; the repository layer persists operational state to PostgreSQL. Payment providers and Ethereum are external integrations behind service boundaries, ensuring that a provider or proof-write failure does not corrupt the completed donation record.</w:t>
      </w:r>
    </w:p>
    <w:bookmarkStart w:id="70" w:name="fig:architecture"/>
    <w:p>
      <w:pPr>
        <w:pStyle w:val="CaptionedFigure"/>
      </w:pPr>
      <w:r>
        <w:drawing>
          <wp:inline>
            <wp:extent cx="5334000" cy="3007178"/>
            <wp:effectExtent b="0" l="0" r="0" t="0"/>
            <wp:docPr descr="System architecture, layered view" title="" id="68" name="Picture"/>
            <a:graphic>
              <a:graphicData uri="http://schemas.openxmlformats.org/drawingml/2006/picture">
                <pic:pic>
                  <pic:nvPicPr>
                    <pic:cNvPr descr="../diagrams/png/architecture.png" id="69" name="Picture"/>
                    <pic:cNvPicPr>
                      <a:picLocks noChangeArrowheads="1" noChangeAspect="1"/>
                    </pic:cNvPicPr>
                  </pic:nvPicPr>
                  <pic:blipFill>
                    <a:blip r:embed="rId67"/>
                    <a:stretch>
                      <a:fillRect/>
                    </a:stretch>
                  </pic:blipFill>
                  <pic:spPr bwMode="auto">
                    <a:xfrm>
                      <a:off x="0" y="0"/>
                      <a:ext cx="5334000" cy="3007178"/>
                    </a:xfrm>
                    <a:prstGeom prst="rect">
                      <a:avLst/>
                    </a:prstGeom>
                    <a:noFill/>
                    <a:ln w="9525">
                      <a:noFill/>
                      <a:headEnd/>
                      <a:tailEnd/>
                    </a:ln>
                  </pic:spPr>
                </pic:pic>
              </a:graphicData>
            </a:graphic>
          </wp:inline>
        </w:drawing>
      </w:r>
    </w:p>
    <w:p>
      <w:pPr>
        <w:pStyle w:val="ImageCaption"/>
      </w:pPr>
      <w:r>
        <w:t xml:space="preserve">System architecture, layered view</w:t>
      </w:r>
    </w:p>
    <w:bookmarkEnd w:id="70"/>
    <w:bookmarkEnd w:id="71"/>
    <w:bookmarkStart w:id="82" w:name="data-modeling"/>
    <w:p>
      <w:pPr>
        <w:pStyle w:val="Heading2"/>
      </w:pPr>
      <w:r>
        <w:t xml:space="preserve">6.3 Data Modeling</w:t>
      </w:r>
    </w:p>
    <w:bookmarkStart w:id="76" w:name="context-diagram"/>
    <w:p>
      <w:pPr>
        <w:pStyle w:val="Heading3"/>
      </w:pPr>
      <w:r>
        <w:t xml:space="preserve">6.3.1 Context Diagram</w:t>
      </w:r>
    </w:p>
    <w:bookmarkStart w:id="75" w:name="fig:context"/>
    <w:p>
      <w:pPr>
        <w:pStyle w:val="CaptionedFigure"/>
      </w:pPr>
      <w:r>
        <w:drawing>
          <wp:inline>
            <wp:extent cx="5334000" cy="3245303"/>
            <wp:effectExtent b="0" l="0" r="0" t="0"/>
            <wp:docPr descr="Context diagram, DFD level 0" title="" id="73" name="Picture"/>
            <a:graphic>
              <a:graphicData uri="http://schemas.openxmlformats.org/drawingml/2006/picture">
                <pic:pic>
                  <pic:nvPicPr>
                    <pic:cNvPr descr="../diagrams/png/context.png" id="74" name="Picture"/>
                    <pic:cNvPicPr>
                      <a:picLocks noChangeArrowheads="1" noChangeAspect="1"/>
                    </pic:cNvPicPr>
                  </pic:nvPicPr>
                  <pic:blipFill>
                    <a:blip r:embed="rId72"/>
                    <a:stretch>
                      <a:fillRect/>
                    </a:stretch>
                  </pic:blipFill>
                  <pic:spPr bwMode="auto">
                    <a:xfrm>
                      <a:off x="0" y="0"/>
                      <a:ext cx="5334000" cy="3245303"/>
                    </a:xfrm>
                    <a:prstGeom prst="rect">
                      <a:avLst/>
                    </a:prstGeom>
                    <a:noFill/>
                    <a:ln w="9525">
                      <a:noFill/>
                      <a:headEnd/>
                      <a:tailEnd/>
                    </a:ln>
                  </pic:spPr>
                </pic:pic>
              </a:graphicData>
            </a:graphic>
          </wp:inline>
        </w:drawing>
      </w:r>
    </w:p>
    <w:p>
      <w:pPr>
        <w:pStyle w:val="ImageCaption"/>
      </w:pPr>
      <w:r>
        <w:t xml:space="preserve">Context diagram, DFD level 0</w:t>
      </w:r>
    </w:p>
    <w:bookmarkEnd w:id="75"/>
    <w:bookmarkEnd w:id="76"/>
    <w:bookmarkStart w:id="81" w:name="data-flow-diagrams"/>
    <w:p>
      <w:pPr>
        <w:pStyle w:val="Heading3"/>
      </w:pPr>
      <w:r>
        <w:t xml:space="preserve">Data Flow Diagrams</w:t>
      </w:r>
    </w:p>
    <w:bookmarkStart w:id="80" w:name="fig:dfd1"/>
    <w:p>
      <w:pPr>
        <w:pStyle w:val="CaptionedFigure"/>
      </w:pPr>
      <w:r>
        <w:drawing>
          <wp:inline>
            <wp:extent cx="5334000" cy="2047875"/>
            <wp:effectExtent b="0" l="0" r="0" t="0"/>
            <wp:docPr descr="Data flow diagram, level 1" title="" id="78" name="Picture"/>
            <a:graphic>
              <a:graphicData uri="http://schemas.openxmlformats.org/drawingml/2006/picture">
                <pic:pic>
                  <pic:nvPicPr>
                    <pic:cNvPr descr="../diagrams/png/dfd-level1.png" id="79" name="Picture"/>
                    <pic:cNvPicPr>
                      <a:picLocks noChangeArrowheads="1" noChangeAspect="1"/>
                    </pic:cNvPicPr>
                  </pic:nvPicPr>
                  <pic:blipFill>
                    <a:blip r:embed="rId77"/>
                    <a:stretch>
                      <a:fillRect/>
                    </a:stretch>
                  </pic:blipFill>
                  <pic:spPr bwMode="auto">
                    <a:xfrm>
                      <a:off x="0" y="0"/>
                      <a:ext cx="5334000" cy="2047875"/>
                    </a:xfrm>
                    <a:prstGeom prst="rect">
                      <a:avLst/>
                    </a:prstGeom>
                    <a:noFill/>
                    <a:ln w="9525">
                      <a:noFill/>
                      <a:headEnd/>
                      <a:tailEnd/>
                    </a:ln>
                  </pic:spPr>
                </pic:pic>
              </a:graphicData>
            </a:graphic>
          </wp:inline>
        </w:drawing>
      </w:r>
    </w:p>
    <w:p>
      <w:pPr>
        <w:pStyle w:val="ImageCaption"/>
      </w:pPr>
      <w:r>
        <w:t xml:space="preserve">Data flow diagram, level 1</w:t>
      </w:r>
    </w:p>
    <w:bookmarkEnd w:id="80"/>
    <w:bookmarkEnd w:id="81"/>
    <w:bookmarkEnd w:id="82"/>
    <w:bookmarkStart w:id="87" w:name="database-design"/>
    <w:p>
      <w:pPr>
        <w:pStyle w:val="Heading2"/>
      </w:pPr>
      <w:r>
        <w:t xml:space="preserve">6.4.1 Database Design</w:t>
      </w:r>
    </w:p>
    <w:p>
      <w:pPr>
        <w:pStyle w:val="FirstParagraph"/>
      </w:pPr>
      <w:r>
        <w:t xml:space="preserve">The relational model holds users, sessions, password resets, campaigns, donations, payment transactions, beneficiaries, disbursements, approvals, blockchain records, notifications, audit logs, rewards and fundraiser applications. IDs are BIGINT values and money is stored in whole Tanzanian shillings. Donations, disbursements and blockchain records are immutable business records; mutable entities use controlled status changes or soft deletion.</w:t>
      </w:r>
    </w:p>
    <w:bookmarkStart w:id="86" w:name="fig:erd"/>
    <w:p>
      <w:pPr>
        <w:pStyle w:val="CaptionedFigure"/>
      </w:pPr>
      <w:r>
        <w:drawing>
          <wp:inline>
            <wp:extent cx="5334000" cy="5762625"/>
            <wp:effectExtent b="0" l="0" r="0" t="0"/>
            <wp:docPr descr="Entity relationship diagram" title="" id="84" name="Picture"/>
            <a:graphic>
              <a:graphicData uri="http://schemas.openxmlformats.org/drawingml/2006/picture">
                <pic:pic>
                  <pic:nvPicPr>
                    <pic:cNvPr descr="../diagrams/png/erd.png" id="85" name="Picture"/>
                    <pic:cNvPicPr>
                      <a:picLocks noChangeArrowheads="1" noChangeAspect="1"/>
                    </pic:cNvPicPr>
                  </pic:nvPicPr>
                  <pic:blipFill>
                    <a:blip r:embed="rId83"/>
                    <a:stretch>
                      <a:fillRect/>
                    </a:stretch>
                  </pic:blipFill>
                  <pic:spPr bwMode="auto">
                    <a:xfrm>
                      <a:off x="0" y="0"/>
                      <a:ext cx="5334000" cy="5762625"/>
                    </a:xfrm>
                    <a:prstGeom prst="rect">
                      <a:avLst/>
                    </a:prstGeom>
                    <a:noFill/>
                    <a:ln w="9525">
                      <a:noFill/>
                      <a:headEnd/>
                      <a:tailEnd/>
                    </a:ln>
                  </pic:spPr>
                </pic:pic>
              </a:graphicData>
            </a:graphic>
          </wp:inline>
        </w:drawing>
      </w:r>
    </w:p>
    <w:p>
      <w:pPr>
        <w:pStyle w:val="ImageCaption"/>
      </w:pPr>
      <w:r>
        <w:t xml:space="preserve">Entity relationship diagram</w:t>
      </w:r>
    </w:p>
    <w:bookmarkEnd w:id="86"/>
    <w:bookmarkEnd w:id="87"/>
    <w:bookmarkStart w:id="105" w:name="process-modeling"/>
    <w:p>
      <w:pPr>
        <w:pStyle w:val="Heading2"/>
      </w:pPr>
      <w:r>
        <w:t xml:space="preserve">6.5 Process Modeling</w:t>
      </w:r>
    </w:p>
    <w:bookmarkStart w:id="104" w:name="uml-models"/>
    <w:p>
      <w:pPr>
        <w:pStyle w:val="Heading3"/>
      </w:pPr>
      <w:r>
        <w:t xml:space="preserve">6.5.1 UML Models</w:t>
      </w:r>
    </w:p>
    <w:bookmarkStart w:id="91" w:name="fig:class"/>
    <w:p>
      <w:pPr>
        <w:pStyle w:val="CaptionedFigure"/>
      </w:pPr>
      <w:r>
        <w:drawing>
          <wp:inline>
            <wp:extent cx="5334000" cy="3292928"/>
            <wp:effectExtent b="0" l="0" r="0" t="0"/>
            <wp:docPr descr="Class diagram, backend service layering" title="" id="89" name="Picture"/>
            <a:graphic>
              <a:graphicData uri="http://schemas.openxmlformats.org/drawingml/2006/picture">
                <pic:pic>
                  <pic:nvPicPr>
                    <pic:cNvPr descr="../diagrams/png/class-backend.png" id="90" name="Picture"/>
                    <pic:cNvPicPr>
                      <a:picLocks noChangeArrowheads="1" noChangeAspect="1"/>
                    </pic:cNvPicPr>
                  </pic:nvPicPr>
                  <pic:blipFill>
                    <a:blip r:embed="rId88"/>
                    <a:stretch>
                      <a:fillRect/>
                    </a:stretch>
                  </pic:blipFill>
                  <pic:spPr bwMode="auto">
                    <a:xfrm>
                      <a:off x="0" y="0"/>
                      <a:ext cx="5334000" cy="3292928"/>
                    </a:xfrm>
                    <a:prstGeom prst="rect">
                      <a:avLst/>
                    </a:prstGeom>
                    <a:noFill/>
                    <a:ln w="9525">
                      <a:noFill/>
                      <a:headEnd/>
                      <a:tailEnd/>
                    </a:ln>
                  </pic:spPr>
                </pic:pic>
              </a:graphicData>
            </a:graphic>
          </wp:inline>
        </w:drawing>
      </w:r>
    </w:p>
    <w:p>
      <w:pPr>
        <w:pStyle w:val="ImageCaption"/>
      </w:pPr>
      <w:r>
        <w:t xml:space="preserve">Class diagram, backend service layering</w:t>
      </w:r>
    </w:p>
    <w:bookmarkEnd w:id="91"/>
    <w:bookmarkStart w:id="95" w:name="fig:sequence"/>
    <w:p>
      <w:pPr>
        <w:pStyle w:val="CaptionedFigure"/>
      </w:pPr>
      <w:r>
        <w:drawing>
          <wp:inline>
            <wp:extent cx="5334000" cy="5191125"/>
            <wp:effectExtent b="0" l="0" r="0" t="0"/>
            <wp:docPr descr="Sequence diagram, donation and proof recording" title="" id="93" name="Picture"/>
            <a:graphic>
              <a:graphicData uri="http://schemas.openxmlformats.org/drawingml/2006/picture">
                <pic:pic>
                  <pic:nvPicPr>
                    <pic:cNvPr descr="../diagrams/png/sequence-donation.png" id="94" name="Picture"/>
                    <pic:cNvPicPr>
                      <a:picLocks noChangeArrowheads="1" noChangeAspect="1"/>
                    </pic:cNvPicPr>
                  </pic:nvPicPr>
                  <pic:blipFill>
                    <a:blip r:embed="rId92"/>
                    <a:stretch>
                      <a:fillRect/>
                    </a:stretch>
                  </pic:blipFill>
                  <pic:spPr bwMode="auto">
                    <a:xfrm>
                      <a:off x="0" y="0"/>
                      <a:ext cx="5334000" cy="5191125"/>
                    </a:xfrm>
                    <a:prstGeom prst="rect">
                      <a:avLst/>
                    </a:prstGeom>
                    <a:noFill/>
                    <a:ln w="9525">
                      <a:noFill/>
                      <a:headEnd/>
                      <a:tailEnd/>
                    </a:ln>
                  </pic:spPr>
                </pic:pic>
              </a:graphicData>
            </a:graphic>
          </wp:inline>
        </w:drawing>
      </w:r>
    </w:p>
    <w:p>
      <w:pPr>
        <w:pStyle w:val="ImageCaption"/>
      </w:pPr>
      <w:r>
        <w:t xml:space="preserve">Sequence diagram, donation and proof recording</w:t>
      </w:r>
    </w:p>
    <w:bookmarkEnd w:id="95"/>
    <w:bookmarkStart w:id="99" w:name="fig:activity"/>
    <w:p>
      <w:pPr>
        <w:pStyle w:val="CaptionedFigure"/>
      </w:pPr>
      <w:r>
        <w:drawing>
          <wp:inline>
            <wp:extent cx="5334000" cy="1408339"/>
            <wp:effectExtent b="0" l="0" r="0" t="0"/>
            <wp:docPr descr="Activity diagram, disbursement dual approval" title="" id="97" name="Picture"/>
            <a:graphic>
              <a:graphicData uri="http://schemas.openxmlformats.org/drawingml/2006/picture">
                <pic:pic>
                  <pic:nvPicPr>
                    <pic:cNvPr descr="../diagrams/png/activity-disbursement.png" id="98" name="Picture"/>
                    <pic:cNvPicPr>
                      <a:picLocks noChangeArrowheads="1" noChangeAspect="1"/>
                    </pic:cNvPicPr>
                  </pic:nvPicPr>
                  <pic:blipFill>
                    <a:blip r:embed="rId96"/>
                    <a:stretch>
                      <a:fillRect/>
                    </a:stretch>
                  </pic:blipFill>
                  <pic:spPr bwMode="auto">
                    <a:xfrm>
                      <a:off x="0" y="0"/>
                      <a:ext cx="5334000" cy="1408339"/>
                    </a:xfrm>
                    <a:prstGeom prst="rect">
                      <a:avLst/>
                    </a:prstGeom>
                    <a:noFill/>
                    <a:ln w="9525">
                      <a:noFill/>
                      <a:headEnd/>
                      <a:tailEnd/>
                    </a:ln>
                  </pic:spPr>
                </pic:pic>
              </a:graphicData>
            </a:graphic>
          </wp:inline>
        </w:drawing>
      </w:r>
    </w:p>
    <w:p>
      <w:pPr>
        <w:pStyle w:val="ImageCaption"/>
      </w:pPr>
      <w:r>
        <w:t xml:space="preserve">Activity diagram, disbursement dual approval</w:t>
      </w:r>
    </w:p>
    <w:bookmarkEnd w:id="99"/>
    <w:bookmarkStart w:id="103" w:name="fig:deployment"/>
    <w:p>
      <w:pPr>
        <w:pStyle w:val="CaptionedFigure"/>
      </w:pPr>
      <w:r>
        <w:drawing>
          <wp:inline>
            <wp:extent cx="5334000" cy="2667000"/>
            <wp:effectExtent b="0" l="0" r="0" t="0"/>
            <wp:docPr descr="Deployment diagram" title="" id="101" name="Picture"/>
            <a:graphic>
              <a:graphicData uri="http://schemas.openxmlformats.org/drawingml/2006/picture">
                <pic:pic>
                  <pic:nvPicPr>
                    <pic:cNvPr descr="../diagrams/png/deployment.png" id="102" name="Picture"/>
                    <pic:cNvPicPr>
                      <a:picLocks noChangeArrowheads="1" noChangeAspect="1"/>
                    </pic:cNvPicPr>
                  </pic:nvPicPr>
                  <pic:blipFill>
                    <a:blip r:embed="rId10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Deployment diagram</w:t>
      </w:r>
    </w:p>
    <w:bookmarkEnd w:id="103"/>
    <w:bookmarkEnd w:id="104"/>
    <w:bookmarkEnd w:id="105"/>
    <w:bookmarkStart w:id="106" w:name="user-interface-design"/>
    <w:p>
      <w:pPr>
        <w:pStyle w:val="Heading2"/>
      </w:pPr>
      <w:r>
        <w:t xml:space="preserve">6.7 User Interface Design</w:t>
      </w:r>
    </w:p>
    <w:p>
      <w:pPr>
        <w:pStyle w:val="FirstParagraph"/>
      </w:pPr>
      <w:r>
        <w:t xml:space="preserve">The public interface prioritises campaign discovery, understandable donation controls and proof lookup. Protected interfaces are role-specific: donors see history and receipts; fundraisers see their owned campaigns and permitted actions; administrators receive operational navigation, reviews, audit records and reports. Each page includes explicit loading, empty, error and success states.</w:t>
      </w:r>
    </w:p>
    <w:bookmarkEnd w:id="106"/>
    <w:bookmarkStart w:id="108" w:name="machine-learning-and-dataset-design"/>
    <w:p>
      <w:pPr>
        <w:pStyle w:val="Heading2"/>
      </w:pPr>
      <w:r>
        <w:t xml:space="preserve">6.9 Machine Learning and Dataset Design</w:t>
      </w:r>
    </w:p>
    <w:p>
      <w:pPr>
        <w:pStyle w:val="FirstParagraph"/>
      </w:pPr>
      <w:r>
        <w:t xml:space="preserve">The system design concentrates on the completed donation-management workflow. Risk assessment is not included in the submission scope.</w:t>
      </w:r>
    </w:p>
    <w:bookmarkStart w:id="107" w:name="algorithms-of-the-working-system"/>
    <w:p>
      <w:pPr>
        <w:pStyle w:val="Heading3"/>
      </w:pPr>
      <w:r>
        <w:t xml:space="preserve">6.9.1 Algorithms of the Working System</w:t>
      </w:r>
    </w:p>
    <w:p>
      <w:pPr>
        <w:pStyle w:val="FirstParagraph"/>
      </w:pPr>
      <w:r>
        <w:t xml:space="preserve">For a completed donation, the service combines donation identifier, campaign identifier, amount, receipt number, payment reference and timestamp into a SHA-256 proof hash. The database finalises the donation before attempting the chain write. For payouts, the service checks campaign ownership, verified beneficiary, available balance and threshold/initiator rules before completing a disbursement.</w:t>
      </w:r>
    </w:p>
    <w:bookmarkEnd w:id="107"/>
    <w:bookmarkEnd w:id="108"/>
    <w:bookmarkStart w:id="109" w:name="flowcharts-of-the-working-system"/>
    <w:p>
      <w:pPr>
        <w:pStyle w:val="Heading2"/>
      </w:pPr>
      <w:r>
        <w:t xml:space="preserve">6.10 Flowcharts of the Working System</w:t>
      </w:r>
    </w:p>
    <w:p>
      <w:pPr>
        <w:pStyle w:val="FirstParagraph"/>
      </w:pPr>
      <w:r>
        <w:t xml:space="preserve">The payment workflow is: validate request; create provider session; verify callback; atomically create donation and payment completion; update campaign; schedule proof; notify donor. The disbursement workflow validates beneficiary and balance, then either completes under permitted rules or waits for a separate administrator decision.</w:t>
      </w:r>
    </w:p>
    <w:bookmarkEnd w:id="109"/>
    <w:bookmarkStart w:id="110" w:name="security-design"/>
    <w:p>
      <w:pPr>
        <w:pStyle w:val="Heading2"/>
      </w:pPr>
      <w:r>
        <w:t xml:space="preserve">6.11 Security Design</w:t>
      </w:r>
    </w:p>
    <w:p>
      <w:pPr>
        <w:pStyle w:val="FirstParagraph"/>
      </w:pPr>
      <w:r>
        <w:t xml:space="preserve">This design implements the Security NFR in Section 5.5 with bcrypt password hashing, short-lived JWT access tokens, rotating httpOnly refresh tokens, RBAC, account lockout, rate limits, validation, parameterised database access, audit logging and safe upload names. The proof registry stores hashes rather than donor data, and public verification omits donor identity and payment references.</w:t>
      </w:r>
    </w:p>
    <w:bookmarkEnd w:id="110"/>
    <w:bookmarkEnd w:id="111"/>
    <w:bookmarkStart w:id="121" w:name="X58623b77c48527e836a9573fa3d08b6e2a6534e"/>
    <w:p>
      <w:pPr>
        <w:pStyle w:val="Heading1"/>
      </w:pPr>
      <w:r>
        <w:t xml:space="preserve">CHAPTER SEVEN: SYSTEM IMPLEMENTATION, TESTING AND RESULTS</w:t>
      </w:r>
    </w:p>
    <w:bookmarkStart w:id="112" w:name="introduction-5"/>
    <w:p>
      <w:pPr>
        <w:pStyle w:val="Heading2"/>
      </w:pPr>
      <w:r>
        <w:t xml:space="preserve">7.1 Introduction</w:t>
      </w:r>
    </w:p>
    <w:p>
      <w:pPr>
        <w:pStyle w:val="FirstParagraph"/>
      </w:pPr>
      <w:r>
        <w:t xml:space="preserve">ChangiaTanzania was implemented as a TypeScript web application with a separately tested Solidity proof contract.</w:t>
      </w:r>
    </w:p>
    <w:bookmarkEnd w:id="112"/>
    <w:bookmarkStart w:id="113" w:name="development-environment"/>
    <w:p>
      <w:pPr>
        <w:pStyle w:val="Heading2"/>
      </w:pPr>
      <w:r>
        <w:t xml:space="preserve">7.2 Development Environment</w:t>
      </w:r>
    </w:p>
    <w:p>
      <w:pPr>
        <w:pStyle w:val="FirstParagraph"/>
      </w:pPr>
      <w:r>
        <w:t xml:space="preserve">Development used Windows 11, Visual Studio Code, PowerShell, Git and npm. The client uses React/Vite; the API uses Express; PostgreSQL is accessed through Drizzle; contracts are built with Hardhat.</w:t>
      </w:r>
    </w:p>
    <w:bookmarkEnd w:id="113"/>
    <w:bookmarkStart w:id="114" w:name="software-tools-used"/>
    <w:p>
      <w:pPr>
        <w:pStyle w:val="Heading2"/>
      </w:pPr>
      <w:r>
        <w:t xml:space="preserve">7.3 Software Tools Used</w:t>
      </w:r>
    </w:p>
    <w:p>
      <w:pPr>
        <w:pStyle w:val="FirstParagraph"/>
      </w:pPr>
      <w:r>
        <w:t xml:space="preserve">React, TypeScript, Vite, Tailwind CSS, shadcn/ui, Node.js, Express, PostgreSQL, Drizzle ORM, Zod, Ethers, Solidity, Hardhat, ESLint and Git were used. CSV, Excel and PDF libraries support exports.</w:t>
      </w:r>
    </w:p>
    <w:bookmarkEnd w:id="114"/>
    <w:bookmarkStart w:id="115" w:name="implementation-of-modules"/>
    <w:p>
      <w:pPr>
        <w:pStyle w:val="Heading2"/>
      </w:pPr>
      <w:r>
        <w:t xml:space="preserve">7.4 Implementation of Modules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Capability</w:t>
            </w:r>
          </w:p>
        </w:tc>
        <w:tc>
          <w:tcPr/>
          <w:p>
            <w:pPr>
              <w:pStyle w:val="Compact"/>
            </w:pPr>
            <w:r>
              <w:t xml:space="preserve">Requirements</w:t>
            </w:r>
          </w:p>
        </w:tc>
      </w:tr>
      <w:tr>
        <w:tc>
          <w:tcPr/>
          <w:p>
            <w:pPr>
              <w:pStyle w:val="Compact"/>
            </w:pPr>
            <w:r>
              <w:t xml:space="preserve">Identity</w:t>
            </w:r>
          </w:p>
        </w:tc>
        <w:tc>
          <w:tcPr/>
          <w:p>
            <w:pPr>
              <w:pStyle w:val="Compact"/>
            </w:pPr>
            <w:r>
              <w:t xml:space="preserve">registration, login, reset, sessions and RBAC</w:t>
            </w:r>
          </w:p>
        </w:tc>
        <w:tc>
          <w:tcPr/>
          <w:p>
            <w:pPr>
              <w:pStyle w:val="Compact"/>
            </w:pPr>
            <w:r>
              <w:t xml:space="preserve">FR-01, FR-02</w:t>
            </w:r>
          </w:p>
        </w:tc>
      </w:tr>
      <w:tr>
        <w:tc>
          <w:tcPr/>
          <w:p>
            <w:pPr>
              <w:pStyle w:val="Compact"/>
            </w:pPr>
            <w:r>
              <w:t xml:space="preserve">Campaigns</w:t>
            </w:r>
          </w:p>
        </w:tc>
        <w:tc>
          <w:tcPr/>
          <w:p>
            <w:pPr>
              <w:pStyle w:val="Compact"/>
            </w:pPr>
            <w:r>
              <w:t xml:space="preserve">public browsing and owner/admin management</w:t>
            </w:r>
          </w:p>
        </w:tc>
        <w:tc>
          <w:tcPr/>
          <w:p>
            <w:pPr>
              <w:pStyle w:val="Compact"/>
            </w:pPr>
            <w:r>
              <w:t xml:space="preserve">FR-03, FR-04</w:t>
            </w:r>
          </w:p>
        </w:tc>
      </w:tr>
      <w:tr>
        <w:tc>
          <w:tcPr/>
          <w:p>
            <w:pPr>
              <w:pStyle w:val="Compact"/>
            </w:pPr>
            <w:r>
              <w:t xml:space="preserve">Donations</w:t>
            </w:r>
          </w:p>
        </w:tc>
        <w:tc>
          <w:tcPr/>
          <w:p>
            <w:pPr>
              <w:pStyle w:val="Compact"/>
            </w:pPr>
            <w:r>
              <w:t xml:space="preserve">payment sessions, callback finalisation, receipts, history</w:t>
            </w:r>
          </w:p>
        </w:tc>
        <w:tc>
          <w:tcPr/>
          <w:p>
            <w:pPr>
              <w:pStyle w:val="Compact"/>
            </w:pPr>
            <w:r>
              <w:t xml:space="preserve">FR-05, FR-06</w:t>
            </w:r>
          </w:p>
        </w:tc>
      </w:tr>
      <w:tr>
        <w:tc>
          <w:tcPr/>
          <w:p>
            <w:pPr>
              <w:pStyle w:val="Compact"/>
            </w:pPr>
            <w:r>
              <w:t xml:space="preserve">Proofs</w:t>
            </w:r>
          </w:p>
        </w:tc>
        <w:tc>
          <w:tcPr/>
          <w:p>
            <w:pPr>
              <w:pStyle w:val="Compact"/>
            </w:pPr>
            <w:r>
              <w:t xml:space="preserve">deterministic hashes, registry writes and public verification</w:t>
            </w:r>
          </w:p>
        </w:tc>
        <w:tc>
          <w:tcPr/>
          <w:p>
            <w:pPr>
              <w:pStyle w:val="Compact"/>
            </w:pPr>
            <w:r>
              <w:t xml:space="preserve">FR-07</w:t>
            </w:r>
          </w:p>
        </w:tc>
      </w:tr>
      <w:tr>
        <w:tc>
          <w:tcPr/>
          <w:p>
            <w:pPr>
              <w:pStyle w:val="Compact"/>
            </w:pPr>
            <w:r>
              <w:t xml:space="preserve">Payouts</w:t>
            </w:r>
          </w:p>
        </w:tc>
        <w:tc>
          <w:tcPr/>
          <w:p>
            <w:pPr>
              <w:pStyle w:val="Compact"/>
            </w:pPr>
            <w:r>
              <w:t xml:space="preserve">beneficiary verification, balance and approvals</w:t>
            </w:r>
          </w:p>
        </w:tc>
        <w:tc>
          <w:tcPr/>
          <w:p>
            <w:pPr>
              <w:pStyle w:val="Compact"/>
            </w:pPr>
            <w:r>
              <w:t xml:space="preserve">FR-08, FR-09</w:t>
            </w:r>
          </w:p>
        </w:tc>
      </w:tr>
      <w:tr>
        <w:tc>
          <w:tcPr/>
          <w:p>
            <w:pPr>
              <w:pStyle w:val="Compact"/>
            </w:pPr>
            <w:r>
              <w:t xml:space="preserve">Operations</w:t>
            </w:r>
          </w:p>
        </w:tc>
        <w:tc>
          <w:tcPr/>
          <w:p>
            <w:pPr>
              <w:pStyle w:val="Compact"/>
            </w:pPr>
            <w:r>
              <w:t xml:space="preserve">notifications, dashboard, audit log and exports</w:t>
            </w:r>
          </w:p>
        </w:tc>
        <w:tc>
          <w:tcPr/>
          <w:p>
            <w:pPr>
              <w:pStyle w:val="Compact"/>
            </w:pPr>
            <w:r>
              <w:t xml:space="preserve">FR-10</w:t>
            </w:r>
          </w:p>
        </w:tc>
      </w:tr>
    </w:tbl>
    <w:p>
      <w:pPr>
        <w:pStyle w:val="BodyText"/>
      </w:pPr>
      <w:r>
        <w:t xml:space="preserve">Payment finalisation is idempotent and precedes asynchronous proof recording; a chain failure cannot lose a verified donation and later verification can reconcile pending proof.</w:t>
      </w:r>
    </w:p>
    <w:bookmarkEnd w:id="115"/>
    <w:bookmarkStart w:id="116" w:name="testing-strategy"/>
    <w:p>
      <w:pPr>
        <w:pStyle w:val="Heading2"/>
      </w:pPr>
      <w:r>
        <w:t xml:space="preserve">7.5 Testing Strategy</w:t>
      </w:r>
    </w:p>
    <w:p>
      <w:pPr>
        <w:pStyle w:val="FirstParagraph"/>
      </w:pPr>
      <w:r>
        <w:t xml:space="preserve">Testing combines smart-contract unit tests, API end-to-end tests, client build/lint/type checks and manual browser workflows. Contract tests cover proof registration and duplicate rejection. API tests cover registration, authorisation, payment finalisation, proof lookup, campaign review, beneficiary verification, disbursement controls and reports.</w:t>
      </w:r>
    </w:p>
    <w:bookmarkEnd w:id="116"/>
    <w:bookmarkStart w:id="117" w:name="test-cases"/>
    <w:p>
      <w:pPr>
        <w:pStyle w:val="Heading2"/>
      </w:pPr>
      <w:r>
        <w:t xml:space="preserve">7.6 Test Cases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Description</w:t>
            </w:r>
          </w:p>
        </w:tc>
        <w:tc>
          <w:tcPr/>
          <w:p>
            <w:pPr>
              <w:pStyle w:val="Compact"/>
            </w:pPr>
            <w:r>
              <w:t xml:space="preserve">Input</w:t>
            </w:r>
          </w:p>
        </w:tc>
        <w:tc>
          <w:tcPr/>
          <w:p>
            <w:pPr>
              <w:pStyle w:val="Compact"/>
            </w:pPr>
            <w:r>
              <w:t xml:space="preserve">Expected Result</w:t>
            </w:r>
          </w:p>
        </w:tc>
        <w:tc>
          <w:tcPr/>
          <w:p>
            <w:pPr>
              <w:pStyle w:val="Compact"/>
            </w:pPr>
            <w:r>
              <w:t xml:space="preserve">Status</w:t>
            </w:r>
          </w:p>
        </w:tc>
      </w:tr>
      <w:tr>
        <w:tc>
          <w:tcPr/>
          <w:p>
            <w:pPr>
              <w:pStyle w:val="Compact"/>
            </w:pPr>
            <w:r>
              <w:t xml:space="preserve">TC-01</w:t>
            </w:r>
          </w:p>
        </w:tc>
        <w:tc>
          <w:tcPr/>
          <w:p>
            <w:pPr>
              <w:pStyle w:val="Compact"/>
            </w:pPr>
            <w:r>
              <w:t xml:space="preserve">Registration</w:t>
            </w:r>
          </w:p>
        </w:tc>
        <w:tc>
          <w:tcPr/>
          <w:p>
            <w:pPr>
              <w:pStyle w:val="Compact"/>
            </w:pPr>
            <w:r>
              <w:t xml:space="preserve">Valid credentials</w:t>
            </w:r>
          </w:p>
        </w:tc>
        <w:tc>
          <w:tcPr/>
          <w:p>
            <w:pPr>
              <w:pStyle w:val="Compact"/>
            </w:pPr>
            <w:r>
              <w:t xml:space="preserve">Account/session created</w:t>
            </w:r>
          </w:p>
        </w:tc>
        <w:tc>
          <w:tcPr/>
          <w:p>
            <w:pPr>
              <w:pStyle w:val="Compact"/>
            </w:pPr>
            <w:r>
              <w:t xml:space="preserve">Pass</w:t>
            </w:r>
          </w:p>
        </w:tc>
      </w:tr>
      <w:tr>
        <w:tc>
          <w:tcPr/>
          <w:p>
            <w:pPr>
              <w:pStyle w:val="Compact"/>
            </w:pPr>
            <w:r>
              <w:t xml:space="preserve">TC-02</w:t>
            </w:r>
          </w:p>
        </w:tc>
        <w:tc>
          <w:tcPr/>
          <w:p>
            <w:pPr>
              <w:pStyle w:val="Compact"/>
            </w:pPr>
            <w:r>
              <w:t xml:space="preserve">Duplicate callback</w:t>
            </w:r>
          </w:p>
        </w:tc>
        <w:tc>
          <w:tcPr/>
          <w:p>
            <w:pPr>
              <w:pStyle w:val="Compact"/>
            </w:pPr>
            <w:r>
              <w:t xml:space="preserve">Same reference twice</w:t>
            </w:r>
          </w:p>
        </w:tc>
        <w:tc>
          <w:tcPr/>
          <w:p>
            <w:pPr>
              <w:pStyle w:val="Compact"/>
            </w:pPr>
            <w:r>
              <w:t xml:space="preserve">One donation and credit</w:t>
            </w:r>
          </w:p>
        </w:tc>
        <w:tc>
          <w:tcPr/>
          <w:p>
            <w:pPr>
              <w:pStyle w:val="Compact"/>
            </w:pPr>
            <w:r>
              <w:t xml:space="preserve">Pass</w:t>
            </w:r>
          </w:p>
        </w:tc>
      </w:tr>
      <w:tr>
        <w:tc>
          <w:tcPr/>
          <w:p>
            <w:pPr>
              <w:pStyle w:val="Compact"/>
            </w:pPr>
            <w:r>
              <w:t xml:space="preserve">TC-03</w:t>
            </w:r>
          </w:p>
        </w:tc>
        <w:tc>
          <w:tcPr/>
          <w:p>
            <w:pPr>
              <w:pStyle w:val="Compact"/>
            </w:pPr>
            <w:r>
              <w:t xml:space="preserve">Public proof lookup</w:t>
            </w:r>
          </w:p>
        </w:tc>
        <w:tc>
          <w:tcPr/>
          <w:p>
            <w:pPr>
              <w:pStyle w:val="Compact"/>
            </w:pPr>
            <w:r>
              <w:t xml:space="preserve">Receipt number</w:t>
            </w:r>
          </w:p>
        </w:tc>
        <w:tc>
          <w:tcPr/>
          <w:p>
            <w:pPr>
              <w:pStyle w:val="Compact"/>
            </w:pPr>
            <w:r>
              <w:t xml:space="preserve">Status without PII</w:t>
            </w:r>
          </w:p>
        </w:tc>
        <w:tc>
          <w:tcPr/>
          <w:p>
            <w:pPr>
              <w:pStyle w:val="Compact"/>
            </w:pPr>
            <w:r>
              <w:t xml:space="preserve">Pass</w:t>
            </w:r>
          </w:p>
        </w:tc>
      </w:tr>
      <w:tr>
        <w:tc>
          <w:tcPr/>
          <w:p>
            <w:pPr>
              <w:pStyle w:val="Compact"/>
            </w:pPr>
            <w:r>
              <w:t xml:space="preserve">TC-04</w:t>
            </w:r>
          </w:p>
        </w:tc>
        <w:tc>
          <w:tcPr/>
          <w:p>
            <w:pPr>
              <w:pStyle w:val="Compact"/>
            </w:pPr>
            <w:r>
              <w:t xml:space="preserve">Campaign review</w:t>
            </w:r>
          </w:p>
        </w:tc>
        <w:tc>
          <w:tcPr/>
          <w:p>
            <w:pPr>
              <w:pStyle w:val="Compact"/>
            </w:pPr>
            <w:r>
              <w:t xml:space="preserve">Fundraiser submission</w:t>
            </w:r>
          </w:p>
        </w:tc>
        <w:tc>
          <w:tcPr/>
          <w:p>
            <w:pPr>
              <w:pStyle w:val="Compact"/>
            </w:pPr>
            <w:r>
              <w:t xml:space="preserve">Not public before approval</w:t>
            </w:r>
          </w:p>
        </w:tc>
        <w:tc>
          <w:tcPr/>
          <w:p>
            <w:pPr>
              <w:pStyle w:val="Compact"/>
            </w:pPr>
            <w:r>
              <w:t xml:space="preserve">Pass</w:t>
            </w:r>
          </w:p>
        </w:tc>
      </w:tr>
      <w:tr>
        <w:tc>
          <w:tcPr/>
          <w:p>
            <w:pPr>
              <w:pStyle w:val="Compact"/>
            </w:pPr>
            <w:r>
              <w:t xml:space="preserve">TC-05</w:t>
            </w:r>
          </w:p>
        </w:tc>
        <w:tc>
          <w:tcPr/>
          <w:p>
            <w:pPr>
              <w:pStyle w:val="Compact"/>
            </w:pPr>
            <w:r>
              <w:t xml:space="preserve">Beneficiary control</w:t>
            </w:r>
          </w:p>
        </w:tc>
        <w:tc>
          <w:tcPr/>
          <w:p>
            <w:pPr>
              <w:pStyle w:val="Compact"/>
            </w:pPr>
            <w:r>
              <w:t xml:space="preserve">Unverified beneficiary</w:t>
            </w:r>
          </w:p>
        </w:tc>
        <w:tc>
          <w:tcPr/>
          <w:p>
            <w:pPr>
              <w:pStyle w:val="Compact"/>
            </w:pPr>
            <w:r>
              <w:t xml:space="preserve">Payout rejected</w:t>
            </w:r>
          </w:p>
        </w:tc>
        <w:tc>
          <w:tcPr/>
          <w:p>
            <w:pPr>
              <w:pStyle w:val="Compact"/>
            </w:pPr>
            <w:r>
              <w:t xml:space="preserve">Pass</w:t>
            </w:r>
          </w:p>
        </w:tc>
      </w:tr>
      <w:tr>
        <w:tc>
          <w:tcPr/>
          <w:p>
            <w:pPr>
              <w:pStyle w:val="Compact"/>
            </w:pPr>
            <w:r>
              <w:t xml:space="preserve">TC-06</w:t>
            </w:r>
          </w:p>
        </w:tc>
        <w:tc>
          <w:tcPr/>
          <w:p>
            <w:pPr>
              <w:pStyle w:val="Compact"/>
            </w:pPr>
            <w:r>
              <w:t xml:space="preserve">Separation of duties</w:t>
            </w:r>
          </w:p>
        </w:tc>
        <w:tc>
          <w:tcPr/>
          <w:p>
            <w:pPr>
              <w:pStyle w:val="Compact"/>
            </w:pPr>
            <w:r>
              <w:t xml:space="preserve">Initiator approves own payout</w:t>
            </w:r>
          </w:p>
        </w:tc>
        <w:tc>
          <w:tcPr/>
          <w:p>
            <w:pPr>
              <w:pStyle w:val="Compact"/>
            </w:pPr>
            <w:r>
              <w:t xml:space="preserve">Approval rejected</w:t>
            </w:r>
          </w:p>
        </w:tc>
        <w:tc>
          <w:tcPr/>
          <w:p>
            <w:pPr>
              <w:pStyle w:val="Compact"/>
            </w:pPr>
            <w:r>
              <w:t xml:space="preserve">Pass</w:t>
            </w:r>
          </w:p>
        </w:tc>
      </w:tr>
      <w:tr>
        <w:tc>
          <w:tcPr/>
          <w:p>
            <w:pPr>
              <w:pStyle w:val="Compact"/>
            </w:pPr>
            <w:r>
              <w:t xml:space="preserve">TC-07</w:t>
            </w:r>
          </w:p>
        </w:tc>
        <w:tc>
          <w:tcPr/>
          <w:p>
            <w:pPr>
              <w:pStyle w:val="Compact"/>
            </w:pPr>
            <w:r>
              <w:t xml:space="preserve">Balance control</w:t>
            </w:r>
          </w:p>
        </w:tc>
        <w:tc>
          <w:tcPr/>
          <w:p>
            <w:pPr>
              <w:pStyle w:val="Compact"/>
            </w:pPr>
            <w:r>
              <w:t xml:space="preserve">Excess payout</w:t>
            </w:r>
          </w:p>
        </w:tc>
        <w:tc>
          <w:tcPr/>
          <w:p>
            <w:pPr>
              <w:pStyle w:val="Compact"/>
            </w:pPr>
            <w:r>
              <w:t xml:space="preserve">Request rejected</w:t>
            </w:r>
          </w:p>
        </w:tc>
        <w:tc>
          <w:tcPr/>
          <w:p>
            <w:pPr>
              <w:pStyle w:val="Compact"/>
            </w:pPr>
            <w:r>
              <w:t xml:space="preserve">Pass</w:t>
            </w:r>
          </w:p>
        </w:tc>
      </w:tr>
      <w:tr>
        <w:tc>
          <w:tcPr/>
          <w:p>
            <w:pPr>
              <w:pStyle w:val="Compact"/>
            </w:pPr>
            <w:r>
              <w:t xml:space="preserve">TC-08</w:t>
            </w:r>
          </w:p>
        </w:tc>
        <w:tc>
          <w:tcPr/>
          <w:p>
            <w:pPr>
              <w:pStyle w:val="Compact"/>
            </w:pPr>
            <w:r>
              <w:t xml:space="preserve">Duplicate proof</w:t>
            </w:r>
          </w:p>
        </w:tc>
        <w:tc>
          <w:tcPr/>
          <w:p>
            <w:pPr>
              <w:pStyle w:val="Compact"/>
            </w:pPr>
            <w:r>
              <w:t xml:space="preserve">Existing identifier</w:t>
            </w:r>
          </w:p>
        </w:tc>
        <w:tc>
          <w:tcPr/>
          <w:p>
            <w:pPr>
              <w:pStyle w:val="Compact"/>
            </w:pPr>
            <w:r>
              <w:t xml:space="preserve">Contract rejects it</w:t>
            </w:r>
          </w:p>
        </w:tc>
        <w:tc>
          <w:tcPr/>
          <w:p>
            <w:pPr>
              <w:pStyle w:val="Compact"/>
            </w:pPr>
            <w:r>
              <w:t xml:space="preserve">Pass</w:t>
            </w:r>
          </w:p>
        </w:tc>
      </w:tr>
    </w:tbl>
    <w:bookmarkEnd w:id="117"/>
    <w:bookmarkStart w:id="118" w:name="results"/>
    <w:p>
      <w:pPr>
        <w:pStyle w:val="Heading2"/>
      </w:pPr>
      <w:r>
        <w:t xml:space="preserve">7.7 Results</w:t>
      </w:r>
    </w:p>
    <w:p>
      <w:pPr>
        <w:pStyle w:val="FirstParagraph"/>
      </w:pPr>
      <w:r>
        <w:t xml:space="preserve">The tested implementation satisfies the core workflow: donor payment, receipt, history and verification; controlled campaign and beneficiary management; and disbursements restricted by ownership, verification, balance and approval rules. The repository contains passing Hardhat and API test suites for these flows.</w:t>
      </w:r>
    </w:p>
    <w:bookmarkEnd w:id="118"/>
    <w:bookmarkStart w:id="119" w:name="discussion-of-results"/>
    <w:p>
      <w:pPr>
        <w:pStyle w:val="Heading2"/>
      </w:pPr>
      <w:r>
        <w:t xml:space="preserve">7.8 Discussion of Results</w:t>
      </w:r>
    </w:p>
    <w:p>
      <w:pPr>
        <w:pStyle w:val="FirstParagraph"/>
      </w:pPr>
      <w:r>
        <w:t xml:space="preserve">The implementation is strongest where application controls and blockchain proof complement each other. Proof makes a completed event tamper-evident; database transactions, RBAC and audit logs control operations. The completed system demonstrates a coherent accountability workflow from campaign management through donation, verification and controlled disbursement.</w:t>
      </w:r>
    </w:p>
    <w:bookmarkEnd w:id="119"/>
    <w:bookmarkStart w:id="120" w:name="system-screenshots"/>
    <w:p>
      <w:pPr>
        <w:pStyle w:val="Heading2"/>
      </w:pPr>
      <w:r>
        <w:t xml:space="preserve">7.9 System Screenshots</w:t>
      </w:r>
    </w:p>
    <w:p>
      <w:pPr>
        <w:pStyle w:val="FirstParagraph"/>
      </w:pPr>
      <w:r>
        <w:t xml:space="preserve">The demonstration journey is sign-in, campaign browsing, payment, receipt/proof status and history. Administration evidence covers review, beneficiary verification, payout approval, audit records and exports.</w:t>
      </w:r>
    </w:p>
    <w:bookmarkEnd w:id="120"/>
    <w:bookmarkEnd w:id="121"/>
    <w:bookmarkStart w:id="126" w:name="Xde17c552f57a7d7d8eeefd7faf7f341bb10f6b6"/>
    <w:p>
      <w:pPr>
        <w:pStyle w:val="Heading1"/>
      </w:pPr>
      <w:r>
        <w:t xml:space="preserve">CHAPTER EIGHT: CONCLUSION AND RECOMMENDATIONS</w:t>
      </w:r>
    </w:p>
    <w:bookmarkStart w:id="122" w:name="summary-2"/>
    <w:p>
      <w:pPr>
        <w:pStyle w:val="Heading2"/>
      </w:pPr>
      <w:r>
        <w:t xml:space="preserve">8.1 Summary</w:t>
      </w:r>
    </w:p>
    <w:p>
      <w:pPr>
        <w:pStyle w:val="FirstParagraph"/>
      </w:pPr>
      <w:r>
        <w:t xml:space="preserve">ChangiaTanzania applies familiar web and mobile-money-oriented donation workflows alongside blockchain proofs and administrative controls. The completed work covers the path from campaign publication to donation, receipt, proof verification, beneficiary management, controlled disbursement, audit record and export.</w:t>
      </w:r>
    </w:p>
    <w:bookmarkEnd w:id="122"/>
    <w:bookmarkStart w:id="123" w:name="achievement-of-objectives"/>
    <w:p>
      <w:pPr>
        <w:pStyle w:val="Heading2"/>
      </w:pPr>
      <w:r>
        <w:t xml:space="preserve">8.2 Achievement of Objectives</w:t>
      </w:r>
    </w:p>
    <w:p>
      <w:pPr>
        <w:pStyle w:val="FirstParagraph"/>
      </w:pPr>
      <w:r>
        <w:t xml:space="preserve">The project achieved secure role access through authentication and RBAC; donation management through payment sessions, idempotent callbacks and receipts; transparency through deterministic on-chain proofs and public lookup; accountability through beneficiary, balance and approval controls; and administrative support through dashboards, reports, notifications and audit records.</w:t>
      </w:r>
    </w:p>
    <w:bookmarkEnd w:id="123"/>
    <w:bookmarkStart w:id="124" w:name="conclusion"/>
    <w:p>
      <w:pPr>
        <w:pStyle w:val="Heading2"/>
      </w:pPr>
      <w:r>
        <w:t xml:space="preserve">8.3 Conclusion</w:t>
      </w:r>
    </w:p>
    <w:p>
      <w:pPr>
        <w:pStyle w:val="FirstParagraph"/>
      </w:pPr>
      <w:r>
        <w:t xml:space="preserve">The system demonstrates that blockchain can be used as a restrained proof mechanism alongside conventional payment and database infrastructure. Transparency is strengthened when verifiable records are combined with privacy protection, operational auditability and separation of duties. ChangiaTanzania fulfils the project aim by providing a coherent, secure and accountable NGO donation-management system.</w:t>
      </w:r>
    </w:p>
    <w:bookmarkEnd w:id="124"/>
    <w:bookmarkStart w:id="125" w:name="recommendations"/>
    <w:p>
      <w:pPr>
        <w:pStyle w:val="Heading2"/>
      </w:pPr>
      <w:r>
        <w:t xml:space="preserve">8.4 Recommendations</w:t>
      </w:r>
    </w:p>
    <w:p>
      <w:pPr>
        <w:pStyle w:val="FirstParagraph"/>
      </w:pPr>
      <w:r>
        <w:t xml:space="preserve">The system should be adopted with the documented role, beneficiary-verification, payment-finalisation and disbursement-approval controls retained as operating procedures. Administrators should routinely review audit records, payment statuses, proof status and generated reports to maintain accountability.</w:t>
      </w:r>
    </w:p>
    <w:bookmarkEnd w:id="125"/>
    <w:bookmarkEnd w:id="126"/>
    <w:bookmarkStart w:id="138" w:name="references"/>
    <w:p>
      <w:pPr>
        <w:pStyle w:val="Heading1"/>
      </w:pPr>
      <w:r>
        <w:t xml:space="preserve">REFERENCES</w:t>
      </w:r>
    </w:p>
    <w:bookmarkStart w:id="137" w:name="refs"/>
    <w:bookmarkStart w:id="128" w:name="ref-alabdulkarim2022"/>
    <w:p>
      <w:pPr>
        <w:pStyle w:val="Bibliography"/>
      </w:pPr>
      <w:r>
        <w:t xml:space="preserve">Alabdulkarim, L. et al.</w:t>
      </w:r>
      <w:r>
        <w:t xml:space="preserve"> (2022). Blockchain-based donations traceability framework.</w:t>
      </w:r>
      <w:r>
        <w:t xml:space="preserve"> </w:t>
      </w:r>
      <w:r>
        <w:rPr>
          <w:i/>
          <w:iCs/>
        </w:rPr>
        <w:t xml:space="preserve">Journal of King Saud University - Computer and Information Sciences</w:t>
      </w:r>
      <w:r>
        <w:t xml:space="preserve">,</w:t>
      </w:r>
      <w:r>
        <w:t xml:space="preserve"> </w:t>
      </w:r>
      <w:r>
        <w:rPr>
          <w:i/>
          <w:iCs/>
        </w:rPr>
        <w:t xml:space="preserve">34</w:t>
      </w:r>
      <w:r>
        <w:t xml:space="preserve">(10), 9442–9454.</w:t>
      </w:r>
      <w:r>
        <w:t xml:space="preserve"> </w:t>
      </w:r>
      <w:hyperlink r:id="rId127">
        <w:r>
          <w:rPr>
            <w:rStyle w:val="Hyperlink"/>
          </w:rPr>
          <w:t xml:space="preserve">https://doi.org/10.1016/j.jksuci.2022.09.021</w:t>
        </w:r>
      </w:hyperlink>
    </w:p>
    <w:bookmarkEnd w:id="128"/>
    <w:bookmarkStart w:id="130" w:name="ref-howson2021"/>
    <w:p>
      <w:pPr>
        <w:pStyle w:val="Bibliography"/>
      </w:pPr>
      <w:r>
        <w:t xml:space="preserve">Howson, P. (2021). Crypto-giving and surveillance philanthropy: Exploring the trade-offs in blockchain innovation for nonprofits.</w:t>
      </w:r>
      <w:r>
        <w:t xml:space="preserve"> </w:t>
      </w:r>
      <w:r>
        <w:rPr>
          <w:i/>
          <w:iCs/>
        </w:rPr>
        <w:t xml:space="preserve">Nonprofit Management and Leadership</w:t>
      </w:r>
      <w:r>
        <w:t xml:space="preserve">,</w:t>
      </w:r>
      <w:r>
        <w:t xml:space="preserve"> </w:t>
      </w:r>
      <w:r>
        <w:rPr>
          <w:i/>
          <w:iCs/>
        </w:rPr>
        <w:t xml:space="preserve">31</w:t>
      </w:r>
      <w:r>
        <w:t xml:space="preserve">(4), 805–820.</w:t>
      </w:r>
      <w:r>
        <w:t xml:space="preserve"> </w:t>
      </w:r>
      <w:hyperlink r:id="rId129">
        <w:r>
          <w:rPr>
            <w:rStyle w:val="Hyperlink"/>
          </w:rPr>
          <w:t xml:space="preserve">https://doi.org/10.1002/nml.21452</w:t>
        </w:r>
      </w:hyperlink>
    </w:p>
    <w:bookmarkEnd w:id="130"/>
    <w:bookmarkStart w:id="132" w:name="ref-muneeb2020"/>
    <w:p>
      <w:pPr>
        <w:pStyle w:val="Bibliography"/>
      </w:pPr>
      <w:r>
        <w:t xml:space="preserve">Muneeb, M. et al.</w:t>
      </w:r>
      <w:r>
        <w:t xml:space="preserve"> (2020). A framework to make charity collection transparent and auditable using blockchain technology.</w:t>
      </w:r>
      <w:r>
        <w:t xml:space="preserve"> </w:t>
      </w:r>
      <w:r>
        <w:rPr>
          <w:i/>
          <w:iCs/>
        </w:rPr>
        <w:t xml:space="preserve">Computers &amp; Electrical Engineering</w:t>
      </w:r>
      <w:r>
        <w:t xml:space="preserve">,</w:t>
      </w:r>
      <w:r>
        <w:t xml:space="preserve"> </w:t>
      </w:r>
      <w:r>
        <w:rPr>
          <w:i/>
          <w:iCs/>
        </w:rPr>
        <w:t xml:space="preserve">83</w:t>
      </w:r>
      <w:r>
        <w:t xml:space="preserve">, 106588.</w:t>
      </w:r>
      <w:r>
        <w:t xml:space="preserve"> </w:t>
      </w:r>
      <w:hyperlink r:id="rId131">
        <w:r>
          <w:rPr>
            <w:rStyle w:val="Hyperlink"/>
          </w:rPr>
          <w:t xml:space="preserve">https://doi.org/10.1016/j.compeleceng.2020.106588</w:t>
        </w:r>
      </w:hyperlink>
    </w:p>
    <w:bookmarkEnd w:id="132"/>
    <w:bookmarkStart w:id="134" w:name="ref-sung2023"/>
    <w:p>
      <w:pPr>
        <w:pStyle w:val="Bibliography"/>
      </w:pPr>
      <w:r>
        <w:t xml:space="preserve">Sung, J., Bock, G.-W., &amp; Kim, H.-M. (2023). Effect of blockchain-based donation system on trustworthiness of</w:t>
      </w:r>
      <w:r>
        <w:t xml:space="preserve"> </w:t>
      </w:r>
      <w:r>
        <w:t xml:space="preserve">NPOs</w:t>
      </w:r>
      <w:r>
        <w:t xml:space="preserve">.</w:t>
      </w:r>
      <w:r>
        <w:t xml:space="preserve"> </w:t>
      </w:r>
      <w:r>
        <w:rPr>
          <w:i/>
          <w:iCs/>
        </w:rPr>
        <w:t xml:space="preserve">Information &amp; Management</w:t>
      </w:r>
      <w:r>
        <w:t xml:space="preserve">,</w:t>
      </w:r>
      <w:r>
        <w:t xml:space="preserve"> </w:t>
      </w:r>
      <w:r>
        <w:rPr>
          <w:i/>
          <w:iCs/>
        </w:rPr>
        <w:t xml:space="preserve">60</w:t>
      </w:r>
      <w:r>
        <w:t xml:space="preserve">(5), 103812.</w:t>
      </w:r>
      <w:r>
        <w:t xml:space="preserve"> </w:t>
      </w:r>
      <w:hyperlink r:id="rId133">
        <w:r>
          <w:rPr>
            <w:rStyle w:val="Hyperlink"/>
          </w:rPr>
          <w:t xml:space="preserve">https://doi.org/10.1016/j.im.2023.103812</w:t>
        </w:r>
      </w:hyperlink>
    </w:p>
    <w:bookmarkEnd w:id="134"/>
    <w:bookmarkStart w:id="136" w:name="ref-worldbank2017"/>
    <w:p>
      <w:pPr>
        <w:pStyle w:val="Bibliography"/>
      </w:pPr>
      <w:r>
        <w:t xml:space="preserve">World Bank. (2017).</w:t>
      </w:r>
      <w:r>
        <w:t xml:space="preserve"> </w:t>
      </w:r>
      <w:r>
        <w:rPr>
          <w:i/>
          <w:iCs/>
        </w:rPr>
        <w:t xml:space="preserve">Tanzania economic update</w:t>
      </w:r>
      <w:r>
        <w:t xml:space="preserve">.</w:t>
      </w:r>
      <w:r>
        <w:t xml:space="preserve"> </w:t>
      </w:r>
      <w:hyperlink r:id="rId135">
        <w:r>
          <w:rPr>
            <w:rStyle w:val="Hyperlink"/>
          </w:rPr>
          <w:t xml:space="preserve">https://documents1.worldbank.org/curated/en/340591491579331322/pdf/114125-NWP-P156957-PUBLIC-add-series-9th-TEU-April-7-2017-reduced.pdf</w:t>
        </w:r>
      </w:hyperlink>
    </w:p>
    <w:bookmarkEnd w:id="136"/>
    <w:bookmarkEnd w:id="137"/>
    <w:bookmarkEnd w:id="138"/>
    <w:bookmarkStart w:id="149" w:name="appendices"/>
    <w:p>
      <w:pPr>
        <w:pStyle w:val="Heading1"/>
      </w:pPr>
      <w:r>
        <w:t xml:space="preserve">APPENDICES</w:t>
      </w:r>
    </w:p>
    <w:bookmarkStart w:id="139" w:name="appendix-a-questionnaire"/>
    <w:p>
      <w:pPr>
        <w:pStyle w:val="Heading2"/>
      </w:pPr>
      <w:r>
        <w:t xml:space="preserve">Appendix A: Questionnaire</w:t>
      </w:r>
    </w:p>
    <w:bookmarkEnd w:id="139"/>
    <w:bookmarkStart w:id="140" w:name="appendix-b-document-review-matrix"/>
    <w:p>
      <w:pPr>
        <w:pStyle w:val="Heading2"/>
      </w:pPr>
      <w:r>
        <w:t xml:space="preserve">Appendix B: Document Review Matrix</w:t>
      </w:r>
    </w:p>
    <w:bookmarkEnd w:id="140"/>
    <w:bookmarkStart w:id="141" w:name="appendix-c-source-code-selected-excerpts"/>
    <w:p>
      <w:pPr>
        <w:pStyle w:val="Heading2"/>
      </w:pPr>
      <w:r>
        <w:t xml:space="preserve">Appendix C: Source Code (selected excerpts)</w:t>
      </w:r>
    </w:p>
    <w:bookmarkEnd w:id="141"/>
    <w:bookmarkStart w:id="142" w:name="appendix-d-user-manual"/>
    <w:p>
      <w:pPr>
        <w:pStyle w:val="Heading2"/>
      </w:pPr>
      <w:r>
        <w:t xml:space="preserve">Appendix D: User Manual</w:t>
      </w:r>
    </w:p>
    <w:bookmarkEnd w:id="142"/>
    <w:bookmarkStart w:id="143" w:name="appendix-e-installation-guide"/>
    <w:p>
      <w:pPr>
        <w:pStyle w:val="Heading2"/>
      </w:pPr>
      <w:r>
        <w:t xml:space="preserve">Appendix E: Installation Guide</w:t>
      </w:r>
    </w:p>
    <w:bookmarkEnd w:id="143"/>
    <w:bookmarkStart w:id="144" w:name="appendix-f-test-cases"/>
    <w:p>
      <w:pPr>
        <w:pStyle w:val="Heading2"/>
      </w:pPr>
      <w:r>
        <w:t xml:space="preserve">Appendix F: Test Cases</w:t>
      </w:r>
    </w:p>
    <w:bookmarkEnd w:id="144"/>
    <w:bookmarkStart w:id="145" w:name="appendix-g-gantt-chart"/>
    <w:p>
      <w:pPr>
        <w:pStyle w:val="Heading2"/>
      </w:pPr>
      <w:r>
        <w:t xml:space="preserve">Appendix G: Gantt Chart</w:t>
      </w:r>
    </w:p>
    <w:bookmarkEnd w:id="145"/>
    <w:bookmarkStart w:id="146" w:name="appendix-h-budget"/>
    <w:p>
      <w:pPr>
        <w:pStyle w:val="Heading2"/>
      </w:pPr>
      <w:r>
        <w:t xml:space="preserve">Appendix H: Budget</w:t>
      </w:r>
    </w:p>
    <w:bookmarkEnd w:id="146"/>
    <w:bookmarkStart w:id="147" w:name="appendix-i-additional-screenshots"/>
    <w:p>
      <w:pPr>
        <w:pStyle w:val="Heading2"/>
      </w:pPr>
      <w:r>
        <w:t xml:space="preserve">Appendix I: Additional Screenshots</w:t>
      </w:r>
    </w:p>
    <w:bookmarkEnd w:id="147"/>
    <w:bookmarkStart w:id="148" w:name="Xe133db98a3a57492cda2baa85ec718fd76413c2"/>
    <w:p>
      <w:pPr>
        <w:pStyle w:val="Heading2"/>
      </w:pPr>
      <w:r>
        <w:t xml:space="preserve">Appendix J: Full Entity Relationship Diagram</w:t>
      </w:r>
    </w:p>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6" Target="media/rId96.png" /><Relationship Type="http://schemas.openxmlformats.org/officeDocument/2006/relationships/image" Id="rId67" Target="media/rId67.png" /><Relationship Type="http://schemas.openxmlformats.org/officeDocument/2006/relationships/image" Id="rId88" Target="media/rId88.png" /><Relationship Type="http://schemas.openxmlformats.org/officeDocument/2006/relationships/image" Id="rId72" Target="media/rId72.png" /><Relationship Type="http://schemas.openxmlformats.org/officeDocument/2006/relationships/image" Id="rId100" Target="media/rId100.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image" Id="rId92" Target="media/rId92.png" /><Relationship Type="http://schemas.openxmlformats.org/officeDocument/2006/relationships/hyperlink" Id="rId135" Target="https://documents1.worldbank.org/curated/en/340591491579331322/pdf/114125-NWP-P156957-PUBLIC-add-series-9th-TEU-April-7-2017-reduced.pdf" TargetMode="External" /><Relationship Type="http://schemas.openxmlformats.org/officeDocument/2006/relationships/hyperlink" Id="rId129" Target="https://doi.org/10.1002/nml.21452" TargetMode="External" /><Relationship Type="http://schemas.openxmlformats.org/officeDocument/2006/relationships/hyperlink" Id="rId131" Target="https://doi.org/10.1016/j.compeleceng.2020.106588" TargetMode="External" /><Relationship Type="http://schemas.openxmlformats.org/officeDocument/2006/relationships/hyperlink" Id="rId133" Target="https://doi.org/10.1016/j.im.2023.103812" TargetMode="External" /><Relationship Type="http://schemas.openxmlformats.org/officeDocument/2006/relationships/hyperlink" Id="rId127" Target="https://doi.org/10.1016/j.jksuci.2022.09.021" TargetMode="External" /></Relationships>
</file>

<file path=word/_rels/footnotes.xml.rels><?xml version="1.0" encoding="UTF-8"?><Relationships xmlns="http://schemas.openxmlformats.org/package/2006/relationships"><Relationship Type="http://schemas.openxmlformats.org/officeDocument/2006/relationships/hyperlink" Id="rId135" Target="https://documents1.worldbank.org/curated/en/340591491579331322/pdf/114125-NWP-P156957-PUBLIC-add-series-9th-TEU-April-7-2017-reduced.pdf" TargetMode="External" /><Relationship Type="http://schemas.openxmlformats.org/officeDocument/2006/relationships/hyperlink" Id="rId129" Target="https://doi.org/10.1002/nml.21452" TargetMode="External" /><Relationship Type="http://schemas.openxmlformats.org/officeDocument/2006/relationships/hyperlink" Id="rId131" Target="https://doi.org/10.1016/j.compeleceng.2020.106588" TargetMode="External" /><Relationship Type="http://schemas.openxmlformats.org/officeDocument/2006/relationships/hyperlink" Id="rId133" Target="https://doi.org/10.1016/j.im.2023.103812" TargetMode="External" /><Relationship Type="http://schemas.openxmlformats.org/officeDocument/2006/relationships/hyperlink" Id="rId127" Target="https://doi.org/10.1016/j.jksuci.2022.09.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Blockchain-Based NGO Donation Management System</dc:subject>
  <cp:keywords/>
  <dcterms:created xsi:type="dcterms:W3CDTF">2026-08-31T06:28:01Z</dcterms:created>
  <dcterms:modified xsi:type="dcterms:W3CDTF">2026-08-31T06:28:01Z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ademicyear">
    <vt:lpwstr>2025/2026</vt:lpwstr>
  </property>
  <property fmtid="{D5CDD505-2E9C-101B-9397-08002B2CF9AE}" pid="3" name="author-meta">
    <vt:lpwstr>Nasibu Y. Isaka</vt:lpwstr>
  </property>
  <property fmtid="{D5CDD505-2E9C-101B-9397-08002B2CF9AE}" pid="4" name="bibliography">
    <vt:lpwstr>references.bib</vt:lpwstr>
  </property>
  <property fmtid="{D5CDD505-2E9C-101B-9397-08002B2CF9AE}" pid="5" name="citecolor">
    <vt:lpwstr>black</vt:lpwstr>
  </property>
  <property fmtid="{D5CDD505-2E9C-101B-9397-08002B2CF9AE}" pid="6" name="colorlinks">
    <vt:lpwstr>True</vt:lpwstr>
  </property>
  <property fmtid="{D5CDD505-2E9C-101B-9397-08002B2CF9AE}" pid="7" name="course">
    <vt:lpwstr>BENG22COE</vt:lpwstr>
  </property>
  <property fmtid="{D5CDD505-2E9C-101B-9397-08002B2CF9AE}" pid="8" name="csl">
    <vt:lpwstr>build/apa.csl</vt:lpwstr>
  </property>
  <property fmtid="{D5CDD505-2E9C-101B-9397-08002B2CF9AE}" pid="9" name="department">
    <vt:lpwstr>Department of Computer Studies</vt:lpwstr>
  </property>
  <property fmtid="{D5CDD505-2E9C-101B-9397-08002B2CF9AE}" pid="10" name="documentclass">
    <vt:lpwstr>report</vt:lpwstr>
  </property>
  <property fmtid="{D5CDD505-2E9C-101B-9397-08002B2CF9AE}" pid="11" name="filecolor">
    <vt:lpwstr>black</vt:lpwstr>
  </property>
  <property fmtid="{D5CDD505-2E9C-101B-9397-08002B2CF9AE}" pid="12" name="fontsize">
    <vt:lpwstr>12pt</vt:lpwstr>
  </property>
  <property fmtid="{D5CDD505-2E9C-101B-9397-08002B2CF9AE}" pid="13" name="geometry">
    <vt:lpwstr/>
  </property>
  <property fmtid="{D5CDD505-2E9C-101B-9397-08002B2CF9AE}" pid="14" name="institution">
    <vt:lpwstr>Dar es Salaam Institute of Technology</vt:lpwstr>
  </property>
  <property fmtid="{D5CDD505-2E9C-101B-9397-08002B2CF9AE}" pid="15" name="linestretch">
    <vt:lpwstr>1.5</vt:lpwstr>
  </property>
  <property fmtid="{D5CDD505-2E9C-101B-9397-08002B2CF9AE}" pid="16" name="link-citations">
    <vt:lpwstr>True</vt:lpwstr>
  </property>
  <property fmtid="{D5CDD505-2E9C-101B-9397-08002B2CF9AE}" pid="17" name="linkcolor">
    <vt:lpwstr>black</vt:lpwstr>
  </property>
  <property fmtid="{D5CDD505-2E9C-101B-9397-08002B2CF9AE}" pid="18" name="mainfont">
    <vt:lpwstr>Times New Roman</vt:lpwstr>
  </property>
  <property fmtid="{D5CDD505-2E9C-101B-9397-08002B2CF9AE}" pid="19" name="module">
    <vt:lpwstr>Project Realization</vt:lpwstr>
  </property>
  <property fmtid="{D5CDD505-2E9C-101B-9397-08002B2CF9AE}" pid="20" name="modulecode">
    <vt:lpwstr>COU 08204</vt:lpwstr>
  </property>
  <property fmtid="{D5CDD505-2E9C-101B-9397-08002B2CF9AE}" pid="21" name="notes-after-punctuation">
    <vt:lpwstr>True</vt:lpwstr>
  </property>
  <property fmtid="{D5CDD505-2E9C-101B-9397-08002B2CF9AE}" pid="22" name="ntalevel">
    <vt:lpwstr>NTA Level 8</vt:lpwstr>
  </property>
  <property fmtid="{D5CDD505-2E9C-101B-9397-08002B2CF9AE}" pid="23" name="numbersections">
    <vt:lpwstr>False</vt:lpwstr>
  </property>
  <property fmtid="{D5CDD505-2E9C-101B-9397-08002B2CF9AE}" pid="24" name="papersize">
    <vt:lpwstr>a4</vt:lpwstr>
  </property>
  <property fmtid="{D5CDD505-2E9C-101B-9397-08002B2CF9AE}" pid="25" name="registration">
    <vt:lpwstr>2106307225519</vt:lpwstr>
  </property>
  <property fmtid="{D5CDD505-2E9C-101B-9397-08002B2CF9AE}" pid="26" name="submissiondate">
    <vt:lpwstr>August 2026</vt:lpwstr>
  </property>
  <property fmtid="{D5CDD505-2E9C-101B-9397-08002B2CF9AE}" pid="27" name="supervisor">
    <vt:lpwstr>Dr Gustaph Sanga</vt:lpwstr>
  </property>
  <property fmtid="{D5CDD505-2E9C-101B-9397-08002B2CF9AE}" pid="28" name="title-meta">
    <vt:lpwstr>Blockchain-Based NGO Donation Management System</vt:lpwstr>
  </property>
  <property fmtid="{D5CDD505-2E9C-101B-9397-08002B2CF9AE}" pid="29" name="toc">
    <vt:lpwstr>False</vt:lpwstr>
  </property>
  <property fmtid="{D5CDD505-2E9C-101B-9397-08002B2CF9AE}" pid="30" name="toc-depth">
    <vt:lpwstr>3</vt:lpwstr>
  </property>
  <property fmtid="{D5CDD505-2E9C-101B-9397-08002B2CF9AE}" pid="31" name="toccolor">
    <vt:lpwstr>black</vt:lpwstr>
  </property>
  <property fmtid="{D5CDD505-2E9C-101B-9397-08002B2CF9AE}" pid="32" name="urlcolor">
    <vt:lpwstr>black</vt:lpwstr>
  </property>
</Properties>
</file>