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En el contexto de las </w:t>
      </w:r>
      <w:r w:rsidDel="00000000" w:rsidR="00000000" w:rsidRPr="00000000">
        <w:rPr>
          <w:rtl w:val="0"/>
        </w:rPr>
        <w:t xml:space="preserve">hamburgueserías</w:t>
      </w:r>
      <w:r w:rsidDel="00000000" w:rsidR="00000000" w:rsidRPr="00000000">
        <w:rPr>
          <w:rtl w:val="0"/>
        </w:rPr>
        <w:t xml:space="preserve"> callejeras que buscan prestar un servicio gourmet, destacan el uso de mucho contenido e información visual. Además de destacar entre los productos las hamburguesas “smash” que le dan ese toque callejero que los hace tan populares. Además de que se aprovecha el contraste entre el blanco y el negro para dar una sensación de lujo.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