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dkskji1z8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Vision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Antigravity: AI-Driven Financial Analytics &amp; Stock Prediction Platform A production-grade, web-based platform simulating an internal quantitative analyst tool. It allows users to track financial portfolios, visualize historical stock data, and evaluate machine learning time-series models (LSTM vs. Linear Regression) via an interpretable dashboard.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dc74lezvd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college portfolio projects lack complex domain logic or fail to deploy heavy ML models under free-tier constraints. This platform demonstrates end-to-end production engineering: ingesting volatile external data, securely managing user state, running robust offline ML pipelines, and serving insights through a highly responsive UI—all optimized for free-tier cloud infrastructure.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26cmnifq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Primary: Software Engineering / ML Interviewers evaluating system design and coding skills.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Secondary: Quantitative finance enthusiasts analyzing basic portfolio risk and historical model predictions.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0up6nnnid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Goals &amp; Non-Goals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Goals: Prove ability in Clean Architecture, Time-Series ML, REST API design, Relational Databases, Authentication, and handling Cloud deployment constraints.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Non-Goals: High-frequency trading, competing with live prediction platforms, real-time ML inference, providing actual financial advice.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wy8h4dtpu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 (MVP)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FR-001 [Auth]: Users can register/login using Email+Password (JWT) or Google OAuth.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FR-002 [Stocks]: Users can search for stock tickers and view historical candlestick/line charts.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FR-003 [Portfolios]: Users can create portfolios and add/remove stock holdings (simulated buy/sell).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FR-004 [Analytics]: System calculates total portfolio value, realized/unrealized P&amp;L.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FR-005 [ML Viz]: Users view a "Model Evaluation" page comparing LSTM vs Baseline predictions against actual historical prices.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FR-006 [Data Fetch]: System fetches data from yfinance. If fetch &gt; 1.5s, system falls back to DB data and updates asynchronously.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ce1ogt496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NFR-001 [Architecture]: Backend must use a Layered Architecture (Router -&gt; Service -&gt; Repository).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NFR-002 [Latency]: API responses for cached/DB stocks must be &lt; 200ms.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NFR-003 [Memory]: The deployed backend must consume &lt; 512MB RAM (requires offline ML batch inference).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NFR-004 [Security]: Passwords hashed via bcrypt, API protected against SQL Injection (via ORM).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f8fjjkqh1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Machine Learning Requirements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ML-001 [Pipeline]: Custom Python pipeline for feature engineering (SMA, RSI).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ML-002 [Validation]: Must strictly use Walk-Forward Validation (Time-Series Split).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ML-003 [Models]: Scikit-Learn Linear Regression (Baseline) vs. TensorFlow/Keras LSTM (Primary).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ML-004 [Serving]: Models predict offline (cron job) and save 7-day forecasts to PostgreSQL.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xwjk248hf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 Stack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Frontend: React, Vite, Tailwind CSS, TanStack Query, Zustand, Recharts.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Backend: Python, FastAPI, SQLAlchemy (ORM).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Database: PostgreSQL (Primary), Redis (Cache).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 Pipeline: Scikit-Learn, TensorFlow, Pandas (GitHub Actions/Local batch job).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