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7A8F7B" wp14:paraId="7AC91BA6" wp14:textId="0EF3E784">
      <w:pPr>
        <w:pStyle w:val="Heading2"/>
        <w:keepNext w:val="1"/>
        <w:keepLines w:val="1"/>
        <w:spacing w:before="200"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7A8F7B" w:rsidR="1DBF87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Section 4 – Research &amp; Innovation</w:t>
      </w:r>
    </w:p>
    <w:p xmlns:wp14="http://schemas.microsoft.com/office/word/2010/wordml" w:rsidP="267A8F7B" wp14:paraId="1DEAA34C" wp14:textId="03F1373C">
      <w:pPr>
        <w:pStyle w:val="Normal"/>
        <w:keepNext w:val="1"/>
        <w:keepLines w:val="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7A8F7B" w:rsidR="32AE18F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summarize your understanding in 200–300 words</w:t>
      </w:r>
      <w:r w:rsidRPr="267A8F7B" w:rsidR="154D672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267A8F7B" wp14:paraId="2C078E63" wp14:textId="4E6B1ED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67A8F7B" w:rsidR="1DBF87C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Recent development in </w:t>
      </w:r>
      <w:r w:rsidRPr="267A8F7B" w:rsidR="1DBF87C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LoRA</w:t>
      </w:r>
      <w:r w:rsidRPr="267A8F7B" w:rsidR="1DBF87C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fine-tuning for efficient inference</w:t>
      </w:r>
      <w:r w:rsidRPr="267A8F7B" w:rsidR="5F1EE38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</w:p>
    <w:p w:rsidR="68BC2BC5" w:rsidP="267A8F7B" w:rsidRDefault="68BC2BC5" w14:paraId="2A91B127" w14:textId="7F812D2D">
      <w:p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Recent advancements in Low-Rank Adaptation (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LoRA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 have significantly reshaped how fine-tuning is performed on large language models, emphasizing efficiency without compromising performance. Traditionally, full fine-tuning required updating every parameter in a model—an approach that was computationally intensive and memory-heavy.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LoRA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mitigates this by freezing most model weights and introducing small, trainable low-rank matrices, typically updating less than 1–5% of parameters. This innovation drastically reduces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compute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costs and enables training on consumer-grade GPUs while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retaining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nearly equivalent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accuracy to full fine-tuning methods.</w:t>
      </w:r>
    </w:p>
    <w:p w:rsidR="68BC2BC5" w:rsidP="267A8F7B" w:rsidRDefault="68BC2BC5" w14:paraId="781BE80B" w14:textId="32DC4CFB">
      <w:pPr>
        <w:spacing w:before="24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latest research in 2025 has focused on improving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LoRA’s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inference efficiency and adaptability. Dynamic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LoRA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proposed by Liao et al. (2025), introduces adaptive weight allocation based on the importance of each model layer, leading to better resource distribution and task-specific optimization with minimal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additional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compute overhead (only 0.1% higher). Similarly, DLP-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LoRA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(Dynamic Lightweight Plugin)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leverages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parallel computation to fuse multiple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LoRA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modules efficiently, reducing inference latency while achieving over 92% accuracy on benchmark tasks. These frameworks are particularly useful for multi-task or multi-client serving scenarios, enabling multiple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LoRA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modules to run concurrently on shared hardware platforms such as the Takeoff Batched 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LoRA</w:t>
      </w: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Inference Engine.</w:t>
      </w:r>
    </w:p>
    <w:p w:rsidR="68BC2BC5" w:rsidP="267A8F7B" w:rsidRDefault="68BC2BC5" w14:paraId="76BD7215" w14:textId="2A3244B9">
      <w:pPr>
        <w:spacing w:before="240" w:beforeAutospacing="off" w:after="120" w:afterAutospacing="off"/>
      </w:pPr>
      <w:r w:rsidRPr="267A8F7B" w:rsidR="68BC2B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Practical implementations like IBM’s Granite LoRA fine-tuning further demonstrate how enterprises use LoRA to quickly specialize models for domains such as healthcare or finance. Overall, these developments illustrate that LoRA has matured from a parameter-efficient training tool into a robust, scalable architecture for adaptive, high-performance inference—making it a cornerstone of modern AI deployment strategies.</w:t>
      </w:r>
    </w:p>
    <w:p w:rsidR="267A8F7B" w:rsidP="267A8F7B" w:rsidRDefault="267A8F7B" w14:paraId="31F349FD" w14:textId="14E8BBB8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44F3E"/>
    <w:rsid w:val="154D672C"/>
    <w:rsid w:val="1DBF87C7"/>
    <w:rsid w:val="267A8F7B"/>
    <w:rsid w:val="2A0D837A"/>
    <w:rsid w:val="32AE18FC"/>
    <w:rsid w:val="4DE44F3E"/>
    <w:rsid w:val="583D0693"/>
    <w:rsid w:val="5A508382"/>
    <w:rsid w:val="5F1EE382"/>
    <w:rsid w:val="671B3531"/>
    <w:rsid w:val="68BC2BC5"/>
    <w:rsid w:val="78E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4F3E"/>
  <w15:chartTrackingRefBased/>
  <w15:docId w15:val="{F862CAFE-8C71-4D1A-89F5-98D1F29927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67A8F7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267A8F7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2025-10-23T20:23:32.4750556Z</dcterms:created>
  <dcterms:modified xsi:type="dcterms:W3CDTF">2025-10-23T20:29:28.6278993Z</dcterms:modified>
  <dc:creator>Divyanshu Rathaur</dc:creator>
  <lastModifiedBy>Divyanshu Rathaur</lastModifiedBy>
</coreProperties>
</file>